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Supplementary Material (Online Resource 2): How Much of a Nested Index Correlation Is Constructed? A Scale-Wise Part–Whole Decomposition with Evidence from Vietnam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Supplementary Material (Online Resource 2)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document accompanies the article and reports the robustness checks cited in the main text. All numbers come from the R outputs listed in the replication package (Online Resource 1).</w:t>
      </w:r>
    </w:p>
    <w:p>
      <w:pPr>
        <w:pStyle w:val="tablecaption0"/>
      </w:pPr>
      <w:r>
        <w:rPr>
          <w:bCs/>
          <w:b/>
        </w:rPr>
        <w:t xml:space="preserve">Table S1</w:t>
      </w:r>
      <w:r>
        <w:t xml:space="preserve"> </w:t>
      </w:r>
      <w:r>
        <w:t xml:space="preserve">Full-range scaling slopes (30 log-spaced scales)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152"/>
        <w:gridCol w:w="1902"/>
        <w:gridCol w:w="3403"/>
        <w:gridCol w:w="1902"/>
      </w:tblGrid>
      <w:tr>
        <w:trPr>
          <w:tblHeader w:val="true"/>
        </w:trP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[−0.0064, 0.0043]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0.836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[−0.0052, 0.0026]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[−0.0030, 0.0012]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[−0.0255, 0.0118]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[−0.0025, 0.0034]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0.464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[−0.0010, 0.0021]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0.312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[−0.0015,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 [−0.0102, 0.0093]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0.0015 [−0.0027, 0.0040]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0.424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[−0.0021,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[−0.0016, 0.0009]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 [−0.0137, 0.0089]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[−0.0056, 0.0039]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[−0.0043,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[−0.0022,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[−0.0176, 0.0103]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Slopes of Eq. (13) over 30 scales from 5 bars to one quarter of the sample. Source: Authors’ calculations.</w:t>
      </w:r>
    </w:p>
    <w:p>
      <w:pPr>
        <w:pStyle w:val="tablecaption0"/>
      </w:pPr>
      <w:r>
        <w:rPr>
          <w:bCs/>
          <w:b/>
        </w:rPr>
        <w:t xml:space="preserve">Table S2</w:t>
      </w:r>
      <w:r>
        <w:t xml:space="preserve"> </w:t>
      </w:r>
      <w:r>
        <w:t xml:space="preserve">Decomposition of the VN30–VN100 coefficient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77"/>
        <w:gridCol w:w="750"/>
        <w:gridCol w:w="750"/>
        <w:gridCol w:w="750"/>
        <w:gridCol w:w="750"/>
        <w:gridCol w:w="1343"/>
        <w:gridCol w:w="1374"/>
        <w:gridCol w:w="1164"/>
        <w:gridCol w:w="1002"/>
      </w:tblGrid>
      <w:tr>
        <w:trPr>
          <w:tblHeader w:val="true"/>
        </w:trP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Freq.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κ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ρ̲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Benchmark-first share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Sensitivity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Shapley overlap share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ρ̲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0.829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0.164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0.452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0.127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0.486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0.414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0.069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0.559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0.697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0.821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0.448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0.573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0.133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0.483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0.905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0.898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0.930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0.922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0.381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0.947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0.938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DCCA (detrended cross-correlation analysis) quantities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 each weight. Source: Authors’ calculations.</w:t>
      </w:r>
    </w:p>
    <w:p>
      <w:pPr>
        <w:pStyle w:val="tablecaption0"/>
      </w:pPr>
      <w:r>
        <w:rPr>
          <w:bCs/>
          <w:b/>
        </w:rPr>
        <w:t xml:space="preserve">Table S3</w:t>
      </w:r>
      <w:r>
        <w:t xml:space="preserve"> </w:t>
      </w:r>
      <w:r>
        <w:t xml:space="preserve">Purged coefficient, gap and regime correlations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87"/>
        <w:gridCol w:w="1336"/>
        <w:gridCol w:w="1775"/>
        <w:gridCol w:w="2026"/>
        <w:gridCol w:w="1043"/>
        <w:gridCol w:w="1293"/>
      </w:tblGrid>
      <w:tr>
        <w:trPr>
          <w:tblHeader w:val="true"/>
        </w:trP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(1D)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(1D)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Full-range slope (M30)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Calm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Crisis 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ρ</w:t>
      </w:r>
      <w:r>
        <w:rPr>
          <w:vertAlign w:val="subscript"/>
          <w:sz w:val="20"/>
          <w:szCs w:val="20"/>
        </w:rPr>
        <w:t xml:space="preserve">low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ρ</w:t>
      </w:r>
      <w:r>
        <w:rPr>
          <w:vertAlign w:val="subscript"/>
          <w:sz w:val="20"/>
          <w:szCs w:val="20"/>
        </w:rPr>
        <w:t xml:space="preserve">high</w:t>
      </w:r>
      <w:r>
        <w:rPr>
          <w:sz w:val="20"/>
          <w:szCs w:val="20"/>
        </w:rPr>
        <w:t xml:space="preserve">: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VN30 in the chronological regimes. Source: Authors’ calculations.</w:t>
      </w:r>
    </w:p>
    <w:p>
      <w:pPr>
        <w:pStyle w:val="tablecaption0"/>
      </w:pPr>
      <w:r>
        <w:rPr>
          <w:bCs/>
          <w:b/>
        </w:rPr>
        <w:t xml:space="preserve">Table S4</w:t>
      </w:r>
      <w:r>
        <w:t xml:space="preserve"> </w:t>
      </w:r>
      <w:r>
        <w:t xml:space="preserve">Average DMCA coefficients over the reliable range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67"/>
        <w:gridCol w:w="1542"/>
        <w:gridCol w:w="1325"/>
        <w:gridCol w:w="1650"/>
        <w:gridCol w:w="1216"/>
        <w:gridCol w:w="1759"/>
      </w:tblGrid>
      <w:tr>
        <w:trPr>
          <w:tblHeader w:val="true"/>
        </w:trP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0.094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0.969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0.982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0.965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0.891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DMCA: detrending moving-average cross-correlation analysis; centered moving-average detrending with odd windows matched to the DCCA scales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S5</w:t>
      </w:r>
      <w:r>
        <w:t xml:space="preserve"> </w:t>
      </w:r>
      <w:r>
        <w:t xml:space="preserve">Lower-tail dependence of daily returns and the Gaussian-copula benchmark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646"/>
        <w:gridCol w:w="2714"/>
        <w:gridCol w:w="1164"/>
        <w:gridCol w:w="2404"/>
        <w:gridCol w:w="854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u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Empirical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 [95% CI]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Gaussian-copula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Excess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 [0.874, 0.958]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0.921 [0.901, 0.954]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0.894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0.850 [0.817, 0.931]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0.061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 [0.813, 0.891]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[0.830, 0.945]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[0.834, 0.908]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0.749 [0.702, 0.830]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0.617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0.132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0.766 [0.717, 0.803]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0.671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λ</w:t>
      </w:r>
      <w:r>
        <w:rPr>
          <w:vertAlign w:val="subscript"/>
          <w:sz w:val="20"/>
          <w:szCs w:val="20"/>
        </w:rPr>
        <w:t xml:space="preserve">L</w:t>
      </w:r>
      <w:r>
        <w:rPr>
          <w:sz w:val="20"/>
          <w:szCs w:val="20"/>
        </w:rPr>
        <w:t xml:space="preserve">(u) = P(X ≤ q</w:t>
      </w:r>
      <w:r>
        <w:rPr>
          <w:vertAlign w:val="subscript"/>
          <w:sz w:val="20"/>
          <w:szCs w:val="20"/>
        </w:rPr>
        <w:t xml:space="preserve">X</w:t>
      </w:r>
      <w:r>
        <w:rPr>
          <w:sz w:val="20"/>
          <w:szCs w:val="20"/>
        </w:rPr>
        <w:t xml:space="preserve">(u), Y ≤ q</w:t>
      </w:r>
      <w:r>
        <w:rPr>
          <w:vertAlign w:val="subscript"/>
          <w:sz w:val="20"/>
          <w:szCs w:val="20"/>
        </w:rPr>
        <w:t xml:space="preserve">Y</w:t>
      </w:r>
      <w:r>
        <w:rPr>
          <w:sz w:val="20"/>
          <w:szCs w:val="20"/>
        </w:rPr>
        <w:t xml:space="preserve">(u))/u; Gaussian-copula value at the pair’s own Pearson correlation. Source: Authors’ calculations.</w:t>
      </w:r>
    </w:p>
    <w:p>
      <w:pPr>
        <w:pStyle w:val="tablecaption0"/>
      </w:pPr>
      <w:r>
        <w:rPr>
          <w:bCs/>
          <w:b/>
        </w:rPr>
        <w:t xml:space="preserve">Table S6</w:t>
      </w:r>
      <w:r>
        <w:t xml:space="preserve"> </w:t>
      </w:r>
      <w:r>
        <w:t xml:space="preserve">Sensitivity of the three-pair gap interval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502"/>
        <w:gridCol w:w="3513"/>
        <w:gridCol w:w="2172"/>
        <w:gridCol w:w="2172"/>
      </w:tblGrid>
      <w:tr>
        <w:trPr>
          <w:tblHeader w:val="true"/>
        </w:trP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95% CI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[0.079, 0.110]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[0.077, 0.111]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[0.074, 0.117]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[0.073,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[0.070,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[0.084, 0.112]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[0.076, 0.119]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rows: 499 replicates; 30-minute rows: 199 replicates; draws are separate from Table 4, so intervals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S7</w:t>
      </w:r>
      <w:r>
        <w:t xml:space="preserve"> </w:t>
      </w:r>
      <w:r>
        <w:t xml:space="preserve">Reliable-range slopes with and without the auction bars, and broad-minus-nested slope differences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09"/>
        <w:gridCol w:w="1728"/>
        <w:gridCol w:w="854"/>
        <w:gridCol w:w="1891"/>
        <w:gridCol w:w="1815"/>
        <w:gridCol w:w="1663"/>
      </w:tblGrid>
      <w:tr>
        <w:trPr>
          <w:tblHeader w:val="true"/>
        </w:trP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[−0.0038, 0.0065]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[−0.0006,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0.0010 [−0.0007, 0.0020]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[−0.0007,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0.0011 [−0.0053, 0.0072]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0.737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[−0.0025,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[−0.0017,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[−0.0011,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−0.0021 [−0.0103, 0.0047]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0.586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0.0040]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[0.0007, 0.0030]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[−0.0008,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[−0.0045, 0.0078]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0.0003 [−0.0038,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−0.0005 [−0.0039, 0.0005]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0.660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−0.0004 [−0.0016, 0.0003]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0.470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−0.0053 [−0.0142, 0.0007]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 [−0.0058, 0.0015]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0.268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−0.0022 [−0.0047,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−0.0006 [−0.0016, 0.0001]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0.223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−0.0067 [−0.0175,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[−0.0014, 0.0042]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[−0.0010,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[−0.0000,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[−0.0006, 0.0019]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0.0002 [−0.0021, 0.0014]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[−0.0012,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0.0035]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[0.0006,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[−0.0027,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[−0.0030,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−0.0015 [−0.0044,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−0.0016 [−0.0034, 0.0011]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[−0.0020, 0.0024]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[−0.0011,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0.504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First bar: overnight return and opening auction; last bar: closing auction; 199 block-bootstrap replicates, drawn separately from Table 6, with differences computed within the same replicates and the full-sample thresholds of Table 3. Source: Authors’ calculations.</w:t>
      </w:r>
    </w:p>
    <w:p>
      <w:pPr>
        <w:pStyle w:val="tablecaption0"/>
      </w:pPr>
      <w:r>
        <w:rPr>
          <w:bCs/>
          <w:b/>
        </w:rPr>
        <w:t xml:space="preserve">Table S8</w:t>
      </w:r>
      <w:r>
        <w:t xml:space="preserve"> </w:t>
      </w:r>
      <w:r>
        <w:t xml:space="preserve">Statistical proxies for the mid-cap segment (M30)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074"/>
        <w:gridCol w:w="4899"/>
        <w:gridCol w:w="2388"/>
      </w:tblGrid>
      <w:tr>
        <w:trPr>
          <w:tblHeader w:val="true"/>
        </w:trP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Proxy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Reliable-range slope [95% CI]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heur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0.0289 [−0.0033, 0.0534]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ratio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0.0291 [−0.0030, 0.0531]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res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0.0283 [−0.0029, 0.0526]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</w:t>
      </w:r>
      <w:r>
        <w:rPr>
          <w:vertAlign w:val="subscript"/>
          <w:sz w:val="20"/>
          <w:szCs w:val="20"/>
        </w:rPr>
        <w:t xml:space="preserve">heur</w:t>
      </w:r>
      <w:r>
        <w:rPr>
          <w:sz w:val="20"/>
          <w:szCs w:val="20"/>
        </w:rPr>
        <w:t xml:space="preserve">: w replaced by the VN30–VN100 correlation (0.9865–0.9885); P</w:t>
      </w:r>
      <w:r>
        <w:rPr>
          <w:vertAlign w:val="subscript"/>
          <w:sz w:val="20"/>
          <w:szCs w:val="20"/>
        </w:rPr>
        <w:t xml:space="preserve">ratio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= B − A; P</w:t>
      </w:r>
      <w:r>
        <w:rPr>
          <w:vertAlign w:val="subscript"/>
          <w:sz w:val="20"/>
          <w:szCs w:val="20"/>
        </w:rPr>
        <w:t xml:space="preserve">res</w:t>
      </w:r>
      <w:r>
        <w:rPr>
          <w:sz w:val="20"/>
          <w:szCs w:val="20"/>
        </w:rPr>
        <w:t xml:space="preserve">: residual of B on A. Source: Authors’ calculations.</w:t>
      </w:r>
    </w:p>
    <w:p>
      <w:pPr>
        <w:pStyle w:val="tablecaption0"/>
      </w:pPr>
      <w:r>
        <w:rPr>
          <w:bCs/>
          <w:b/>
        </w:rPr>
        <w:t xml:space="preserve">Table S9</w:t>
      </w:r>
      <w:r>
        <w:t xml:space="preserve"> </w:t>
      </w:r>
      <w:r>
        <w:t xml:space="preserve">Lead–lag cross-autocorrelations between VN30 and P</w:t>
      </w:r>
      <w:r>
        <w:rPr>
          <w:vertAlign w:val="subscript"/>
        </w:rPr>
        <w:t xml:space="preserve">cap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651"/>
        <w:gridCol w:w="854"/>
        <w:gridCol w:w="2320"/>
        <w:gridCol w:w="2320"/>
        <w:gridCol w:w="2216"/>
      </w:tblGrid>
      <w:tr>
        <w:trPr>
          <w:tblHeader w:val="true"/>
        </w:trP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Pairs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corr(A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M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corr(M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A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Asymmetry [95% CI]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2,962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 [0.028, 0.136]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[−0.036, 0.046]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 [0.048, 0.102]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19,708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 [−0.021, 0.027]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[−0.030, 0.042]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 [−0.024, 0.017]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10,817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0.054 [0.025, 0.085]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0.064 [0.034, 0.093]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−0.010 [−0.028, 0.008]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Lagged pairs are formed within the same trading day at intraday frequencies and resampled in blocks. Source: Authors’ calculations.</w:t>
      </w:r>
    </w:p>
    <w:p>
      <w:pPr>
        <w:pStyle w:val="tablecaption0"/>
      </w:pPr>
      <w:r>
        <w:rPr>
          <w:bCs/>
          <w:b/>
        </w:rPr>
        <w:t xml:space="preserve">Table S10</w:t>
      </w:r>
      <w:r>
        <w:t xml:space="preserve"> </w:t>
      </w:r>
      <w:r>
        <w:t xml:space="preserve">Forbes–Rigobon test across weights and regime definitions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89"/>
        <w:gridCol w:w="1755"/>
        <w:gridCol w:w="781"/>
        <w:gridCol w:w="781"/>
        <w:gridCol w:w="781"/>
        <w:gridCol w:w="2729"/>
        <w:gridCol w:w="1646"/>
      </w:tblGrid>
      <w:tr>
        <w:trPr>
          <w:tblHeader w:val="true"/>
        </w:trP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 −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(one-sided)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 [−0.067,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0.956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−0.090 [−0.137, −0.041]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−0.039 [−0.073, −0.002]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0.695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−0.091 [−0.144, −0.034]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0.803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−0.044 [−0.082, −0.005]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0.657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−0.087 [−0.144, −0.018]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−0.050 [−0.090, −0.000]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0.989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−0.077 [−0.143, 0.004]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0.985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0.721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−0.054 [−0.096,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0.621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0.560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−0.061 [−0.135, 0.032]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(w) and VN30; bootstrap draws are separate from Table 7, so intervals at the factsheet weight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S11</w:t>
      </w:r>
      <w:r>
        <w:t xml:space="preserve"> </w:t>
      </w:r>
      <w:r>
        <w:t xml:space="preserve">Effectiveness of a minimum-variance VN30 hedge of the mid-cap segment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4410"/>
        <w:gridCol w:w="1213"/>
        <w:gridCol w:w="3737"/>
      </w:tblGrid>
      <w:tr>
        <w:trPr>
          <w:tblHeader w:val="true"/>
        </w:trP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ρ² [95% CI]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 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0.790 [0.754, 0.820]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calm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1,000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0.718 [0.670, 0.761]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crisis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0.854 [0.824, 0.885]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Low-volatility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0.528 [0.449, 0.608]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High-volatility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0.862 [0.834, 0.887]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Share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variance removed by the minimum-variance hedge with VN30. Source: Authors’ calculations.</w:t>
      </w:r>
    </w:p>
    <w:p>
      <w:pPr>
        <w:pStyle w:val="tablecaption0"/>
      </w:pPr>
      <w:r>
        <w:rPr>
          <w:bCs/>
          <w:b/>
        </w:rPr>
        <w:t xml:space="preserve">Table S12</w:t>
      </w:r>
      <w:r>
        <w:t xml:space="preserve"> </w:t>
      </w:r>
      <w:r>
        <w:t xml:space="preserve">Volatility episodes not classified as crises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1159"/>
        <w:gridCol w:w="1568"/>
        <w:gridCol w:w="2234"/>
        <w:gridCol w:w="1856"/>
        <w:gridCol w:w="967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Period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Trading days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Maximum drawdown, %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Days in top volatility quartile, %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Peak volatility, % p.a.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Date of peak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2021-01-01 to 2021-12-31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250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−14.3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49.1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2021-02-18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2025-03-01 to 2025-06-30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82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−18.1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48.8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2025-05-06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Both episodes fail the drawdown and volatility-share criteria of Section 3.2 and are included in the quartile regimes. Source: Authors’ calculations.</w:t>
      </w:r>
    </w:p>
    <w:p>
      <w:pPr>
        <w:pStyle w:val="tablecaption0"/>
      </w:pPr>
      <w:r>
        <w:rPr>
          <w:bCs/>
          <w:b/>
        </w:rPr>
        <w:t xml:space="preserve">Table S13</w:t>
      </w:r>
      <w:r>
        <w:t xml:space="preserve"> </w:t>
      </w:r>
      <w:r>
        <w:t xml:space="preserve">Slope channels of the VN30–VN100 coefficient (Eq. 14)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98"/>
        <w:gridCol w:w="854"/>
        <w:gridCol w:w="1102"/>
        <w:gridCol w:w="926"/>
        <w:gridCol w:w="1038"/>
        <w:gridCol w:w="926"/>
        <w:gridCol w:w="1422"/>
        <w:gridCol w:w="1494"/>
      </w:tblGrid>
      <w:tr>
        <w:trPr>
          <w:tblHeader w:val="true"/>
        </w:trP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Scales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κ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/∂κ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Implied slope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Observed slope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0.00006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Partial derivatives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S14</w:t>
      </w:r>
      <w:r>
        <w:t xml:space="preserve"> </w:t>
      </w:r>
      <w:r>
        <w:t xml:space="preserve">In-sample misstatement of portfolio variance for all pairs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2475"/>
        <w:gridCol w:w="1388"/>
        <w:gridCol w:w="1891"/>
        <w:gridCol w:w="2888"/>
        <w:gridCol w:w="718"/>
      </w:tblGrid>
      <w:tr>
        <w:trPr>
          <w:tblHeader w:val="true"/>
        </w:trP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RE, % [95% CI]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Relative SE of regime variance, %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RE/SE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0.40 [−0.07, 1.10]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12.7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0.28 [0.11, 0.45]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 [0.03, 1.23]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2.23 [0.71, 3.98]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15.6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−0.56 [−0.92, −0.28]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15.0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−0.19 [−0.33, −0.08]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−0.46 [−0.74, −0.22]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14.4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−1.84 [−3.01, −0.82]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2.35 [1.64, 3.25]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5.5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 [0.49, 1.14]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2.14 [1.40, 3.00]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0.37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9.38 [6.28, 13.27]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1.50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−0.71 [−0.98, −0.50]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−0.20 [−0.30, −0.13]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−0.55 [−0.74, −0.40]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−2.07 [−2.88, −1.40]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0.23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Equally weighted positions; intervals from joint resampling of the full sample. Source: Authors’ calculations.</w:t>
      </w:r>
    </w:p>
    <w:p>
      <w:pPr>
        <w:pStyle w:val="tablecaption0"/>
      </w:pPr>
      <w:r>
        <w:rPr>
          <w:bCs/>
          <w:b/>
        </w:rPr>
        <w:t xml:space="preserve">Table S15</w:t>
      </w:r>
      <w:r>
        <w:t xml:space="preserve"> </w:t>
      </w:r>
      <w:r>
        <w:t xml:space="preserve">Sensitivity of the M30 slope intervals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858"/>
        <w:gridCol w:w="1659"/>
        <w:gridCol w:w="2967"/>
        <w:gridCol w:w="1877"/>
      </w:tblGrid>
      <w:tr>
        <w:trPr>
          <w:tblHeader w:val="true"/>
        </w:trP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0.0030]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[−0.0007, 0.0006]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[−0.0030, 0.0072]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0.530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0.0043]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[0.0012, 0.0034]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[−0.0028, 0.0087]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Reliable-range slopes of Eq. (13); 199 replicates per block length. Source: Authors’ calculations.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iCs/>
          <w:i/>
          <w:sz w:val="24"/>
          <w:szCs w:val="24"/>
        </w:rPr>
        <w:t xml:space="preserve">Multifractal structure.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generalized cross-correlation exponent h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xy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 lies between 0.526 and 0.542. The multifractal range Δh is 0.252–0.431 for the nested pairs and 0.435–0.656 for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–VN30. Against 100 jointly shuffled surrogates, the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 range exceeds the 95th surrogate percentile only at 1D, and the nested-pair ranges do so in 2 of 12 cases. Because absolute local covariances can create spurious multifractality (Oświęcimka et al. 2014), we treat these results as descriptive.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>
            <wp:extent cx="5760720" cy="3013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B-i-stock-to-n/Python%20for%20Algorithmic%20Trading/NCKH/Bài%20stock%20toán/project_R/docx_build/../outputs/figures/fig3_mfdcc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MF-DCCA at the daily frequency: (a) singularity spectra f(α); (b) generalized exponents h</w:t>
      </w:r>
      <w:r>
        <w:rPr>
          <w:vertAlign w:val="subscript"/>
        </w:rPr>
        <w:t xml:space="preserve">xy</w:t>
      </w:r>
      <w:r>
        <w:t xml:space="preserve">(q)</w:t>
      </w:r>
    </w:p>
    <w:p>
      <w:pPr>
        <w:pStyle w:val="Compact"/>
      </w:pPr>
      <w:r>
        <w:rPr>
          <w:sz w:val="20"/>
          <w:szCs w:val="20"/>
        </w:rPr>
        <w:t xml:space="preserve">Notes: MF-DCCA: multifractal detrended cross-correlation analysis; q ∈ [−5, 5]  {0}; f(α) can be negative where absolute local covariances are used. Source: Authors’ calculations.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spacing w:line="240" w:lineRule="auto"/>
      <w:ind w:hanging="425" w:left="425"/>
      <w:jc w:val="left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2026-10-13T08:31:32Z</dcterms:created>
  <dcterms:modified xsi:type="dcterms:W3CDTF">2026-10-13T08:31:32Z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