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Constructed?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therefore,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therefore,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this problem; however,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this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the nested and purged coefficients is 0.099–0.104. Because κ hardly varies with the timescale (0.47–0.52), the Pearson version provides the same answer. Horizon dependence is confined to the auction bars of intraday broad-market pairs. Crisis evidence depends on whether contagion is measured by an adjusted correlation or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This evidence is contested: much of the post-inclusion rise also appears in matched stocks that were not added (Chen et al. 2016), and the S&amp;P 500 index effect has almost disappeared (Greenwood and Sammon 2025). Membership-based co-movement is therefore a weak guide, even where the indices do not overlap. Our concern is the arithmetic overlap, which raises correlations even if investors do not trade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the slow diffusion of industry information. Non-synchronous trading depresses short-horizon correlations (Epps 1979), an effect whose size depends on the sampling scheme (Chang et al. 2021), and gradual diffusion (Hong and Stein 1999) allows co-movement to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thus,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the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heteroscedasticity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index data. Multiscale studies of crises rarely use volatility-robust tests, and volatility-conditioned studies use one horizon and disjoint markets. To the best of our knowledge, no study has covered the Vietnamese index system at intraday and daily frequencies. We searched Google Scholar and publisher databases for 2021–2026, in addition to the classical sources cited in these works.</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is the sensitivity of the nested to the purged coefficient; and E3 is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therefore,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three chronological crisis episodes; dashed and dotted horizontal lines: 25th and 75th percentiles of rolling volatility. The 2021 and 2025 spikes are not shaded because their drawdowns are below 25% (Section 3.2). Source: Authors’ calculations based on the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the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therefore,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the VN30 and VN100 returns, respectively,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therefore,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therefore,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therefore, the overlap can only increase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requires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 drifts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the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heteroscedasticity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the coefficients at different scales come from the same series, all inference uses the stationary block bootstrap (Politis and Romano 1994) with mean blocks of approximately 20 trading days, recomputing every curve and statistic in each replicate. We use 499 replicates for the DCCA statistics in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95% percentile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increases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The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jointly resampling the full sample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for 2014–2022 and evaluate forecasts for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presents descriptive statistics and Table 3 presents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the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heteroscedasticity).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the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gray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the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and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approximately 0.09. Under weight uncertainty, the sensitivity interval is 0.07–0.17. With κ of 0.48–0.50, the remaining 32% of VN100 contributes approximately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is 0.895–0.900, because either factor alone produces a coefficient near 0.9. The Shapley split attributes 0.505–0.508 to overlap (intervals within 0.497–0.521). Weight uncertainty widens the Shapley intervals to 0.45–0.56 and the benchmark-first intervals to 0.83–0.95, against a sampling-only width of approximately 0.02; thus,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the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the Holm adjustment, with estimates of 0.0019–0.0024, a rise of approximately 0.01 across the reliable range. None is significant at 1D or H4; with the significant positive slopes at both frequencies that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intraday results.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results of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increases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this.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distinguish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presents the in-sample misstatement and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a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the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changed the conclusions. DMCA (Kristoufek 2014) satisfies the same identity, so it checks only the detrending, giving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the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the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that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therefore,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therefore,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Asia-Pacific Journal of Business Administration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w:t>
      </w:r>
      <w:r>
        <w:rPr>
          <w:rFonts w:ascii="Times New Roman" w:hAnsi="Times New Roman" w:cs="Times New Roman" w:eastAsia="Times New Roman"/>
          <w:sz w:val="22"/>
          <w:szCs w:val="22"/>
        </w:rPr>
        <w:t xml:space="preserve">(3),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Finance Research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38</w:t>
      </w:r>
      <w:r>
        <w:rPr>
          <w:rFonts w:ascii="Times New Roman" w:hAnsi="Times New Roman" w:cs="Times New Roman" w:eastAsia="Times New Roman"/>
          <w:sz w:val="22"/>
          <w:szCs w:val="22"/>
        </w:rPr>
        <w:t xml:space="preserve">,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Research in International Business and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58</w:t>
      </w:r>
      <w:r>
        <w:rPr>
          <w:rFonts w:ascii="Times New Roman" w:hAnsi="Times New Roman" w:cs="Times New Roman" w:eastAsia="Times New Roman"/>
          <w:sz w:val="22"/>
          <w:szCs w:val="22"/>
        </w:rPr>
        <w:t xml:space="preserve">,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Empirical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4</w:t>
      </w:r>
      <w:r>
        <w:rPr>
          <w:rFonts w:ascii="Times New Roman" w:hAnsi="Times New Roman" w:cs="Times New Roman" w:eastAsia="Times New Roman"/>
          <w:sz w:val="22"/>
          <w:szCs w:val="22"/>
        </w:rPr>
        <w:t xml:space="preserve">(2–3),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Financial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63</w:t>
      </w:r>
      <w:r>
        <w:rPr>
          <w:rFonts w:ascii="Times New Roman" w:hAnsi="Times New Roman" w:cs="Times New Roman" w:eastAsia="Times New Roman"/>
          <w:sz w:val="22"/>
          <w:szCs w:val="22"/>
        </w:rPr>
        <w:t xml:space="preserve">(3),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Financial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75</w:t>
      </w:r>
      <w:r>
        <w:rPr>
          <w:rFonts w:ascii="Times New Roman" w:hAnsi="Times New Roman" w:cs="Times New Roman" w:eastAsia="Times New Roman"/>
          <w:sz w:val="22"/>
          <w:szCs w:val="22"/>
        </w:rPr>
        <w:t xml:space="preserve">(2),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the Royal Statistical Society: Series B (Methodological)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57</w:t>
      </w:r>
      <w:r>
        <w:rPr>
          <w:rFonts w:ascii="Times New Roman" w:hAnsi="Times New Roman" w:cs="Times New Roman" w:eastAsia="Times New Roman"/>
          <w:sz w:val="22"/>
          <w:szCs w:val="22"/>
        </w:rPr>
        <w:t xml:space="preserve">(1),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Review of Financial Analysis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81</w:t>
      </w:r>
      <w:r>
        <w:rPr>
          <w:rFonts w:ascii="Times New Roman" w:hAnsi="Times New Roman" w:cs="Times New Roman" w:eastAsia="Times New Roman"/>
          <w:sz w:val="22"/>
          <w:szCs w:val="22"/>
        </w:rPr>
        <w:t xml:space="preserve">,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Cogent Economics &amp;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10</w:t>
      </w:r>
      <w:r>
        <w:rPr>
          <w:rFonts w:ascii="Times New Roman" w:hAnsi="Times New Roman" w:cs="Times New Roman" w:eastAsia="Times New Roman"/>
          <w:sz w:val="22"/>
          <w:szCs w:val="22"/>
        </w:rPr>
        <w:t xml:space="preserve">(1),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583</w:t>
      </w:r>
      <w:r>
        <w:rPr>
          <w:rFonts w:ascii="Times New Roman" w:hAnsi="Times New Roman" w:cs="Times New Roman" w:eastAsia="Times New Roman"/>
          <w:sz w:val="22"/>
          <w:szCs w:val="22"/>
        </w:rPr>
        <w:t xml:space="preserve">,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Financial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121</w:t>
      </w:r>
      <w:r>
        <w:rPr>
          <w:rFonts w:ascii="Times New Roman" w:hAnsi="Times New Roman" w:cs="Times New Roman" w:eastAsia="Times New Roman"/>
          <w:sz w:val="22"/>
          <w:szCs w:val="22"/>
        </w:rPr>
        <w:t xml:space="preserve">(3),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Pacific-Basin Finance Journal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67</w:t>
      </w:r>
      <w:r>
        <w:rPr>
          <w:rFonts w:ascii="Times New Roman" w:hAnsi="Times New Roman" w:cs="Times New Roman" w:eastAsia="Times New Roman"/>
          <w:sz w:val="22"/>
          <w:szCs w:val="22"/>
        </w:rPr>
        <w:t xml:space="preserve">,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Heliyon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10</w:t>
      </w:r>
      <w:r>
        <w:rPr>
          <w:rFonts w:ascii="Times New Roman" w:hAnsi="Times New Roman" w:cs="Times New Roman" w:eastAsia="Times New Roman"/>
          <w:sz w:val="22"/>
          <w:szCs w:val="22"/>
        </w:rPr>
        <w:t xml:space="preserve">(17), e36537. https://doi.org/10.1016/j.heliyon.2024.e36537</w:t>
      </w:r>
    </w:p>
    <w:p>
      <w:pPr>
        <w:pStyle w:val="referenceitem"/>
      </w:pPr>
      <w:r>
        <w:rPr>
          <w:rFonts w:ascii="Times New Roman" w:hAnsi="Times New Roman" w:cs="Times New Roman" w:eastAsia="Times New Roman"/>
          <w:sz w:val="22"/>
          <w:szCs w:val="22"/>
        </w:rPr>
        <w:t xml:space="preserve">Cohen, J. (1988).</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Statistical power analysis for the behavioral sciences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International Money and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24</w:t>
      </w:r>
      <w:r>
        <w:rPr>
          <w:rFonts w:ascii="Times New Roman" w:hAnsi="Times New Roman" w:cs="Times New Roman" w:eastAsia="Times New Roman"/>
          <w:sz w:val="22"/>
          <w:szCs w:val="22"/>
        </w:rPr>
        <w:t xml:space="preserve">(8),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22</w:t>
      </w:r>
      <w:r>
        <w:rPr>
          <w:rFonts w:ascii="Times New Roman" w:hAnsi="Times New Roman" w:cs="Times New Roman" w:eastAsia="Times New Roman"/>
          <w:sz w:val="22"/>
          <w:szCs w:val="22"/>
        </w:rPr>
        <w:t xml:space="preserve">(9),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Psychometrika</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31</w:t>
      </w:r>
      <w:r>
        <w:rPr>
          <w:rFonts w:ascii="Times New Roman" w:hAnsi="Times New Roman" w:cs="Times New Roman" w:eastAsia="Times New Roman"/>
          <w:sz w:val="22"/>
          <w:szCs w:val="22"/>
        </w:rPr>
        <w:t xml:space="preserve">(1),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Global Finance Journal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65</w:t>
      </w:r>
      <w:r>
        <w:rPr>
          <w:rFonts w:ascii="Times New Roman" w:hAnsi="Times New Roman" w:cs="Times New Roman" w:eastAsia="Times New Roman"/>
          <w:sz w:val="22"/>
          <w:szCs w:val="22"/>
        </w:rPr>
        <w:t xml:space="preserve">,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Business &amp; Economic Statistics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13</w:t>
      </w:r>
      <w:r>
        <w:rPr>
          <w:rFonts w:ascii="Times New Roman" w:hAnsi="Times New Roman" w:cs="Times New Roman" w:eastAsia="Times New Roman"/>
          <w:sz w:val="22"/>
          <w:szCs w:val="22"/>
        </w:rPr>
        <w:t xml:space="preserve">(3),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34</w:t>
      </w:r>
      <w:r>
        <w:rPr>
          <w:rFonts w:ascii="Times New Roman" w:hAnsi="Times New Roman" w:cs="Times New Roman" w:eastAsia="Times New Roman"/>
          <w:sz w:val="22"/>
          <w:szCs w:val="22"/>
        </w:rPr>
        <w:t xml:space="preserve">(1),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the American Statistical Association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74</w:t>
      </w:r>
      <w:r>
        <w:rPr>
          <w:rFonts w:ascii="Times New Roman" w:hAnsi="Times New Roman" w:cs="Times New Roman" w:eastAsia="Times New Roman"/>
          <w:sz w:val="22"/>
          <w:szCs w:val="22"/>
        </w:rPr>
        <w:t xml:space="preserve">(366),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57</w:t>
      </w:r>
      <w:r>
        <w:rPr>
          <w:rFonts w:ascii="Times New Roman" w:hAnsi="Times New Roman" w:cs="Times New Roman" w:eastAsia="Times New Roman"/>
          <w:sz w:val="22"/>
          <w:szCs w:val="22"/>
        </w:rPr>
        <w:t xml:space="preserve">(5), 2223–2261. https://doi.org/10.1111/0022-1082.00494</w:t>
      </w:r>
    </w:p>
    <w:p>
      <w:pPr>
        <w:pStyle w:val="referenceitem"/>
      </w:pPr>
      <w:r>
        <w:rPr>
          <w:rFonts w:ascii="Times New Roman" w:hAnsi="Times New Roman" w:cs="Times New Roman" w:eastAsia="Times New Roman"/>
          <w:sz w:val="22"/>
          <w:szCs w:val="22"/>
        </w:rPr>
        <w:t xml:space="preserve">FTSE Russell. (2025, October 7).</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FTSE Russell announces results of September 2025 semi-annual country classification review</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Chaos, Solitons &amp; Fractals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145</w:t>
      </w:r>
      <w:r>
        <w:rPr>
          <w:rFonts w:ascii="Times New Roman" w:hAnsi="Times New Roman" w:cs="Times New Roman" w:eastAsia="Times New Roman"/>
          <w:sz w:val="22"/>
          <w:szCs w:val="22"/>
        </w:rPr>
        <w:t xml:space="preserve">, 110731. https://doi.org/10.1016/j.chaos.2021.110731</w:t>
      </w:r>
    </w:p>
    <w:p>
      <w:pPr>
        <w:pStyle w:val="referenceitem"/>
      </w:pPr>
      <w:r>
        <w:rPr>
          <w:rFonts w:ascii="Times New Roman" w:hAnsi="Times New Roman" w:cs="Times New Roman" w:eastAsia="Times New Roman"/>
          <w:sz w:val="22"/>
          <w:szCs w:val="22"/>
        </w:rPr>
        <w:t xml:space="preserve">Government of Vietnam. (2020).</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Decree No. 155/2020/ND-CP of 31 December 2020 detailing and guiding the implementation of a number of articles of the Law on Securities</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Government of Vietnam. (2025).</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Decree No. 245/2025/ND-CP of 11 September 2025 amending and supplementing a number of articles of Decree No. 155/2020/ND-CP</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21</w:t>
      </w:r>
      <w:r>
        <w:rPr>
          <w:rFonts w:ascii="Times New Roman" w:hAnsi="Times New Roman" w:cs="Times New Roman" w:eastAsia="Times New Roman"/>
          <w:sz w:val="22"/>
          <w:szCs w:val="22"/>
        </w:rPr>
        <w:t xml:space="preserve">(3),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80</w:t>
      </w:r>
      <w:r>
        <w:rPr>
          <w:rFonts w:ascii="Times New Roman" w:hAnsi="Times New Roman" w:cs="Times New Roman" w:eastAsia="Times New Roman"/>
          <w:sz w:val="22"/>
          <w:szCs w:val="22"/>
        </w:rPr>
        <w:t xml:space="preserve">(2),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574</w:t>
      </w:r>
      <w:r>
        <w:rPr>
          <w:rFonts w:ascii="Times New Roman" w:hAnsi="Times New Roman" w:cs="Times New Roman" w:eastAsia="Times New Roman"/>
          <w:sz w:val="22"/>
          <w:szCs w:val="22"/>
        </w:rPr>
        <w:t xml:space="preserve">,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Review of Financial Analysis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73</w:t>
      </w:r>
      <w:r>
        <w:rPr>
          <w:rFonts w:ascii="Times New Roman" w:hAnsi="Times New Roman" w:cs="Times New Roman" w:eastAsia="Times New Roman"/>
          <w:sz w:val="22"/>
          <w:szCs w:val="22"/>
        </w:rPr>
        <w:t xml:space="preserve">,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Listing and official trading of DCVFMVNMIDCAP ETF fund certificates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Scandinavian Journal of Statistics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w:t>
      </w:r>
      <w:r>
        <w:rPr>
          <w:rFonts w:ascii="Times New Roman" w:hAnsi="Times New Roman" w:cs="Times New Roman" w:eastAsia="Times New Roman"/>
          <w:sz w:val="22"/>
          <w:szCs w:val="22"/>
        </w:rPr>
        <w:t xml:space="preserve">(2),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54</w:t>
      </w:r>
      <w:r>
        <w:rPr>
          <w:rFonts w:ascii="Times New Roman" w:hAnsi="Times New Roman" w:cs="Times New Roman" w:eastAsia="Times New Roman"/>
          <w:sz w:val="22"/>
          <w:szCs w:val="22"/>
        </w:rPr>
        <w:t xml:space="preserve">(6),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20</w:t>
      </w:r>
      <w:r>
        <w:rPr>
          <w:rFonts w:ascii="Times New Roman" w:hAnsi="Times New Roman" w:cs="Times New Roman" w:eastAsia="Times New Roman"/>
          <w:sz w:val="22"/>
          <w:szCs w:val="22"/>
        </w:rPr>
        <w:t xml:space="preserve">(4), 1113–1138. https://doi.org/10.1093/rfs/hhm003</w:t>
      </w:r>
    </w:p>
    <w:p>
      <w:pPr>
        <w:pStyle w:val="referenceitem"/>
      </w:pPr>
      <w:r>
        <w:rPr>
          <w:rFonts w:ascii="Times New Roman" w:hAnsi="Times New Roman" w:cs="Times New Roman" w:eastAsia="Times New Roman"/>
          <w:sz w:val="22"/>
          <w:szCs w:val="22"/>
        </w:rPr>
        <w:t xml:space="preserve">J.P. Morgan/Reuters. (1996).</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RiskMetrics: Technical document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84</w:t>
      </w:r>
      <w:r>
        <w:rPr>
          <w:rFonts w:ascii="Times New Roman" w:hAnsi="Times New Roman" w:cs="Times New Roman" w:eastAsia="Times New Roman"/>
          <w:sz w:val="22"/>
          <w:szCs w:val="22"/>
        </w:rPr>
        <w:t xml:space="preserve">(1),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Applied Economics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32</w:t>
      </w:r>
      <w:r>
        <w:rPr>
          <w:rFonts w:ascii="Times New Roman" w:hAnsi="Times New Roman" w:cs="Times New Roman" w:eastAsia="Times New Roman"/>
          <w:sz w:val="22"/>
          <w:szCs w:val="22"/>
        </w:rPr>
        <w:t xml:space="preserve">(3),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316</w:t>
      </w:r>
      <w:r>
        <w:rPr>
          <w:rFonts w:ascii="Times New Roman" w:hAnsi="Times New Roman" w:cs="Times New Roman" w:eastAsia="Times New Roman"/>
          <w:sz w:val="22"/>
          <w:szCs w:val="22"/>
        </w:rPr>
        <w:t xml:space="preserve">(1–4),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406</w:t>
      </w:r>
      <w:r>
        <w:rPr>
          <w:rFonts w:ascii="Times New Roman" w:hAnsi="Times New Roman" w:cs="Times New Roman" w:eastAsia="Times New Roman"/>
          <w:sz w:val="22"/>
          <w:szCs w:val="22"/>
        </w:rPr>
        <w:t xml:space="preserve">,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Journal of Innovative Research and Scientific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w:t>
      </w:r>
      <w:r>
        <w:rPr>
          <w:rFonts w:ascii="Times New Roman" w:hAnsi="Times New Roman" w:cs="Times New Roman" w:eastAsia="Times New Roman"/>
          <w:sz w:val="22"/>
          <w:szCs w:val="22"/>
        </w:rPr>
        <w:t xml:space="preserve">(4),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Economic Modelling</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32</w:t>
      </w:r>
      <w:r>
        <w:rPr>
          <w:rFonts w:ascii="Times New Roman" w:hAnsi="Times New Roman" w:cs="Times New Roman" w:eastAsia="Times New Roman"/>
          <w:sz w:val="22"/>
          <w:szCs w:val="22"/>
        </w:rPr>
        <w:t xml:space="preserve">,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Review of Financial Analysis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83</w:t>
      </w:r>
      <w:r>
        <w:rPr>
          <w:rFonts w:ascii="Times New Roman" w:hAnsi="Times New Roman" w:cs="Times New Roman" w:eastAsia="Times New Roman"/>
          <w:sz w:val="22"/>
          <w:szCs w:val="22"/>
        </w:rPr>
        <w:t xml:space="preserve">,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w:t>
      </w:r>
      <w:r>
        <w:rPr>
          <w:rFonts w:ascii="Times New Roman" w:hAnsi="Times New Roman" w:cs="Times New Roman" w:eastAsia="Times New Roman"/>
          <w:sz w:val="22"/>
          <w:szCs w:val="22"/>
        </w:rPr>
        <w:t xml:space="preserve">(2),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56</w:t>
      </w:r>
      <w:r>
        <w:rPr>
          <w:rFonts w:ascii="Times New Roman" w:hAnsi="Times New Roman" w:cs="Times New Roman" w:eastAsia="Times New Roman"/>
          <w:sz w:val="22"/>
          <w:szCs w:val="22"/>
        </w:rPr>
        <w:t xml:space="preserve">(2), 649–676. https://doi.org/10.1111/0022-1082.00340</w:t>
      </w:r>
    </w:p>
    <w:p>
      <w:pPr>
        <w:pStyle w:val="referenceitem"/>
      </w:pPr>
      <w:r>
        <w:rPr>
          <w:rFonts w:ascii="Times New Roman" w:hAnsi="Times New Roman" w:cs="Times New Roman" w:eastAsia="Times New Roman"/>
          <w:sz w:val="22"/>
          <w:szCs w:val="22"/>
        </w:rPr>
        <w:t xml:space="preserve">Markowitz, H. (1952). Portfolio selection.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w:t>
      </w:r>
      <w:r>
        <w:rPr>
          <w:rFonts w:ascii="Times New Roman" w:hAnsi="Times New Roman" w:cs="Times New Roman" w:eastAsia="Times New Roman"/>
          <w:sz w:val="22"/>
          <w:szCs w:val="22"/>
        </w:rPr>
        <w:t xml:space="preserve">(1),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Circular No. 120/2020/TT-BTC of 31 December 2020 on trading of listed and registered shares, fund certificates, corporate bonds and covered warrants listed on the securities trading system</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Econometrica</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55</w:t>
      </w:r>
      <w:r>
        <w:rPr>
          <w:rFonts w:ascii="Times New Roman" w:hAnsi="Times New Roman" w:cs="Times New Roman" w:eastAsia="Times New Roman"/>
          <w:sz w:val="22"/>
          <w:szCs w:val="22"/>
        </w:rPr>
        <w:t xml:space="preserve">(3),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Behavioral and Experimental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38</w:t>
      </w:r>
      <w:r>
        <w:rPr>
          <w:rFonts w:ascii="Times New Roman" w:hAnsi="Times New Roman" w:cs="Times New Roman" w:eastAsia="Times New Roman"/>
          <w:sz w:val="22"/>
          <w:szCs w:val="22"/>
        </w:rPr>
        <w:t xml:space="preserve">,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Finance Research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38</w:t>
      </w:r>
      <w:r>
        <w:rPr>
          <w:rFonts w:ascii="Times New Roman" w:hAnsi="Times New Roman" w:cs="Times New Roman" w:eastAsia="Times New Roman"/>
          <w:sz w:val="22"/>
          <w:szCs w:val="22"/>
        </w:rPr>
        <w:t xml:space="preserve">,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89</w:t>
      </w:r>
      <w:r>
        <w:rPr>
          <w:rFonts w:ascii="Times New Roman" w:hAnsi="Times New Roman" w:cs="Times New Roman" w:eastAsia="Times New Roman"/>
          <w:sz w:val="22"/>
          <w:szCs w:val="22"/>
        </w:rPr>
        <w:t xml:space="preserve">(2),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Econometrics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160</w:t>
      </w:r>
      <w:r>
        <w:rPr>
          <w:rFonts w:ascii="Times New Roman" w:hAnsi="Times New Roman" w:cs="Times New Roman" w:eastAsia="Times New Roman"/>
          <w:sz w:val="22"/>
          <w:szCs w:val="22"/>
        </w:rPr>
        <w:t xml:space="preserve">(1),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Proceedings of the Royal Society of London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60</w:t>
      </w:r>
      <w:r>
        <w:rPr>
          <w:rFonts w:ascii="Times New Roman" w:hAnsi="Times New Roman" w:cs="Times New Roman" w:eastAsia="Times New Roman"/>
          <w:sz w:val="22"/>
          <w:szCs w:val="22"/>
        </w:rPr>
        <w:t xml:space="preserve">,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49</w:t>
      </w:r>
      <w:r>
        <w:rPr>
          <w:rFonts w:ascii="Times New Roman" w:hAnsi="Times New Roman" w:cs="Times New Roman" w:eastAsia="Times New Roman"/>
          <w:sz w:val="22"/>
          <w:szCs w:val="22"/>
        </w:rPr>
        <w:t xml:space="preserve">(2),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84</w:t>
      </w:r>
      <w:r>
        <w:rPr>
          <w:rFonts w:ascii="Times New Roman" w:hAnsi="Times New Roman" w:cs="Times New Roman" w:eastAsia="Times New Roman"/>
          <w:sz w:val="22"/>
          <w:szCs w:val="22"/>
        </w:rPr>
        <w:t xml:space="preserve">(6),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100</w:t>
      </w:r>
      <w:r>
        <w:rPr>
          <w:rFonts w:ascii="Times New Roman" w:hAnsi="Times New Roman" w:cs="Times New Roman" w:eastAsia="Times New Roman"/>
          <w:sz w:val="22"/>
          <w:szCs w:val="22"/>
        </w:rPr>
        <w:t xml:space="preserve">(8),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the American Statistical Association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89</w:t>
      </w:r>
      <w:r>
        <w:rPr>
          <w:rFonts w:ascii="Times New Roman" w:hAnsi="Times New Roman" w:cs="Times New Roman" w:eastAsia="Times New Roman"/>
          <w:sz w:val="22"/>
          <w:szCs w:val="22"/>
        </w:rPr>
        <w:t xml:space="preserve">(428),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Economics and Statistics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85</w:t>
      </w:r>
      <w:r>
        <w:rPr>
          <w:rFonts w:ascii="Times New Roman" w:hAnsi="Times New Roman" w:cs="Times New Roman" w:eastAsia="Times New Roman"/>
          <w:sz w:val="22"/>
          <w:szCs w:val="22"/>
        </w:rPr>
        <w:t xml:space="preserve">(4),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Sustainability</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15</w:t>
      </w:r>
      <w:r>
        <w:rPr>
          <w:rFonts w:ascii="Times New Roman" w:hAnsi="Times New Roman" w:cs="Times New Roman" w:eastAsia="Times New Roman"/>
          <w:sz w:val="22"/>
          <w:szCs w:val="22"/>
        </w:rPr>
        <w:t xml:space="preserve">(5),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Pharmacokinetics and Biopharmaceutics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15</w:t>
      </w:r>
      <w:r>
        <w:rPr>
          <w:rFonts w:ascii="Times New Roman" w:hAnsi="Times New Roman" w:cs="Times New Roman" w:eastAsia="Times New Roman"/>
          <w:sz w:val="22"/>
          <w:szCs w:val="22"/>
        </w:rPr>
        <w:t xml:space="preserve">(6),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Contributions to the theory of games II</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Empirical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60</w:t>
      </w:r>
      <w:r>
        <w:rPr>
          <w:rFonts w:ascii="Times New Roman" w:hAnsi="Times New Roman" w:cs="Times New Roman" w:eastAsia="Times New Roman"/>
          <w:sz w:val="22"/>
          <w:szCs w:val="22"/>
        </w:rPr>
        <w:t xml:space="preserve">(3),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VNU Journal of Economics and Business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w:t>
      </w:r>
      <w:r>
        <w:rPr>
          <w:rFonts w:ascii="Times New Roman" w:hAnsi="Times New Roman" w:cs="Times New Roman" w:eastAsia="Times New Roman"/>
          <w:sz w:val="22"/>
          <w:szCs w:val="22"/>
        </w:rPr>
        <w:t xml:space="preserve">(2), 51–59. https://doi.org/10.57110/vnu-jeb.v5i2.395</w:t>
      </w:r>
    </w:p>
    <w:p>
      <w:pPr>
        <w:pStyle w:val="referenceitem"/>
      </w:pPr>
      <w:r>
        <w:rPr>
          <w:rFonts w:ascii="Times New Roman" w:hAnsi="Times New Roman" w:cs="Times New Roman" w:eastAsia="Times New Roman"/>
          <w:sz w:val="22"/>
          <w:szCs w:val="22"/>
        </w:rPr>
        <w:t xml:space="preserve">Vietnam Securities Depository. (2015).</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Decision No. 211/QĐ-VSD of 18 December 2015 promulgating the Regulation on clearing and settlement of securities transactions</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Chaos, Solitons &amp; Fractals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143</w:t>
      </w:r>
      <w:r>
        <w:rPr>
          <w:rFonts w:ascii="Times New Roman" w:hAnsi="Times New Roman" w:cs="Times New Roman" w:eastAsia="Times New Roman"/>
          <w:sz w:val="22"/>
          <w:szCs w:val="22"/>
        </w:rPr>
        <w:t xml:space="preserve">,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390</w:t>
      </w:r>
      <w:r>
        <w:rPr>
          <w:rFonts w:ascii="Times New Roman" w:hAnsi="Times New Roman" w:cs="Times New Roman" w:eastAsia="Times New Roman"/>
          <w:sz w:val="22"/>
          <w:szCs w:val="22"/>
        </w:rPr>
        <w:t xml:space="preserve">(4),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Fractal and Fractional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9</w:t>
      </w:r>
      <w:r>
        <w:rPr>
          <w:rFonts w:ascii="Times New Roman" w:hAnsi="Times New Roman" w:cs="Times New Roman" w:eastAsia="Times New Roman"/>
          <w:sz w:val="22"/>
          <w:szCs w:val="22"/>
        </w:rPr>
        <w:t xml:space="preserve">(1),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77</w:t>
      </w:r>
      <w:r>
        <w:rPr>
          <w:rFonts w:ascii="Times New Roman" w:hAnsi="Times New Roman" w:cs="Times New Roman" w:eastAsia="Times New Roman"/>
          <w:sz w:val="22"/>
          <w:szCs w:val="22"/>
        </w:rPr>
        <w:t xml:space="preserve">(6),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spacing w:line="240" w:lineRule="auto"/>
      <w:ind w:hanging="425" w:left="425"/>
      <w:jc w:val="left"/>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2026-10-13T08:31:38Z</dcterms:created>
  <dcterms:modified xsi:type="dcterms:W3CDTF">2026-10-13T08:31:38Z</dcterms:modified>
</cp:coreProperties>
</file>

<file path=docProps/custom.xml><?xml version="1.0" encoding="utf-8"?>
<Properties xmlns="http://schemas.openxmlformats.org/officeDocument/2006/custom-properties" xmlns:vt="http://schemas.openxmlformats.org/officeDocument/2006/docPropsVTypes"/>
</file>