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therefore, investors who screen on scores cannot hold them.</w:t>
      </w:r>
      <w:r>
        <w:rPr/>
        <w:t xml:space="preserve"> </w:t>
      </w:r>
      <w:r>
        <w:rPr>
          <w:color w:val="0000FF"/>
        </w:rPr>
        <w:t>We investigate which firms enter the London Stock Exchange Group (LSEG) ESG database and what happens to their valuations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and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study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w:t>
      </w:r>
      <w:r>
        <w:rPr/>
        <w:t xml:space="preserve"> </w:t>
      </w:r>
      <w:r>
        <w:rPr>
          <w:color w:val="0000FF"/>
        </w:rPr>
        <w:t>If the score also tells investors whether the firm is green or brown, prices should move in opposite directions for the two groups (Pástor et al., 2021; Pedersen et al., 2021).</w:t>
      </w:r>
      <w:r>
        <w:rPr/>
        <w:t xml:space="preserve"> </w:t>
      </w:r>
      <w:r>
        <w:rPr>
          <w:color w:val="0000FF"/>
        </w:rPr>
        <w:t>However, a provider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the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w:t>
      </w:r>
      <w:r>
        <w:rPr>
          <w:color w:val="0000FF"/>
        </w:rPr>
        <w:t>None of these studies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w:t>
      </w:r>
      <w:r>
        <w:rPr/>
        <w:t xml:space="preserve"> </w:t>
      </w:r>
      <w:r>
        <w:rPr>
          <w:color w:val="0000FF"/>
        </w:rPr>
        <w:t>A pre-analysis plan, committed before the estimation code, records the hypotheses, sample, estimator, and robustness checks; every subsequent analysis is labeled exploratory.</w:t>
      </w:r>
    </w:p>
    <w:p>
      <w:pPr>
        <w:spacing w:line="360" w:lineRule="auto" w:after="120" w:before="0"/>
        <w:ind w:firstLine="720"/>
        <w:jc w:val="both"/>
      </w:pPr>
      <w:r>
        <w:rPr>
          <w:color w:val="0000FF"/>
        </w:rPr>
        <w:t>The evidence consists of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which disappears once each cohort is compared with its own base year and the base-year covariates, including size, are held fixed.</w:t>
      </w:r>
    </w:p>
    <w:p>
      <w:pPr>
        <w:spacing w:line="360" w:lineRule="auto" w:after="120" w:before="0"/>
        <w:ind w:firstLine="720"/>
        <w:jc w:val="both"/>
      </w:pPr>
      <w:r>
        <w:rPr>
          <w:color w:val="0000FF"/>
        </w:rPr>
        <w:t>This study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spacing w:line="360" w:lineRule="auto" w:after="120" w:before="0"/>
        <w:ind w:firstLine="720"/>
        <w:jc w:val="both"/>
      </w:pPr>
      <w:r>
        <w:rPr>
          <w:color w:val="0000FF"/>
        </w:rPr>
        <w:t>The remainder of this paper is organized as follows.</w:t>
      </w:r>
      <w:r>
        <w:rPr/>
        <w:t xml:space="preserve"> </w:t>
      </w:r>
      <w:r>
        <w:rPr>
          <w:color w:val="0000FF"/>
        </w:rPr>
        <w:t>Section 2 reviews the literature on ESG ratings, investor recognition and preferences, and provider coverage, and states the hypotheses.</w:t>
      </w:r>
      <w:r>
        <w:rPr/>
        <w:t xml:space="preserve"> </w:t>
      </w:r>
      <w:r>
        <w:rPr>
          <w:color w:val="0000FF"/>
        </w:rPr>
        <w:t>Section 3 describes the institutional setting, data, dating of the first recorded score, and estimation and inference methods.</w:t>
      </w:r>
      <w:r>
        <w:rPr/>
        <w:t xml:space="preserve"> </w:t>
      </w:r>
      <w:r>
        <w:rPr>
          <w:color w:val="0000FF"/>
        </w:rPr>
        <w:t>Section 4 reports who gets scored, the valuation path around entry, the comparison of the two datings, and the sensitivity and robustness checks of the results.</w:t>
      </w:r>
      <w:r>
        <w:rPr/>
        <w:t xml:space="preserve"> </w:t>
      </w:r>
      <w:r>
        <w:rPr>
          <w:color w:val="0000FF"/>
        </w:rPr>
        <w:t>Section 5 discusses the findings, their mechanisms, implications, and limitations, and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the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thus, recognition predicts a gain for every newly scored firm.</w:t>
      </w:r>
      <w:r>
        <w:rPr/>
        <w:t xml:space="preserve"> S&amp;P 500 additions raise prices permanently, whereas deletions do not lower them permanently (Chen et al., 2004). Under ESG preferences, investors accept lower expected returns on assets they classify as sustainable (Pástor et al., 2021; Pedersen et al., 2021). </w:t>
      </w:r>
      <w:r>
        <w:rPr>
          <w:color w:val="0000FF"/>
        </w:rPr>
        <w:t>Therefore,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w:t>
      </w:r>
      <w:r>
        <w:rPr/>
        <w:t xml:space="preserve">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w:t>
      </w:r>
      <w:r>
        <w:rPr/>
        <w:t xml:space="preserve"> </w:t>
      </w:r>
      <w:r>
        <w:rPr>
          <w:color w:val="0000FF"/>
        </w:rPr>
        <w:t>Among Vietnamese listed consumer 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w:t>
      </w:r>
      <w:r>
        <w:rPr>
          <w:color w:val="0000FF"/>
        </w:rPr>
        <w:t>Providers disagree about the same firm (Berg, Kölbel, et al., 2022; Christensen et al., 2022), and this disagreement is priced (Avramov et al., 2022; Gibson Brandon et al., 2021).</w:t>
      </w:r>
      <w:r>
        <w:rPr/>
        <w:t xml:space="preserve">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color w:val="0000FF"/>
        </w:rPr>
        <w:t>The pre-analysis plan states three hypotheses, all of which are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holdings,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 xml:space="preserve">3. </w:t>
      </w:r>
      <w:r>
        <w:rPr>
          <w:rFonts w:ascii="Times New Roman" w:hAnsi="Times New Roman" w:eastAsia="Times New Roman"/>
          <w:b/>
          <w:i w:val="0"/>
          <w:color w:val="0000FF"/>
          <w:sz w:val="26"/>
        </w:rPr>
        <w:t>Data and Methods</w:t>
      </w:r>
    </w:p>
    <w:p>
      <w:pPr>
        <w:pStyle w:val="Heading2"/>
        <w:keepNext/>
        <w:spacing w:line="360" w:lineRule="auto" w:after="120" w:before="160"/>
      </w:pPr>
      <w:r>
        <w:rPr>
          <w:rFonts w:ascii="Times New Roman" w:hAnsi="Times New Roman" w:eastAsia="Times New Roman"/>
          <w:b/>
          <w:i w:val="0"/>
          <w:color w:val="0000FF"/>
          <w:sz w:val="24"/>
        </w:rPr>
        <w:t>3.1 Institutional Setting and Sample</w:t>
      </w:r>
    </w:p>
    <w:p>
      <w:pPr>
        <w:spacing w:line="360" w:lineRule="auto" w:after="120" w:before="0"/>
        <w:ind w:firstLine="720"/>
        <w:jc w:val="both"/>
      </w:pPr>
      <w:r>
        <w:rPr>
          <w:color w:val="0000FF"/>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w:t>
      </w:r>
      <w:r>
        <w:rPr/>
        <w:t xml:space="preserve">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is a separate product; therefore, our event is the initiation of LSEG ESG coverage, not a firm's first ESG rating of any kind.</w:t>
      </w:r>
      <w:r>
        <w:rPr/>
        <w:t xml:space="preserve"> </w:t>
      </w:r>
      <w:r>
        <w:rPr>
          <w:color w:val="0000FF"/>
        </w:rPr>
        <w:t>Coverage arrived in waves that followed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w:t>
      </w:r>
      <w:r>
        <w:rPr/>
        <w:t xml:space="preserve"> </w:t>
      </w:r>
      <w:r>
        <w:rPr>
          <w:color w:val="0000FF"/>
        </w:rPr>
        <w:t>Rows for years without listing data are empty, almost all of them before a firm lists.</w:t>
      </w:r>
      <w:r>
        <w:rPr/>
        <w:t xml:space="preserve"> </w:t>
      </w:r>
      <w:r>
        <w:rPr>
          <w:color w:val="0000FF"/>
        </w:rPr>
        <w:t>Every firm in the extract has data in 2024; therefore, the sample conditions on survival to 2024, and without delisting data, we cannot sign the resulting bias.</w:t>
      </w:r>
      <w:r>
        <w:rPr/>
        <w:t xml:space="preserve"> </w:t>
      </w:r>
      <w:r>
        <w:rPr>
          <w:color w:val="0000FF"/>
        </w:rPr>
        <w:t>After dropping financial firms, 3,423 firms remain.</w:t>
      </w:r>
      <w:r>
        <w:rPr/>
        <w:t xml:space="preserve">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therefore, we treat coverage as permanent.</w:t>
      </w:r>
      <w:r>
        <w:rPr/>
        <w:t xml:space="preserve"> </w:t>
      </w:r>
      <w:r>
        <w:rPr>
          <w:color w:val="0000FF"/>
        </w:rPr>
        <w:t>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w:t>
      </w:r>
      <w:r>
        <w:rPr/>
        <w:t xml:space="preserve"> </w:t>
      </w:r>
      <w:r>
        <w:rPr>
          <w:color w:val="0000FF"/>
        </w:rPr>
        <w:t>Tables S2 and S3 of the supplementary material provide the firm-years and firms behind each estimate.</w:t>
      </w:r>
      <w:r>
        <w:rPr/>
        <w:t xml:space="preserve"> </w:t>
      </w:r>
      <w:r>
        <w:rPr>
          <w:color w:val="0000FF"/>
        </w:rPr>
        <w:t>The source data contain no MTB ratio at or below zero; therefore, firm-years with negative book equity appear as missing.</w:t>
      </w:r>
      <w:r>
        <w:rPr/>
        <w:t xml:space="preserve"> </w:t>
      </w:r>
      <w:r>
        <w:rPr>
          <w:color w:val="0000FF"/>
        </w:rPr>
        <w:t>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3.2 Event Dating, Outcomes, and Recording Errors</w:t>
      </w:r>
    </w:p>
    <w:p>
      <w:pPr>
        <w:spacing w:line="360" w:lineRule="auto" w:after="120" w:before="0"/>
        <w:ind w:firstLine="720"/>
        <w:jc w:val="both"/>
      </w:pPr>
      <w:r>
        <w:rPr>
          <w:color w:val="0000FF"/>
        </w:rPr>
        <w:t>The first recorded score may precede the year in which investors first see the score.</w:t>
      </w:r>
      <w:r>
        <w:rPr/>
        <w:t xml:space="preserve"> </w:t>
      </w:r>
      <w:r>
        <w:rPr>
          <w:color w:val="0000FF"/>
        </w:rPr>
        <w:t>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w:t>
      </w:r>
      <w:r>
        <w:rPr/>
        <w:t xml:space="preserve"> </w:t>
      </w:r>
      <w:r>
        <w:rPr>
          <w:color w:val="0000FF"/>
        </w:rPr>
        <w:t>The first recorded score can therefore date entry too early but, unless the provider deleted an earlier score, not too late.</w:t>
      </w:r>
      <w:r>
        <w:rPr/>
        <w:t xml:space="preserve"> </w:t>
      </w:r>
      <w:r>
        <w:rPr>
          <w:color w:val="0000FF"/>
        </w:rPr>
        <w:t>Our extract holds each score by fiscal year, with no publication or update date, as it stood at download; that every scored firm still has a score in 2024 fits a download of the provider's current universe.</w:t>
      </w:r>
      <w:r>
        <w:rPr/>
        <w:t xml:space="preserve"> </w:t>
      </w:r>
      <w:r>
        <w:rPr>
          <w:color w:val="0000FF"/>
        </w:rPr>
        <w:t>LSEG distributes a point-in-time version of its ESG data that maintains values as they were published (LSEG, 2023), but our extract does not contain it.</w:t>
      </w:r>
      <w:r>
        <w:rPr/>
        <w:t xml:space="preserve"> </w:t>
      </w:r>
      <w:r>
        <w:rPr>
          <w:color w:val="0000FF"/>
        </w:rPr>
        <w:t>Therefore, we separate two concepts.</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g + 1, and g + 2, and draw conclusions only where they hold across these datings.</w:t>
      </w:r>
    </w:p>
    <w:p>
      <w:pPr>
        <w:spacing w:line="360" w:lineRule="auto" w:after="120" w:before="0"/>
        <w:ind w:firstLine="720"/>
        <w:jc w:val="both"/>
      </w:pPr>
      <w:r>
        <w:rPr>
          <w:color w:val="0000FF"/>
        </w:rPr>
        <w:t>The primary outcome is the natural logarithm of the MTB ratio.</w:t>
      </w:r>
      <w:r>
        <w:rPr/>
        <w:t xml:space="preserve"> </w:t>
      </w:r>
      <w:r>
        <w:rPr>
          <w:color w:val="0000FF"/>
        </w:rPr>
        <w:t>The secondary outcomes are log market capitalization, log total assets, and book leverage (total debt divided by total assets).</w:t>
      </w:r>
      <w:r>
        <w:rPr/>
        <w:t xml:space="preserve"> </w:t>
      </w:r>
      <w:r>
        <w:rPr>
          <w:color w:val="0000FF"/>
        </w:rPr>
        <w:t>Without stock returns or shares outstanding, we treat market capitalization and total assets as measures of scale.</w:t>
      </w:r>
      <w:r>
        <w:rPr/>
        <w:t xml:space="preserve"> </w:t>
      </w:r>
      <w:r>
        <w:rPr>
          <w:color w:val="0000FF"/>
        </w:rPr>
        <w:t>Amounts are in U.S. dollars, winsorized at the 1st and 99th percentiles of the pooled sample.</w:t>
      </w:r>
      <w:r>
        <w:rPr/>
        <w:t xml:space="preserve"> </w:t>
      </w:r>
      <w:r>
        <w:rPr>
          <w:color w:val="0000FF"/>
        </w:rPr>
        <w:t>A few market capitalization records are implausibly large; one Indonesian firm is recorded at 1,138.8 billion U.S. dollars.</w:t>
      </w:r>
      <w:r>
        <w:rPr/>
        <w:t xml:space="preserve"> </w:t>
      </w:r>
      <w:r>
        <w:rPr>
          <w:color w:val="0000FF"/>
        </w:rPr>
        <w:t>Because market capitalization divided by the MTB ratio gives the implied book equity, which cannot exceed total assets, we flag firm-years in which the implied book equity exceeds ten times the total assets: 209 of 27,127 firm-years, 73 of them for scored firms.</w:t>
      </w:r>
      <w:r>
        <w:rPr/>
        <w:t xml:space="preserve"> </w:t>
      </w:r>
      <w:r>
        <w:rPr>
          <w:color w:val="0000FF"/>
        </w:rPr>
        <w:t>A lower threshold, a ratio above two, flags 749 firm-years in the sample.</w:t>
      </w:r>
    </w:p>
    <w:p>
      <w:pPr>
        <w:pStyle w:val="Heading2"/>
        <w:keepNext/>
        <w:spacing w:line="360" w:lineRule="auto" w:after="120" w:before="160"/>
      </w:pPr>
      <w:r>
        <w:rPr>
          <w:rFonts w:ascii="Times New Roman" w:hAnsi="Times New Roman" w:eastAsia="Times New Roman"/>
          <w:b/>
          <w:i w:val="0"/>
          <w:color w:val="0000FF"/>
          <w:sz w:val="24"/>
        </w:rPr>
        <w:t>3.3 Identification and Estimation</w:t>
      </w:r>
    </w:p>
    <w:p>
      <w:pPr>
        <w:spacing w:line="360" w:lineRule="auto" w:after="120" w:before="0"/>
        <w:ind w:firstLine="720"/>
        <w:jc w:val="both"/>
      </w:pPr>
      <w:r>
        <w:rPr>
          <w:color w:val="0000FF"/>
        </w:rPr>
        <w:t>Following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Level differences between scored and never-scored firms do not violate this assumption, but a different growth path before coverage would.</w:t>
      </w:r>
      <w:r>
        <w:rPr/>
        <w:t xml:space="preserve"> </w:t>
      </w:r>
      <w:r>
        <w:rPr>
          <w:color w:val="0000FF"/>
        </w:rPr>
        <w:t>In the large Malaysian wave, the pre-coverage estimates show no detectable run-up, so for these firms, the assumption does not require a trend to stop; however, the run-up interval is wide (−7.4% to 15.2%), and the wave split is exploratory.</w:t>
      </w:r>
      <w:r>
        <w:rPr/>
        <w:t xml:space="preserve"> </w:t>
      </w:r>
      <w:r>
        <w:rPr>
          <w:color w:val="0000FF"/>
        </w:rPr>
        <w:t>If the provider adds firms once they cross a size or visibility threshold, conditioning on base-year size compares firms on the same side of it.</w:t>
      </w:r>
      <w:r>
        <w:rPr/>
        <w:t xml:space="preserve"> </w:t>
      </w:r>
      <w:r>
        <w:rPr>
          <w:color w:val="0000FF"/>
        </w:rPr>
        <w:t>In contrast, if part of a run-up was transitory, scored firms would have fallen back even without a score, and the estimates would understate any effect of coverage.</w:t>
      </w:r>
      <w:r>
        <w:rPr/>
        <w:t xml:space="preserve"> </w:t>
      </w:r>
      <w:r>
        <w:rPr>
          <w:color w:val="0000FF"/>
        </w:rPr>
        <w:t>Therefore, we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color w:val="0000FF"/>
        </w:rPr>
        <w:t>where β</w:t>
      </w:r>
      <w:r>
        <w:rPr>
          <w:color w:val="0000FF"/>
          <w:vertAlign w:val="subscript"/>
        </w:rPr>
        <w:t>g,t</w:t>
      </w:r>
      <w:r>
        <w:rPr>
          <w:color w:val="0000FF"/>
        </w:rPr>
        <w:t xml:space="preserve"> is the coefficient vector of the cell, and u</w:t>
      </w:r>
      <w:r>
        <w:rPr>
          <w:color w:val="0000FF"/>
          <w:vertAlign w:val="subscript"/>
        </w:rPr>
        <w:t>i,t</w:t>
      </w:r>
      <w:r>
        <w:rPr>
          <w:color w:val="0000FF"/>
        </w:rPr>
        <w:t xml:space="preserve"> is the error.</w:t>
      </w:r>
      <w:r>
        <w:rPr/>
        <w:t xml:space="preserve"> </w:t>
      </w:r>
      <w:r>
        <w:rPr>
          <w:color w:val="0000FF"/>
        </w:rPr>
        <w:t>Because 24.6% of scored firms have larger base-year total assets than the 95th percentile of never-scored firms, we use outcome regression rather than the doubly robust estimator and restrict scored firms to the size range of the controls, in the spirit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with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FF"/>
          <w:sz w:val="24"/>
        </w:rPr>
        <w:t>3.4 Inference, Sensitivity, and Robustness Checks</w:t>
      </w:r>
    </w:p>
    <w:p>
      <w:pPr>
        <w:spacing w:line="360" w:lineRule="auto" w:after="120" w:before="0"/>
        <w:ind w:firstLine="720"/>
        <w:jc w:val="both"/>
      </w:pPr>
      <w:r>
        <w:rPr>
          <w:color w:val="0000FF"/>
        </w:rPr>
        <w:t>We bootstrap by resampling firms with their full time series; all specifications share the same 999 draws and seed, so differences between specifications have a valid joint distribution.</w:t>
      </w:r>
      <w:r>
        <w:rPr/>
        <w:t xml:space="preserve"> </w:t>
      </w:r>
      <w:r>
        <w:rPr>
          <w:color w:val="0000FF"/>
        </w:rPr>
        <w:t>We report the bootstrap standard error (SE), the percentile 95% confidence interval, a normal-approximation p-value, and the minimum detectable effect at 80% power (MDE ≈ 2.8 × SE).</w:t>
      </w:r>
      <w:r>
        <w:rPr/>
        <w:t xml:space="preserve"> </w:t>
      </w:r>
      <w:r>
        <w:rPr>
          <w:color w:val="0000FF"/>
        </w:rPr>
        <w:t>Secondary outcomes are assessed using Holm-adjusted p-values.</w:t>
      </w:r>
      <w:r>
        <w:rPr/>
        <w:t xml:space="preserve"> </w:t>
      </w:r>
      <w:r>
        <w:rPr>
          <w:color w:val="0000FF"/>
        </w:rPr>
        <w:t>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color w:val="0000FF"/>
        </w:rPr>
        <w:t>Three exploratory checks address departures from parallel trends: removing a linear pre-coverage trend through zero in the base year, adding the pre-coverage growth of log market capitalization to X</w:t>
      </w:r>
      <w:r>
        <w:rPr>
          <w:color w:val="0000FF"/>
          <w:vertAlign w:val="subscript"/>
        </w:rPr>
        <w:t>i</w:t>
      </w:r>
      <w:r>
        <w:rPr>
          <w:color w:val="0000FF"/>
        </w:rPr>
        <w:t>, and bounding the bias in the spirit of Rambachan and Roth (2023).</w:t>
      </w:r>
      <w:r>
        <w:rPr/>
        <w:t xml:space="preserve"> </w:t>
      </w:r>
      <w:r>
        <w:rPr>
          <w:color w:val="0000FF"/>
        </w:rPr>
        <w:t>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 xml:space="preserve">where s indexes the pre-coverage event years. </w:t>
      </w:r>
      <w:r>
        <w:rPr>
          <w:color w:val="0000FF"/>
        </w:rPr>
        <w:t>The bias for event year e is then at most M̄Δ(e + 1), and we widen the headline interval by its weighted average; with M̄ = 0.25, the gap may drift each year by a quarter of the largest yearly change before coverage.</w:t>
      </w:r>
      <w:r>
        <w:rPr/>
        <w:t xml:space="preserve"> </w:t>
      </w:r>
      <w:r>
        <w:rPr>
          <w:color w:val="0000FF"/>
        </w:rPr>
        <w:t>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standard errors are clustered by firm.</w:t>
      </w:r>
      <w:r>
        <w:rPr/>
        <w:t xml:space="preserve"> </w:t>
      </w:r>
      <w:r>
        <w:rPr>
          <w:color w:val="0000FF"/>
        </w:rPr>
        <w:t>The coefficient β averages over any run-up and uses already scored firms as controls.</w:t>
      </w:r>
      <w:r>
        <w:rPr/>
        <w:t xml:space="preserve"> </w:t>
      </w:r>
      <w:r>
        <w:rPr>
          <w:color w:val="0000FF"/>
        </w:rPr>
        <w:t>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FF"/>
          <w:sz w:val="24"/>
        </w:rPr>
        <w:t>4.1 Who Gets Scored and the Valuation Path Around Entry</w:t>
      </w:r>
    </w:p>
    <w:p>
      <w:pPr>
        <w:spacing w:line="360" w:lineRule="auto" w:after="120" w:before="0"/>
        <w:ind w:firstLine="720"/>
        <w:jc w:val="both"/>
      </w:pPr>
      <w:r>
        <w:rPr/>
        <w:t xml:space="preserve">Table 1 compares scored firms in the base year with never-scored firm-years in the sample.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whereas leverage differs only slightly.</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the assets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the base year g − 1; never-scored firms in 2014–2024.</w:t>
      </w:r>
      <w:r>
        <w:rPr>
          <w:sz w:val="18"/>
        </w:rPr>
        <w:t xml:space="preserve"> </w:t>
      </w:r>
      <w:r>
        <w:rPr>
          <w:color w:val="0000FF"/>
          <w:sz w:val="18"/>
        </w:rPr>
        <w:t>Norm. diff. is the mean difference divided by the square root of the average variance.</w:t>
      </w:r>
    </w:p>
    <w:p>
      <w:pPr>
        <w:spacing w:line="360" w:lineRule="auto" w:after="120" w:before="0"/>
        <w:ind w:firstLine="720"/>
        <w:jc w:val="both"/>
      </w:pPr>
      <w:r>
        <w:rPr>
          <w:color w:val="0000FF"/>
        </w:rPr>
        <w:t>Figure 1 shows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grew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w:t>
      </w:r>
      <w:r>
        <w:rPr/>
        <w:t xml:space="preserve"> </w:t>
      </w:r>
      <w:r>
        <w:rPr>
          <w:color w:val="0000FF"/>
        </w:rPr>
        <w:t>Event year 4 rests on only 141 scored firms and is excluded from the headline estimate.</w:t>
      </w:r>
      <w:r>
        <w:rPr/>
        <w:t xml:space="preserve"> </w:t>
      </w:r>
      <w:r>
        <w:rPr>
          <w:color w:val="0000FF"/>
        </w:rPr>
        <w:t>Thus, the MTB gap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Outcome-regression estimates relative to event year −1 with firm-bootstrap 95% intervals; 141 to 615 scored firms per event year for ln(MTB).</w:t>
      </w:r>
    </w:p>
    <w:p>
      <w:pPr>
        <w:spacing w:line="360" w:lineRule="auto" w:after="120" w:before="0"/>
        <w:ind w:firstLine="720"/>
        <w:jc w:val="both"/>
      </w:pPr>
      <w:r>
        <w:rPr/>
        <w:t xml:space="preserve">Figure 2 separates the two largest coverage waves from the remaining cohorts. </w:t>
      </w:r>
      <w:r>
        <w:rPr>
          <w:color w:val="0000FF"/>
        </w:rPr>
        <w:t>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Outcome-regression estimates by wave against all never-scored firms, with firm-bootstrap 95% intervals.</w:t>
      </w:r>
      <w:r>
        <w:rPr>
          <w:sz w:val="18"/>
        </w:rPr>
        <w:t xml:space="preserve"> </w:t>
      </w:r>
      <w:r>
        <w:rPr>
          <w:color w:val="0000FF"/>
          <w:sz w:val="18"/>
        </w:rPr>
        <w:t>The waves hold 289, 108, and 278 scored firms, respectively.</w:t>
      </w:r>
    </w:p>
    <w:p>
      <w:pPr>
        <w:pStyle w:val="Heading2"/>
        <w:keepNext/>
        <w:spacing w:line="360" w:lineRule="auto" w:after="120" w:before="160"/>
      </w:pPr>
      <w:r>
        <w:rPr>
          <w:rFonts w:ascii="Times New Roman" w:hAnsi="Times New Roman" w:eastAsia="Times New Roman"/>
          <w:b/>
          <w:i w:val="0"/>
          <w:color w:val="0000FF"/>
          <w:sz w:val="24"/>
        </w:rPr>
        <w:t>4.2 Average Change After Entry and the Two Datings</w:t>
      </w:r>
    </w:p>
    <w:p>
      <w:pPr>
        <w:spacing w:line="360" w:lineRule="auto" w:after="120" w:before="0"/>
        <w:ind w:firstLine="720"/>
        <w:jc w:val="both"/>
      </w:pPr>
      <w:r>
        <w:rPr>
          <w:color w:val="0000FF"/>
        </w:rPr>
        <w:t>Table 2 reports the headline estimates under parallel trends.</w:t>
      </w:r>
      <w:r>
        <w:rPr/>
        <w:t xml:space="preserve"> </w:t>
      </w:r>
      <w:r>
        <w:rPr>
          <w:color w:val="0000FF"/>
        </w:rPr>
        <w:t>The change in log MTB is 0.002, with a 95% confidence interval of −0.046 to 0.048, so the data are compatible with changes in the MTB ratio from −4.5% to 4.9%, and the MDE is approximately 7.0%.</w:t>
      </w:r>
      <w:r>
        <w:rPr/>
        <w:t xml:space="preserve"> </w:t>
      </w:r>
      <w:r>
        <w:rPr>
          <w:color w:val="0000FF"/>
        </w:rPr>
        <w:t>With the cluster bootstrap, which resamples the 50 market-by-industry clusters and allows for shocks common to firms of the same market and industry (Table S4), the interval is −0.050 to 0.053; market-wide shocks, such as the political uncertainty that moves Thai stock prices (Prukumpai et al., 2022), are absorbed by the country indicators in the long-difference regression.</w:t>
      </w:r>
      <w:r>
        <w:rPr/>
        <w:t xml:space="preserve">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firm-bootstrap standard errors; secondary p-values Holm-adjusted.</w:t>
      </w:r>
      <w:r>
        <w:rPr>
          <w:sz w:val="18"/>
        </w:rPr>
        <w:t xml:space="preserve"> </w:t>
      </w:r>
      <w:r>
        <w:rPr>
          <w:color w:val="0000FF"/>
          <w:sz w:val="18"/>
        </w:rPr>
        <w:t>MDE: 80%-power minimum detectable effect; pre-trend p: joint Wald test, event years −5 to −2.</w:t>
      </w:r>
    </w:p>
    <w:p>
      <w:pPr>
        <w:spacing w:line="360" w:lineRule="auto" w:after="120" w:before="0"/>
        <w:ind w:firstLine="720"/>
        <w:jc w:val="both"/>
      </w:pPr>
      <w:r>
        <w:rPr>
          <w:color w:val="0000FF"/>
        </w:rPr>
        <w:t>Table 3 presents the robustness checks; the six checks listed after the baseline are pre-specified, and the rest are exploratory.</w:t>
      </w:r>
      <w:r>
        <w:rPr/>
        <w:t xml:space="preserve"> </w:t>
      </w:r>
      <w:r>
        <w:rPr>
          <w:color w:val="0000FF"/>
        </w:rPr>
        <w:t>Dating coverage one year after the first recorded score, the earliest year in which a score could have been public, gives an MTB change of −0.068, approximately −6.6% (95% interval −0.116 to −0.020; p = 0.004), with a joint pre-trend p = 0.072.</w:t>
      </w:r>
      <w:r>
        <w:rPr/>
        <w:t xml:space="preserve"> </w:t>
      </w:r>
      <w:r>
        <w:rPr>
          <w:color w:val="0000FF"/>
        </w:rPr>
        <w:t>Pre-specification does not make the recorded year the date on which investors learned of coverage; therefore,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color w:val="0000FF"/>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color w:val="0000FF"/>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color w:val="0000FF"/>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color w:val="0000FF"/>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color w:val="0000FF"/>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color w:val="0000FF"/>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color w:val="0000FF"/>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(firm-clustered for two-way fixed effects); firm counts for ln(MTB). *, **, ***: 10%, 5%, 1% (unadjusted).</w:t>
      </w:r>
    </w:p>
    <w:p>
      <w:pPr>
        <w:spacing w:line="360" w:lineRule="auto" w:after="120" w:before="0"/>
        <w:ind w:firstLine="720"/>
        <w:jc w:val="both"/>
      </w:pPr>
      <w:r>
        <w:rPr>
          <w:color w:val="0000FF"/>
        </w:rPr>
        <w:t>Table 4 moves from the first-recorded-year estimate to the one-year-later estimate step by step.</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the result by −0.016 (p = 0.092).</w:t>
      </w:r>
      <w:r>
        <w:rPr/>
        <w:t xml:space="preserve"> </w:t>
      </w:r>
      <w:r>
        <w:rPr>
          <w:color w:val="0000FF"/>
        </w:rPr>
        <w:t>Row 4 moves the reference year from g − 1 to g, which is what dating coverage one year later does to the comparison; this changes the estimate by −0.044 (p = 0.024), or 62% of the total gap of −0.070.</w:t>
      </w:r>
      <w:r>
        <w:rPr/>
        <w:t xml:space="preserve"> </w:t>
      </w:r>
      <w:r>
        <w:rPr>
          <w:color w:val="0000FF"/>
        </w:rPr>
        <w:t>Measuring size in g (row 5) and returning to all firms (row 6) change little.</w:t>
      </w:r>
      <w:r>
        <w:rPr/>
        <w:t xml:space="preserve"> </w:t>
      </w:r>
      <w:r>
        <w:rPr>
          <w:color w:val="0000FF"/>
        </w:rPr>
        <w:t>The steps are sequential; therefore,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Thus, the reference year drives this difference.</w:t>
      </w:r>
      <w:r>
        <w:rPr/>
        <w:t xml:space="preserve"> </w:t>
      </w:r>
      <w:r>
        <w:rPr>
          <w:color w:val="0000FF"/>
        </w:rPr>
        <w:t>Moving it from g − 1 to g subtracts the change in log MTB of the same scored firms, relative to the same never-scored firms, between g − 1 and g from each later estimate.</w:t>
      </w:r>
      <w:r>
        <w:rPr/>
        <w:t xml:space="preserve"> </w:t>
      </w:r>
      <w:r>
        <w:rPr>
          <w:color w:val="0000FF"/>
        </w:rPr>
        <w:t>The row 4 step, −0.044, is therefore minus each cohort's own change between g − 1 and g (0.044 on average) weighted as in event years 1 to 4, which give more weight than event year 0 to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w:t>
      </w:r>
      <w:r>
        <w:rPr/>
        <w:t xml:space="preserve"> </w:t>
      </w:r>
      <w:r>
        <w:rPr>
          <w:color w:val="0000FF"/>
        </w:rPr>
        <w:t>The cohorts observed through event year 4 (rows 7–10)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(−0.075, 95% interval −0.219 to 0.075).</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 and the data cannot separate them.</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4.3 Sensitivity and Robustness</w:t>
      </w:r>
    </w:p>
    <w:p>
      <w:pPr>
        <w:spacing w:line="360" w:lineRule="auto" w:after="120" w:before="0"/>
        <w:ind w:firstLine="720"/>
        <w:jc w:val="both"/>
      </w:pPr>
      <w:r>
        <w:rPr>
          <w:color w:val="0000FF"/>
        </w:rPr>
        <w:t>Keeping only the 7 cohorts observed through event year 3 gives −0.008 (p = 0.806), so changing cohort composition does not explain the headline estimate.</w:t>
      </w:r>
      <w:r>
        <w:rPr/>
        <w:t xml:space="preserve"> </w:t>
      </w:r>
      <w:r>
        <w:rPr>
          <w:color w:val="0000FF"/>
        </w:rPr>
        <w:t>Removing a linear pre-trend gives −0.052, and adding pre-coverage growth as a covariate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 and says little about the largest firms.</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spacing w:line="360" w:lineRule="auto" w:after="120" w:before="0"/>
        <w:ind w:firstLine="720"/>
        <w:jc w:val="both"/>
      </w:pPr>
      <w:r>
        <w:rPr>
          <w:color w:val="0000FF"/>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w:t>
      </w:r>
      <w:r>
        <w:rPr/>
        <w:t xml:space="preserve"> </w:t>
      </w:r>
      <w:r>
        <w:rPr>
          <w:color w:val="0000FF"/>
        </w:rPr>
        <w:t>Excluding one market at a time (Table S9) gives MTB effects from −0.007 to 0.017.</w:t>
      </w:r>
      <w:r>
        <w:rPr/>
        <w:t xml:space="preserve"> </w:t>
      </w:r>
      <w:r>
        <w:rPr>
          <w:color w:val="0000FF"/>
        </w:rPr>
        <w:t>The placebo yields 0.059 on log MTB (p = 0.010), restating the pre-coverage growth in Figure 1.</w:t>
      </w:r>
      <w:r>
        <w:rPr/>
        <w:t xml:space="preserve"> </w:t>
      </w:r>
      <w:r>
        <w:rPr>
          <w:color w:val="0000FF"/>
        </w:rPr>
        <w:t>The static TWFE regression attributes an increase of 0.064 in log MTB (p = 0.014) to coverage; comparing each cohort with its own base year accounts for about half of the gap to the headline estimate, and conditioning on the base-year covariates (country, industry, and size) for most of the rest (Table S5).</w:t>
      </w:r>
    </w:p>
    <w:p>
      <w:pPr>
        <w:pStyle w:val="Heading2"/>
        <w:keepNext/>
        <w:spacing w:line="360" w:lineRule="auto" w:after="120" w:before="160"/>
      </w:pPr>
      <w:r>
        <w:rPr>
          <w:rFonts w:ascii="Times New Roman" w:hAnsi="Times New Roman" w:eastAsia="Times New Roman"/>
          <w:b/>
          <w:i w:val="0"/>
          <w:color w:val="0000FF"/>
          <w:sz w:val="24"/>
        </w:rPr>
        <w:t>4.4 Initial Scores and What the Pooled Estimate Represents</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w:t>
      </w:r>
      <w:r>
        <w:rPr/>
        <w:t xml:space="preserve"> </w:t>
      </w:r>
      <w:r>
        <w:rPr>
          <w:color w:val="0000FF"/>
        </w:rPr>
        <w:t>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 xml:space="preserve">5. </w:t>
      </w:r>
      <w:r>
        <w:rPr>
          <w:rFonts w:ascii="Times New Roman" w:hAnsi="Times New Roman" w:eastAsia="Times New Roman"/>
          <w:b/>
          <w:i w:val="0"/>
          <w:color w:val="0000FF"/>
          <w:sz w:val="26"/>
        </w:rPr>
        <w:t>Discussion and Conclusion</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w:t>
      </w:r>
      <w:r>
        <w:rPr/>
        <w:t xml:space="preserve"> </w:t>
      </w:r>
      <w:r>
        <w:rPr>
          <w:color w:val="0000FF"/>
        </w:rPr>
        <w:t>This ordering does not rest on parallel trends or on the dating of publication, although its size depends on conditioning on the base-year covariates: without covariates, the MTB run-up is 6.6% (pre-trend p = 0.028).</w:t>
      </w:r>
      <w:r>
        <w:rPr/>
        <w:t xml:space="preserve"> </w:t>
      </w:r>
      <w:r>
        <w:rPr>
          <w:color w:val="0000FF"/>
        </w:rPr>
        <w:t>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w:t>
      </w:r>
      <w:r>
        <w:rPr/>
        <w:t xml:space="preserve"> </w:t>
      </w:r>
      <w:r>
        <w:rPr>
          <w:color w:val="0000FF"/>
        </w:rPr>
        <w:t>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color w:val="0000FF"/>
        </w:rPr>
        <w:t>The absence of a detected gain fits the evidence on certification by sustainability indices (Durand et al., 2019; Hawn et al., 2018) and contrasts with the price effects of MSCI rating changes (Berg, Heeb, et al., 2022; Shanaev &amp; Ghimire, 2022).</w:t>
      </w:r>
      <w:r>
        <w:rPr/>
        <w:t xml:space="preserve"> </w:t>
      </w:r>
      <w:r>
        <w:rPr>
          <w:color w:val="0000FF"/>
        </w:rPr>
        <w:t>U.S.</w:t>
      </w:r>
      <w:r>
        <w:rPr/>
        <w:t xml:space="preserve"> </w:t>
      </w:r>
      <w:r>
        <w:rPr>
          <w:color w:val="0000FF"/>
        </w:rPr>
        <w:t>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w:t>
      </w:r>
      <w:r>
        <w:rPr/>
        <w:t xml:space="preserve"> </w:t>
      </w:r>
      <w:r>
        <w:rPr>
          <w:color w:val="0000FF"/>
        </w:rPr>
        <w:t>Scored firms were also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detected change in leverage (0.8 percentage points, Holm p = 0.134) and a total-assets increase that loses significance after Holm adjustment.</w:t>
      </w:r>
      <w:r>
        <w:rPr/>
        <w:t xml:space="preserve"> </w:t>
      </w:r>
      <w:r>
        <w:rPr>
          <w:color w:val="0000FF"/>
        </w:rPr>
        <w:t>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w:t>
      </w:r>
      <w:r>
        <w:rPr/>
        <w:t xml:space="preserve"> </w:t>
      </w:r>
      <w:r>
        <w:rPr>
          <w:color w:val="0000FF"/>
        </w:rPr>
        <w:t>For providers, publishing the date on which each firm's coverage began, with the vintages of revised scores, would separate what was known from what was filled in later.</w:t>
      </w:r>
      <w:r>
        <w:rPr/>
        <w:t xml:space="preserve"> </w:t>
      </w:r>
      <w:r>
        <w:rPr>
          <w:color w:val="0000FF"/>
        </w:rPr>
        <w:t>For investors, a portfolio screened on ESG scores in these markets holds firms that, on average, entered coverage after outgrowing their peers.</w:t>
      </w:r>
      <w:r>
        <w:rPr/>
        <w:t xml:space="preserve"> </w:t>
      </w:r>
      <w:r>
        <w:rPr>
          <w:color w:val="0000FF"/>
        </w:rPr>
        <w:t>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color w:val="0000FF"/>
        </w:rPr>
        <w:t>The study has limitations.</w:t>
      </w:r>
      <w:r>
        <w:rPr/>
        <w:t xml:space="preserve"> </w:t>
      </w:r>
      <w:r>
        <w:rPr>
          <w:color w:val="0000FF"/>
        </w:rPr>
        <w:t>The post-coverage estimates rest on conditional parallel trends that the pre-coverage estimates question, and our bound is a simplified version of Rambachan and Roth (2023).</w:t>
      </w:r>
      <w:r>
        <w:rPr/>
        <w:t xml:space="preserve"> </w:t>
      </w:r>
      <w:r>
        <w:rPr>
          <w:color w:val="0000FF"/>
        </w:rPr>
        <w:t>We observe neither publication dates, returns, ownership, nor index membership, and only LSEG coverage, and flagging implausible market capitalization removes order-of-magnitude recording errors but not smaller ones.</w:t>
      </w:r>
      <w:r>
        <w:rPr/>
        <w:t xml:space="preserve"> </w:t>
      </w:r>
      <w:r>
        <w:rPr>
          <w:color w:val="0000FF"/>
        </w:rPr>
        <w:t>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color w:val="0000FF"/>
        </w:rPr>
        <w:t>In conclusion, entry into LSEG ESG coverage in five Southeast Asian markets was selective.</w:t>
      </w:r>
      <w:r>
        <w:rPr/>
        <w:t xml:space="preserve"> </w:t>
      </w:r>
      <w:r>
        <w:rPr>
          <w:color w:val="0000FF"/>
        </w:rPr>
        <w:t>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w:t>
      </w:r>
      <w:r>
        <w:rPr/>
        <w:t xml:space="preserve"> </w:t>
      </w:r>
      <w:r>
        <w:rPr>
          <w:color w:val="0000FF"/>
        </w:rPr>
        <w:t>After entry, the valuation gap stopped widening, but whether coverage itself changed valuations cannot be settled: the answer moves from no detected change to a decline of 6.6% depending on when investors are assumed to have seen the score.</w:t>
      </w:r>
      <w:r>
        <w:rPr/>
        <w:t xml:space="preserve"> </w:t>
      </w:r>
      <w:r>
        <w:rPr>
          <w:color w:val="0000FF"/>
        </w:rPr>
        <w:t>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 xml:space="preserve">Crump, R. K., Hotz, V. J., Imbens, G. W., &amp; Mitnik, O. A. (2009). 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color w:val="0000FF"/>
        </w:rPr>
        <w:t xml:space="preserve">LSEG. (2023).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 xml:space="preserve">Nguyen, T. T. (2025). 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color w:val="0000FF"/>
        </w:rPr>
        <w:t xml:space="preserve">Otoritas Jasa Keuangan. (2017).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 xml:space="preserve">Prukumpai, S., Sethapramote, Y., &amp; Luangaram, P. (2022). 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 xml:space="preserve">Sudsawasd, S., &amp; Sakdapat, P. (2026). 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