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paper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A pre-analysis plan, committed before the estimation code, records the hypotheses, sample, estimator, and robustness checks; every later analysis is labeled exploratory.</w:t>
      </w:r>
    </w:p>
    <w:p>
      <w:pPr>
        <w:spacing w:line="360" w:lineRule="auto" w:after="120" w:before="0"/>
        <w:ind w:firstLine="720"/>
        <w:jc w:val="both"/>
      </w:pPr>
      <w:r>
        <w:rPr/>
        <w:t>The evidence has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t>The paper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and part of the price increase at S&amp;P 500 inclusion reverses within weeks (Harris &amp; Gurel, 1986; Shleifer,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Data and Methods</w:t>
      </w:r>
    </w:p>
    <w:p>
      <w:pPr>
        <w:pStyle w:val="Heading2"/>
        <w:keepNext/>
        <w:spacing w:line="360" w:lineRule="auto" w:after="120" w:before="160"/>
      </w:pPr>
      <w:r>
        <w:rPr>
          <w:rFonts w:ascii="Times New Roman" w:hAnsi="Times New Roman" w:eastAsia="Times New Roman"/>
          <w:b/>
          <w:i w:val="0"/>
          <w:color w:val="000000"/>
          <w:sz w:val="24"/>
        </w:rPr>
        <w:t>3.1 Institutional Setting and Sample</w:t>
      </w:r>
    </w:p>
    <w:p>
      <w:pPr>
        <w:spacing w:line="360" w:lineRule="auto" w:after="120" w:before="0"/>
        <w:ind w:firstLine="720"/>
        <w:jc w:val="both"/>
      </w:pPr>
      <w:r>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is a separate product, so our event is the initiation of LSEG ESG coverage, not a firm's first ESG rating of any kind. 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 Every firm in the extract has data in 2024, so the sample conditions on survival to 2024, and without delisting data we cannot sign the resulting bias. Dropping financial firms leaves 3,423 firms. A firm's first recorded score year, g, is its first fiscal year with an LSEG ESG score, and its base year is g − 1. Only 17 of the 675 scored firms have a later year without a score, so we treat coverage as permanent. Excluding the 135 firms scored in 2014, which have no pre-coverage year, leaves 3,288 firms with 32,521 listed firm-years (3,647 rows precede listing): 675 firms first scored between 2015 and 2024 (59.9% of them Malaysian) and 2,613 never-scored firms, which form the comparison group; Tables S2 and S3 of the supplementary material give the firm-years and firms behind each estimate. 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3.2 Event Dating, Outcomes, and Recording Errors</w:t>
      </w:r>
    </w:p>
    <w:p>
      <w:pPr>
        <w:spacing w:line="360" w:lineRule="auto" w:after="120" w:before="0"/>
        <w:ind w:firstLine="720"/>
        <w:jc w:val="both"/>
      </w:pPr>
      <w:r>
        <w:rPr/>
        <w:t>The first recorded score may precede the year in which investors first see a score. 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 The first recorded score can therefore date entry too early but, unless the provider deleted an earlier score, not too late. Our extract holds each score by fiscal year, with no publication or update date, as it stood at download; that every scored firm still has a score in 2024 fits a download of the provider's current universe. LSEG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p>
    <w:p>
      <w:pPr>
        <w:spacing w:line="360" w:lineRule="auto" w:after="120" w:before="0"/>
        <w:ind w:firstLine="720"/>
        <w:jc w:val="both"/>
      </w:pPr>
      <w:r>
        <w:rPr/>
        <w:t>The primary outcome is the natural logarithm of the MTB ratio. The secondary outcomes are log market capitalization, log total assets, and book leverage, total debt divided by total assets; without stock returns or shares outstanding, we treat market capitalization and total assets as measures of scale. Amounts are in U.S. dollars, winsorized at the 1st and 99th percentiles of the pooled sample. A few market capitalization records are implausibly large; one Indonesian firm is recorded at 1,138.8 billion U.S. dollars. Because market capitalization divided by the MTB ratio gives the implied book equity, which cannot exceed total assets, we flag firm-years in which the implied book equity exceeds ten times total assets: 209 of 27,127 firm-years, 73 of them for scored firms. A lower threshold, a ratio above two, flags 749 firm-years.</w:t>
      </w:r>
    </w:p>
    <w:p>
      <w:pPr>
        <w:pStyle w:val="Heading2"/>
        <w:keepNext/>
        <w:spacing w:line="360" w:lineRule="auto" w:after="120" w:before="160"/>
      </w:pPr>
      <w:r>
        <w:rPr>
          <w:rFonts w:ascii="Times New Roman" w:hAnsi="Times New Roman" w:eastAsia="Times New Roman"/>
          <w:b/>
          <w:i w:val="0"/>
          <w:color w:val="000000"/>
          <w:sz w:val="24"/>
        </w:rPr>
        <w:t>3.3 Identification and Estimation</w:t>
      </w:r>
    </w:p>
    <w:p>
      <w:pPr>
        <w:spacing w:line="360" w:lineRule="auto" w:after="120" w:before="0"/>
        <w:ind w:firstLine="720"/>
        <w:jc w:val="both"/>
      </w:pPr>
      <w:r>
        <w:rPr/>
        <w:t>In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Level differences between scored and never-scored firms do not violate this assumption, but a different growth path before coverage would. In the large Malaysian wave the pre-coverage estimates show no detectable run-up, so for these firms the assumption does not require a trend to stop; the run-up interval is wide, however (−7.4% to 15.2%), and the wave split is exploratory. If the provider adds firms once they cross a size or visibility threshold, conditioning on base-year size compares firms on the same side of it. Against this, if part of a run-up was transitory, scored firms would have fallen back even without a score, and the estimates would understate any effect of coverage. 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Because 24.6% of scored firms have larger base-year total assets than the 95th percentile of never-scored firms, we use outcome regression rather than the doubly robust estimator and also restrict scored firms to the size range of the controls, in the spirit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00"/>
          <w:sz w:val="24"/>
        </w:rPr>
        <w:t>3.4 Inference, Sensitivity, and Robustness Checks</w:t>
      </w:r>
    </w:p>
    <w:p>
      <w:pPr>
        <w:spacing w:line="360" w:lineRule="auto" w:after="120" w:before="0"/>
        <w:ind w:firstLine="720"/>
        <w:jc w:val="both"/>
      </w:pPr>
      <w:r>
        <w:rPr/>
        <w:t>We bootstrap by resampling firms with their full time series; all specifications share the same 999 draws and seed, so differences between specifications have a valid joint distribution. We report the bootstrap standard error (SE), the percentile 95% confidence interval, a normal-approximation p-value, and the minimum detectable effect at 80% power, MDE ≈ 2.8 × SE. Secondary outcomes carry Holm-adjusted p-values. 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t>Three exploratory checks address departures from parallel trends: removing a linear pre-coverage trend through zero in the base year, adding pre-coverage growth of log market capitalization to X</w:t>
      </w:r>
      <w:r>
        <w:rPr>
          <w:vertAlign w:val="subscript"/>
        </w:rPr>
        <w:t>i</w:t>
      </w:r>
      <w:r>
        <w:rPr/>
        <w:t>, and bounding the bias in the spirit of Rambachan and Roth (2023). 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The bias for event year e is then at most M̄Δ(e + 1), and we widen the headline interval by its weighted average; with M̄ = 0.25, the gap may drift each year by a quarter of the largest yearly change before coverage. 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standard errors are clustered by firm; β averages over any run-up and uses already scored firms as controls. 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 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00"/>
          <w:sz w:val="24"/>
        </w:rPr>
        <w:t>4.1 Who Gets Scored and the Valuation Path Around Entry</w:t>
      </w:r>
    </w:p>
    <w:p>
      <w:pPr>
        <w:spacing w:line="360" w:lineRule="auto" w:after="120" w:before="0"/>
        <w:ind w:firstLine="720"/>
        <w:jc w:val="both"/>
      </w:pPr>
      <w:r>
        <w:rPr/>
        <w:t>Table 1 compares scored firms in the base year with never-scored firm-years. Scored firms are larger: their median market capitalization is 203.2 million U.S. dollars against 42.2 million, and their median total assets are 4.3 times as large. Their MTB ratio is also higher, while leverage differs little.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base year g − 1; never-scored firms in 2014–2024. Norm. diff. is the mean difference divided by the root of the average variance.</w:t>
      </w:r>
    </w:p>
    <w:p>
      <w:pPr>
        <w:spacing w:line="360" w:lineRule="auto" w:after="120" w:before="0"/>
        <w:ind w:firstLine="720"/>
        <w:jc w:val="both"/>
      </w:pPr>
      <w:r>
        <w:rPr/>
        <w:t>Figure 1 plots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The MTB gap thus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Estimates relative to event year −1 with firm-bootstrap 95% intervals; 141 to 615 scored firms per event year.</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Estimates by wave against all never-scored firms, with firm-bootstrap 95% intervals. The waves hold 289, 108, and 278 scored firms.</w:t>
      </w:r>
    </w:p>
    <w:p>
      <w:pPr>
        <w:pStyle w:val="Heading2"/>
        <w:keepNext/>
        <w:spacing w:line="360" w:lineRule="auto" w:after="120" w:before="160"/>
      </w:pPr>
      <w:r>
        <w:rPr>
          <w:rFonts w:ascii="Times New Roman" w:hAnsi="Times New Roman" w:eastAsia="Times New Roman"/>
          <w:b/>
          <w:i w:val="0"/>
          <w:color w:val="000000"/>
          <w:sz w:val="24"/>
        </w:rPr>
        <w:t>4.2 Average Change After Entry and the Two Datings</w:t>
      </w:r>
    </w:p>
    <w:p>
      <w:pPr>
        <w:spacing w:line="360" w:lineRule="auto" w:after="120" w:before="0"/>
        <w:ind w:firstLine="720"/>
        <w:jc w:val="both"/>
      </w:pPr>
      <w:r>
        <w:rPr/>
        <w:t>Table 2 reports the headline estimates. The change in log MTB is 0.002, with a 95% confidence interval of −0.046 to 0.048, so the data are compatible with changes in the MTB ratio from −4.5% to 4.9%; the MDE is about 7.0%. With the cluster bootstrap, which allows for market-wide shocks such as the political uncertainty that moves Thai stock prices (Prukumpai et al., 2022), the interval is −0.050 to 0.053.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with firm-bootstrap standard errors; secondary p-values are Holm-adjusted, intervals are not. MDE: 80%-power minimum detectable effect; pre-trend p from the joint Wald test of event years −5 to −2.</w:t>
      </w:r>
    </w:p>
    <w:p>
      <w:pPr>
        <w:spacing w:line="360" w:lineRule="auto" w:after="120" w:before="0"/>
        <w:ind w:firstLine="720"/>
        <w:jc w:val="both"/>
      </w:pPr>
      <w:r>
        <w:rPr/>
        <w:t>Table 3 presents the robustness checks; the first six were pre-specified, and the rest are exploratory. Dating coverage one year after the first recorded score, the earliest year in which a score could have been public, gives an MTB change of −0.068, about −6.6% (95% interval −0.116 to −0.020; p = 0.004), with a joint pre-trend p = 0.072. 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(firm-clustered for two-way fixed effects); firm counts for ln(MTB). *, **, ***: 10%, 5%, 1% (unadjusted).</w:t>
      </w:r>
    </w:p>
    <w:p>
      <w:pPr>
        <w:spacing w:line="360" w:lineRule="auto" w:after="120" w:before="0"/>
        <w:ind w:firstLine="720"/>
        <w:jc w:val="both"/>
      </w:pPr>
      <w:r>
        <w:rPr/>
        <w:t>Table 4 moves from the first-recorded-year estimate to the one-year-later estimate one step at a time. Row 2 keeps only firms observed in both g − 1 and g, so that every later row draws on the same set of firms; this changes the MTB estimate by −0.005. Row 3 averages event years 1 to 4 instead of 0 to 3; this changes it by −0.016 (p = 0.092). Row 4 moves the reference year from g − 1 to g, which is what dating coverage one year later does to the comparison; this changes the estimate by −0.044 (p = 0.024), 62% of the total gap of −0.070. Measuring size in g (row 5) and returning to all firms (row 6) change little. The steps are sequential, so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The reference year thus drives the difference. Moving it from g − 1 to g subtracts from each later estimate the change in log MTB of the same scored firms, relative to the same never-scored firms, between g − 1 and g. The row 4 step, −0.044, is therefore minus each cohort's own change between g − 1 and g (0.044 on average) weighted as in event years 1 to 4, which fall most on the early cohorts observed longest after entry; it is an accounting identity, not a separate estimate, and it is larger than the pooled event-year-0 estimate in Figure 1. Part of the decline under the later dating is thus the rise these cohorts had in the first recorded year itself. The cohorts observed through event year 4 (rows 7 to 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(p = 0.307). Where no run-up was detected, neither dating detects an MTB change (95% intervals −0.053 to 0.091 and −0.055 to 0.076).</w:t>
      </w:r>
    </w:p>
    <w:p>
      <w:pPr>
        <w:spacing w:line="360" w:lineRule="auto" w:after="120" w:before="0"/>
        <w:ind w:firstLine="720"/>
        <w:jc w:val="both"/>
      </w:pPr>
      <w:r>
        <w:rPr/>
        <w:t>Two readings fit this pattern.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4.3 Sensitivity and Robustness</w:t>
      </w:r>
    </w:p>
    <w:p>
      <w:pPr>
        <w:spacing w:line="360" w:lineRule="auto" w:after="120" w:before="0"/>
        <w:ind w:firstLine="720"/>
        <w:jc w:val="both"/>
      </w:pPr>
      <w:r>
        <w:rPr/>
        <w:t>Keeping only the 7 cohorts observed through event year 3 gives −0.008 (p = 0.806), so changing cohort composition does not explain the headline estimate. Removing a linear pre-trend gives −0.052, and matching on pre-coverage growth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spacing w:line="360" w:lineRule="auto" w:after="120" w:before="0"/>
        <w:ind w:firstLine="720"/>
        <w:jc w:val="both"/>
      </w:pPr>
      <w:r>
        <w:rPr/>
        <w:t>None of the four pre-specified robustness checks shows an MTB effect that differs from zero at the 10% level (estimates from −0.001 to 0.031), while the market capitalization and total assets results are less stable. Excluding one market at a time (Table S9) gives MTB effects from −0.007 to 0.017. The placebo yields 0.059 on log MTB (p = 0.010), restating the pre-coverage growth in Figure 1. 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00"/>
          <w:sz w:val="24"/>
        </w:rPr>
        <w:t>4.4 Initial Scores and What the Pooled Estimate Represents</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partly reversed price rise at S&amp;P 500 inclusion (Harris &amp; Gurel, 1986; Shleifer, 1986), our estimates concern lasting revaluation (Chen et al., 2004). 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5. Discussion and Conclusion</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 This ordering does not rest on parallel trends or on the dating of publication, although its size depends on conditioning on base-year size: without covariates, the MTB run-up is 6.6% (pre-trend p = 0.028). 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 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t>The absence of a detected gain fits the evidence on certification by sustainability indices (Durand et al., 2019; Hawn et al., 2018) and contrasts with the price effects of MSCI rating changes (Berg, Heeb, et al., 2022; Shanaev &amp; Ghimire, 2022). U.S. 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 Scored firms were also large and visible before coverage, which leaves less room for recognition (Merton, 1987). Unlike U.S. evidence that coverage changes firm conduct and payout (Bikmetova &amp; Pirinsky, 2026; Tsang et al., 2024, 2025), we find no detected change in leverage (0.8 percentage points, Holm p = 0.134) and a total-assets increase that loses significance after Holm adjustment. 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and record the download date of their rating data. For providers, publishing the date on which each firm's coverage began, with the vintages of revised scores, would separate what was known from what was filled in later. For investors, a portfolio screened on ESG scores in these markets holds firms that, on average, entered coverage after outgrowing their peers. For exchanges and regulators,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t>The study has limitations. The post-coverage estimates rest on conditional parallel trends that the pre-coverage estimates question, and our bound is a simplified version of Rambachan and Roth (2023). We observe neither publication dates, returns, ownership, nor index membership, and only LSEG coverage. 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t>In conclusion, entry into LSEG ESG coverage in five Southeast Asian markets was selective. 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 After entry, the valuation gap stopped widening, but whether coverage itself changed valuations cannot be settled: the answer moves from no detected change to a decline of 6.6% depending on when investors are assumed to have seen the score. 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