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Comments are quoted in full in italics, and our responses follow in plain text. Section numbers inside the quoted comments refer to the original manuscript; in our responses, section and table numbers refer to the revised manuscript, which has five sections (original Sections 3 and 4 are now Section 3, original Section 5 is now Section 4, and original Sections 6 to 8 are now Section 5), in which every sentence that is new or differs from the submitted version is highlighted in blue; text we deleted is not shown. Some secondary results moved to Appendix A of the supplementary material.</w:t>
      </w:r>
    </w:p>
    <w:bookmarkStart w:id="28"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0"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date publication with the data we hold,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LSEG does distribute a point-in-time version of its ESG data that keeps values as first published (LSEG, 2023), which would date publication for the cohorts it covers; our extract does not contain it, and Section 3.2 now says so. [AUTHOR_INPUT_NEEDED: whether the authors can obtain LSEG ESG point-in-time data; if so, the publication-dated analysis should be added before resubmission.]</w:t>
      </w:r>
    </w:p>
    <w:p>
      <w:pPr>
        <w:pStyle w:val="BodyText"/>
      </w:pPr>
      <w:r>
        <w:t xml:space="preserve">The revision makes four changes. First, the event is now called the first recorded score, defined as the first fiscal year for which the database holds a score (Sections 1 and 3.1);</w:t>
      </w:r>
      <w:r>
        <w:t xml:space="preserve"> </w:t>
      </w:r>
      <w:r>
        <w:t xml:space="preserve">“</w:t>
      </w:r>
      <w:r>
        <w:t xml:space="preserve">first scored in year g</w:t>
      </w:r>
      <w:r>
        <w:t xml:space="preserve">”</w:t>
      </w:r>
      <w:r>
        <w:t xml:space="preserve"> </w:t>
      </w:r>
      <w:r>
        <w:t xml:space="preserve">is used as shorthand for a first recorded score in year g. Second, a new Section 3.2,</w:t>
      </w:r>
      <w:r>
        <w:t xml:space="preserve"> </w:t>
      </w:r>
      <w:r>
        <w:t xml:space="preserve">“</w:t>
      </w:r>
      <w:r>
        <w:t xml:space="preserve">Event Dating, Outcomes, and Recording Errors,</w:t>
      </w:r>
      <w:r>
        <w:t xml:space="preserve">”</w:t>
      </w:r>
      <w:r>
        <w:t xml:space="preserve"> </w:t>
      </w:r>
      <w:r>
        <w:t xml:space="preserve">explains why the recorded year can precede publication and states the one property we can establish: publication follows the end of fiscal year g, so the recorded year can date entry too early but, unless the provider deleted an earlier score, not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r>
        <w:t xml:space="preserve">”</w:t>
      </w:r>
      <w:r>
        <w:t xml:space="preserve"> </w:t>
      </w:r>
      <w:r>
        <w:t xml:space="preserve">Third, Section 5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4.2 uses it to show what changes when the event moves later, and Comment 3 below describes the result.</w:t>
      </w:r>
    </w:p>
    <w:bookmarkEnd w:id="20"/>
    <w:bookmarkStart w:id="21"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5.3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5.4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the parallel trends assumption, and the conclusions rest mainly on the descriptive evidence of selection.</w:t>
      </w:r>
    </w:p>
    <w:p>
      <w:pPr>
        <w:pStyle w:val="BodyText"/>
      </w:pPr>
      <w:r>
        <w:t xml:space="preserve">On the pre-trend test, Section 4.1 now states:</w:t>
      </w:r>
      <w:r>
        <w:t xml:space="preserve"> </w:t>
      </w:r>
      <w:r>
        <w:t xml:space="preserve">“</w:t>
      </w:r>
      <w:r>
        <w:t xml:space="preserve">The MTB non-rejection is not evidence of parallel trends: the estimates for event years −5 and −4 differ from zero, and pre-trend tests have low power (Roth, 2022).</w:t>
      </w:r>
      <w:r>
        <w:t xml:space="preserve">”</w:t>
      </w:r>
      <w:r>
        <w:t xml:space="preserve"> </w:t>
      </w:r>
      <w:r>
        <w:t xml:space="preserve">On the placebo, Section 4.3 now states that its failure restates the pre-coverage growth in Figure 1. On the sensitivity analyses, Section 4.3 now concludes that</w:t>
      </w:r>
      <w:r>
        <w:t xml:space="preserve"> </w:t>
      </w:r>
      <w:r>
        <w:t xml:space="preserve">“</w:t>
      </w:r>
      <w:r>
        <w:t xml:space="preserve">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3.3 gives two arguments for and one against. In the Malaysian wave, which carries 44.1% of the weight in the pooled estimate, the pre-coverage estimates show no detectable run-up (joint pre-trend p = 0.549), so for these firms the assumption does not require a trend to stop. We say in the same paragraph that this is not evidence of parallel trends: the run-up interval for the wave runs from −7.4% to 15.2%, and the wave split is exploratory.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We therefore treat the post-coverage estimates as conditional on parallel trends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4.1,</w:t>
      </w:r>
      <w:r>
        <w:t xml:space="preserve"> </w:t>
      </w:r>
      <w:r>
        <w:t xml:space="preserve">“</w:t>
      </w:r>
      <w:r>
        <w:t xml:space="preserve">Who Gets Scored and the Valuation Path Around Entry,</w:t>
      </w:r>
      <w:r>
        <w:t xml:space="preserve">”</w:t>
      </w:r>
      <w:r>
        <w:t xml:space="preserve"> </w:t>
      </w:r>
      <w:r>
        <w:t xml:space="preserve">describes the observed gap and adds:</w:t>
      </w:r>
      <w:r>
        <w:t xml:space="preserve"> </w:t>
      </w:r>
      <w:r>
        <w:t xml:space="preserve">“</w:t>
      </w:r>
      <w:r>
        <w:t xml:space="preserve">Only reading the post-coverage part as an effect of coverage depends on the parallel trends assumption.</w:t>
      </w:r>
      <w:r>
        <w:t xml:space="preserve">”</w:t>
      </w:r>
      <w:r>
        <w:t xml:space="preserve"> </w:t>
      </w:r>
      <w:r>
        <w:t xml:space="preserve">Section 4.2 reports the average change after entry as conditional on parallel trends, and Table 2 is retitled in the same way. The emphasis of the conclusions has moved to selection, as described under Comment 8.</w:t>
      </w:r>
    </w:p>
    <w:bookmarkEnd w:id="21"/>
    <w:bookmarkStart w:id="22"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4.2 and Table 4 move from the first-recorded-year estimate to the one-year-later estimate one step at a time on a common set of firms, and Table S6 repeats both datings by coverage wave.</w:t>
      </w:r>
    </w:p>
    <w:p>
      <w:pPr>
        <w:pStyle w:val="BodyText"/>
      </w:pPr>
      <w:r>
        <w:t xml:space="preserve">Each row of Table 4 changes one feature. Restricting to firms observed in both g − 1 and g, so that every later row draws on the same set of firms,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after each cohort’s own rise in that year: moving the reference year subtracts from each later estimate the change of the same scored firms, relative to the same never-scored firms, between g − 1 and g. The step of −0.044 is minus each cohort’s own change between g − 1 and g, averaged with the weights of event years 1 to 4, an accounting identity rather than a separate estimate, so part of the decline under the later dating is the rise in the first recorded year itself. Because the steps are sequential, the shares depend on their order; we take the window step before the reference step.</w:t>
      </w:r>
    </w:p>
    <w:p>
      <w:pPr>
        <w:pStyle w:val="BodyText"/>
      </w:pPr>
      <w:r>
        <w:t xml:space="preserve">The wave comparison in Table S6 adds the most informative evidence. Under the one-year-later dating the MTB change is −0.136 for the Thai and Singaporean wave and −0.111 for the remaining cohorts, both of which had a run-up, but 0.012 for the Malaysian wave, in which no run-up was detected (2.8%, 95% interval −7.4% to 15.2%); its first-recorded-year estimate is 0.021. Where no run-up was detected before entry, neither dating detects an MTB change (95% intervals −0.053 to 0.091 and −0.055 to 0.076).</w:t>
      </w:r>
    </w:p>
    <w:p>
      <w:pPr>
        <w:pStyle w:val="BodyText"/>
      </w:pPr>
      <w:r>
        <w:t xml:space="preserve">On which definition is most defensible, we agree that the baseline should not receive more weight because it was pre-specified, and Section 4.2 now says so:</w:t>
      </w:r>
      <w:r>
        <w:t xml:space="preserve"> </w:t>
      </w:r>
      <w:r>
        <w:t xml:space="preserve">“</w:t>
      </w:r>
      <w:r>
        <w:t xml:space="preserve">Pre-specification does not make the recorded year the date on which investors learned of coverage, so we give the two datings equal standing.</w:t>
      </w:r>
      <w:r>
        <w:t xml:space="preserve">”</w:t>
      </w:r>
      <w:r>
        <w:t xml:space="preserve"> </w:t>
      </w:r>
      <w:r>
        <w:t xml:space="preserve">We report both estimates as answers to different questions. Neither isolates an effect of coverage, because the later dating measures valuations from the first recorded year, after the rise in that year. Section 4.2 states the two readings, a reversal of the run-up that could hide a gain or a negative effect of coverage, and that the data cannot separate them. What the datings share is that neither shows a gain and that the decline appears only where a run-up preceded entry.</w:t>
      </w:r>
    </w:p>
    <w:bookmarkEnd w:id="22"/>
    <w:bookmarkStart w:id="23"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part of Section 4.3 on firm size and common support and two new tables. Section 3.3 now states that, because so many scored firms are larger than the 95th percentile of controls, we also restrict scored firms to the size range of the controls.</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(with control propensity scores capped at 0.99) becomes usable and gives −0.010 (p = 0.715), with 1.1% of scored firm-cells having an estimated propensity score above 0.95 (Sant’Anna &amp; Zhao, 2020); the size restriction follows the spirit of the overlap trimming of Crump et al. (2009), applied to size rather than to the propensity score. The MTB result therefore does not depend on extrapolating the size adjustment.</w:t>
      </w:r>
    </w:p>
    <w:p>
      <w:pPr>
        <w:pStyle w:val="BodyText"/>
      </w:pPr>
      <w:r>
        <w:t xml:space="preserve">Market capitalization is more sensitive, as the reviewer anticipates: its estimate is 0.016 without covariates, between −0.059 and −0.033 across the functional forms that adjust for size, and between −0.096 and −0.061 on the restricted supports. Section 4.3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Singaporean, Indonesian, or Thai, whereas 71.5% of the retained firms are Malaysian. The text states that the restricted estimate describes mid-sized scored firms, largely from the Malaysian expansion, and says little about the largest firms.</w:t>
      </w:r>
    </w:p>
    <w:bookmarkEnd w:id="23"/>
    <w:bookmarkStart w:id="24"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5.6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Without ownership, fund holding, or trading data, we cannot observe the channels themselves; the data show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5 applies the same distinction to the discussion.</w:t>
      </w:r>
    </w:p>
    <w:p>
      <w:pPr>
        <w:pStyle w:val="BodyText"/>
      </w:pPr>
      <w:r>
        <w:t xml:space="preserve">The interpretation of the high- and low-score comparison (now Section 4.4) is more cautious. It reports the minimum detectable differences of 0.113 and 0.111, about 12% in the MTB ratio, notes that the score is correlated with size (0.35) and that the residual split removes only part of this link, and concludes that the result</w:t>
      </w:r>
      <w:r>
        <w:t xml:space="preserve"> </w:t>
      </w:r>
      <w:r>
        <w:t xml:space="preserve">“</w:t>
      </w:r>
      <w:r>
        <w:t xml:space="preserve">does not show that ESG preferences are unimportant.</w:t>
      </w:r>
      <w:r>
        <w:t xml:space="preserve">”</w:t>
      </w:r>
    </w:p>
    <w:bookmarkEnd w:id="24"/>
    <w:bookmarkStart w:id="25"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4.3, new Table 7, and new Table S8 address both concerns. In checking this comment we also corrected a statement in the original Section 3.2: the source data contain no MTB ratio at or below zero, so firm-years with negative book equity appear as missing together with firm-years that lack market or accounting data, and we cannot separate the two. The revised Section 3.1 says so.</w:t>
      </w:r>
    </w:p>
    <w:p>
      <w:pPr>
        <w:pStyle w:val="BodyText"/>
      </w:pPr>
      <w:r>
        <w:t xml:space="preserve">All missing-data shares are now computed over listed firm-years: every firm has a row for each year from 2014 to 2024, and the 3,647 rows for years without listing data, almost all of them before a firm lists, are empty. On this basis, MTB ratios are missing for 18.5% of never-scored and 9.0% of scored firm-years. Table S8 compares firm-years with and without an MTB ratio. Firm-years without one are more often highly levered (leverage above 0.5 in 25.4% of never-scored firm-years without a ratio, against 8.4% with one) and more often Indonesian (36.2% against 24.1%), consistent with financial distress and with gaps in market data. Only 36.7% of never-scored and 36.6% of scored firm-years without a ratio have a market capitalization, so most gaps are missing market data rather than negative book equity alone. Of the 50 scored firms that do not enter the MTB estimate, those with base-year total assets have a median similar to that of firms that do (280.3 against 294.3 million U.S. dollars), so the missing ratios do not shift the median size of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4.3 reports this.</w:t>
      </w:r>
    </w:p>
    <w:p>
      <w:pPr>
        <w:pStyle w:val="BodyText"/>
      </w:pPr>
      <w:r>
        <w:t xml:space="preserve">On the implausible market capitalization records, Section 3.2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5 now describes the remaining limitation.</w:t>
      </w:r>
    </w:p>
    <w:p>
      <w:pPr>
        <w:pStyle w:val="BodyText"/>
      </w:pPr>
      <w:r>
        <w:t xml:space="preserve">In checking the data for this comment, we also found that every firm in our extract has data in 2024: firms enter the panel when they list, but firms that delisted between 2014 and 2023 are not in the extract. Section 3.1 now states that the sample conditions on survival to 2024, Section 3.2 notes that the fact that every scored firm still has a score in 2024 fits a download of the provider’s current universe, and Section 5 lists survivorship as a limitation whose bias we cannot sign without delisting data.</w:t>
      </w:r>
    </w:p>
    <w:bookmarkEnd w:id="25"/>
    <w:bookmarkStart w:id="26"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part of Section 4.4 on what the pooled estimate represents and a new Table S10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after the COVID-19 pandemic, not an average effect for the five markets,</w:t>
      </w:r>
      <w:r>
        <w:t xml:space="preserve">”</w:t>
      </w:r>
      <w:r>
        <w:t xml:space="preserve"> </w:t>
      </w:r>
      <w:r>
        <w:t xml:space="preserve">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4.1 reports the paths by wave, and Section 4.2 and Table S6 show that the waves differ under the later dating as well: the Malaysian wave, in which no run-up was detected, shows no detectable change under either dating, while the waves with a run-up show the decline. We now use this contrast as evidence (Sections 3.3 and 4.2) rather than averaging over it. Section 4.2 now also tests the differences between waves with joint firm-bootstrap draws: relative to the Malaysian wave, the Thai and Singaporean wave differs in the run-up (−0.258, p = 0.010) and in the one-year-later change (−0.148, p = 0.006), while the remaining cohorts differ in the one-year-later change but not detectably in the run-up (−0.075, 95% interval −0.219 to 0.075). Because we drew the wave boundaries after seeing the coverage counts, the manuscript labels this comparison exploratory.</w:t>
      </w:r>
    </w:p>
    <w:bookmarkEnd w:id="26"/>
    <w:bookmarkStart w:id="27"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5 now makes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Appendix A.6 of the supplementary material reports that one of many exploratory subgroups, the 58 firms first scored by 2019, shows a positive estimate that we do not read as evidence of a gain. The title already names coverage selection, so we have kept it.</w:t>
      </w:r>
    </w:p>
    <w:p>
      <w:pPr>
        <w:pStyle w:val="BodyText"/>
      </w:pPr>
      <w:r>
        <w:t xml:space="preserve">We have rewritten the implications in Section 5.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 that</w:t>
      </w:r>
      <w:r>
        <w:t xml:space="preserve"> </w:t>
      </w:r>
      <w:r>
        <w:t xml:space="preserve">“</w:t>
      </w:r>
      <w:r>
        <w:t xml:space="preserve">arguments for expanding coverage should therefore rest on grounds other than an expected rise in issuer valuations.</w:t>
      </w:r>
      <w:r>
        <w:t xml:space="preserve">”</w:t>
      </w:r>
      <w:r>
        <w:t xml:space="preserve"> </w:t>
      </w:r>
      <w:r>
        <w:t xml:space="preserve">The conclusion has been rewritten in the same terms and ends with the data that would move the question forward: point-in-time records of when each firm’s score was first published, and ownership and trading data.</w:t>
      </w:r>
    </w:p>
    <w:bookmarkEnd w:id="27"/>
    <w:bookmarkEnd w:id="28"/>
    <w:bookmarkStart w:id="29"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and 5;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and 5</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thank the reviewer again for comments that improved the paper.</w:t>
      </w:r>
    </w:p>
    <w:p>
      <w:pPr>
        <w:pStyle w:val="BodyText"/>
      </w:pPr>
      <w:r>
        <w:t xml:space="preserve">Sincerely,</w:t>
      </w:r>
    </w:p>
    <w:p>
      <w:pPr>
        <w:pStyle w:val="BodyText"/>
      </w:pPr>
      <w:r>
        <w:t xml:space="preserve">The authors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2026-10-31T13:02:50Z</dcterms:created>
  <dcterms:modified xsi:type="dcterms:W3CDTF">2026-10-31T13:02:50Z</dcterms:modified>
</cp:coreProperties>
</file>

<file path=docProps/custom.xml><?xml version="1.0" encoding="utf-8"?>
<Properties xmlns="http://schemas.openxmlformats.org/officeDocument/2006/custom-properties" xmlns:vt="http://schemas.openxmlformats.org/officeDocument/2006/docPropsVTypes"/>
</file>