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in the years before their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color w:val="0000FF"/>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 Dobrick et al., 2023).</w:t>
      </w:r>
      <w:r>
        <w:rPr/>
        <w:t xml:space="preserve"> </w:t>
      </w:r>
      <w:r>
        <w:rPr>
          <w:color w:val="0000FF"/>
        </w:rPr>
        <w:t>This paper asks which firms enter the scored universe and what happens to their market valuation around entry.</w:t>
      </w:r>
    </w:p>
    <w:p>
      <w:pPr>
        <w:spacing w:line="360" w:lineRule="auto" w:after="120" w:before="0"/>
        <w:ind w:firstLine="720"/>
        <w:jc w:val="both"/>
      </w:pP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w:t>
      </w:r>
      <w:r>
        <w:rPr/>
        <w:t xml:space="preserve"> </w:t>
      </w:r>
      <w:r>
        <w:rPr>
          <w:color w:val="0000FF"/>
        </w:rPr>
        <w:t>A provider, however, is likely to add a firm once it is large, liquid, and discloses enough to be scored, and its scores rise with firm size (Dobrick et al., 2023; Drempetic et al., 2020).</w:t>
      </w:r>
      <w:r>
        <w:rPr/>
        <w:t xml:space="preserve"> </w:t>
      </w:r>
      <w:r>
        <w:rPr>
          <w:color w:val="0000FF"/>
        </w:rPr>
        <w:t>If firms enter after a period of rising value, a comparison of scored and unscored firms credits the score with growth that came before it.</w:t>
      </w:r>
      <w:r>
        <w:rPr/>
        <w:t xml:space="preserve"> </w:t>
      </w: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w:t>
      </w:r>
      <w:r>
        <w:rPr/>
        <w:t xml:space="preserve"> </w:t>
      </w:r>
      <w:r>
        <w:rPr>
          <w:color w:val="0000FF"/>
        </w:rPr>
        <w:t>The first recorded score is not necessarily the date on which investors could first see the score.</w:t>
      </w:r>
      <w:r>
        <w:rPr/>
        <w:t xml:space="preserve"> </w:t>
      </w:r>
      <w:r>
        <w:rPr>
          <w:color w:val="0000FF"/>
        </w:rPr>
        <w:t>A pre-analysis plan, committed before the estimation code, records the hypotheses, sample, estimator, and robustness checks; every later analysis is labeled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(95% interval −7.4% to 15.2%).</w:t>
      </w:r>
      <w:r>
        <w:rPr/>
        <w:t xml:space="preserve"> </w:t>
      </w: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 dated one year later, when a score could first have been public, the change is −6.6%.</w:t>
      </w:r>
      <w:r>
        <w:rPr/>
        <w:t xml:space="preserve"> </w:t>
      </w:r>
      <w:r>
        <w:rPr>
          <w:color w:val="0000FF"/>
        </w:rPr>
        <w:t>Most of this difference arises because the later dating measures valuations from the first recorded year, after the cohorts' own rise in that year, and the decline appears only in the waves that had a run-up.</w:t>
      </w:r>
      <w:r>
        <w:rPr/>
        <w:t xml:space="preserve"> </w:t>
      </w:r>
      <w:r>
        <w:rPr>
          <w:color w:val="0000FF"/>
        </w:rPr>
        <w:t>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color w:val="0000FF"/>
        </w:rPr>
        <w:t>The paper makes three contributions.</w:t>
      </w:r>
      <w:r>
        <w:rPr/>
        <w:t xml:space="preserve"> </w:t>
      </w:r>
      <w:r>
        <w:rPr>
          <w:color w:val="0000FF"/>
        </w:rPr>
        <w:t>It documents selection into ESG rating coverage in Southeast Asian markets and adds valuation to the rating-coverage literature (Bikmetova &amp; Pirinsky, 2026; Tsang et al., 2024, 2025).</w:t>
      </w:r>
      <w:r>
        <w:rPr/>
        <w:t xml:space="preserve"> </w:t>
      </w:r>
      <w:r>
        <w:rPr>
          <w:color w:val="0000FF"/>
        </w:rPr>
        <w:t>It shows why the valuation effect of coverage is hard to identify: entry follows growth and the recorded first score may precede publication.</w:t>
      </w:r>
      <w:r>
        <w:rPr/>
        <w:t xml:space="preserve"> </w:t>
      </w:r>
      <w:r>
        <w:rPr>
          <w:color w:val="0000FF"/>
        </w:rPr>
        <w:t>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FF"/>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Publishing Morningstar sustainability ratings for mutual funds redirected fund flows (Hartzmark &amp; Sussman, 2019).</w:t>
      </w:r>
    </w:p>
    <w:p>
      <w:pPr>
        <w:spacing w:line="360" w:lineRule="auto" w:after="120" w:before="0"/>
        <w:ind w:firstLine="720"/>
        <w:jc w:val="both"/>
      </w:pPr>
      <w:r>
        <w:rPr/>
        <w:t xml:space="preserve">Certification by inclusion in a sustainability index is the closest analog to a first score. </w:t>
      </w:r>
      <w:r>
        <w:rPr>
          <w:color w:val="0000FF"/>
        </w:rPr>
        <w:t>Additions to the Dow Jones Sustainability Index have limited price effects relative to similar firms outside the index (Hawn et al., 2018), and a replication finds no price effect but more analyst following after addition (Durand et al., 2019).</w:t>
      </w:r>
      <w:r>
        <w:rPr/>
        <w:t xml:space="preserve">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FF"/>
          <w:sz w:val="24"/>
        </w:rPr>
        <w:t>2.2 ESG Demand, Recognition, and Price Pressure</w:t>
      </w:r>
    </w:p>
    <w:p>
      <w:pPr>
        <w:spacing w:line="360" w:lineRule="auto" w:after="120" w:before="0"/>
        <w:ind w:firstLine="720"/>
        <w:jc w:val="both"/>
      </w:pPr>
      <w:r>
        <w:rPr/>
        <w:t xml:space="preserve">Two channels predict a valuation response to a first score. </w:t>
      </w:r>
      <w:r>
        <w:rPr>
          <w:color w:val="0000FF"/>
        </w:rPr>
        <w:t>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w:t>
      </w:r>
      <w:r>
        <w:rPr/>
        <w:t xml:space="preserve"> </w:t>
      </w:r>
      <w:r>
        <w:rPr>
          <w:color w:val="0000FF"/>
        </w:rPr>
        <w:t>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w:t>
      </w:r>
      <w:r>
        <w:rPr/>
        <w:t xml:space="preserve"> </w:t>
      </w:r>
      <w:r>
        <w:rPr>
          <w:color w:val="0000FF"/>
        </w:rPr>
        <w:t>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 xml:space="preserve">Demand shocks also shape realized prices before any rating event. </w:t>
      </w:r>
      <w:r>
        <w:rPr>
          <w:color w:val="0000FF"/>
        </w:rPr>
        <w:t>The high realized returns of green assets reflect unexpected increases in ESG concerns rather than high expected returns (Pástor et al., 2022), S&amp;P 500 inclusion raises prices (Harris &amp; Gurel, 1986; Shleifer, 1986), and part of the increase reverses within weeks (Harris &amp; Gurel, 1986).</w:t>
      </w:r>
      <w:r>
        <w:rPr/>
        <w:t xml:space="preserve">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FF"/>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w:t>
      </w:r>
      <w:r>
        <w:rPr>
          <w:color w:val="0000FF"/>
        </w:rPr>
        <w:t>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w:t>
      </w:r>
      <w:r>
        <w:rPr>
          <w:color w:val="0000FF"/>
        </w:rPr>
        <w:t>The provider we study gives higher scores to larger firms (Dobrick et al., 2023; Drempetic et al., 2020) and has rewritten historical scores on a large scale (Berg et al., 2020).</w:t>
      </w:r>
      <w:r>
        <w:rPr/>
        <w:t xml:space="preserve">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w:t>
      </w:r>
      <w:r>
        <w:rPr>
          <w:color w:val="0000FF"/>
        </w:rPr>
        <w:t>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w:t>
      </w:r>
    </w:p>
    <w:p>
      <w:pPr>
        <w:spacing w:line="360" w:lineRule="auto" w:after="120" w:before="0"/>
        <w:ind w:firstLine="720"/>
        <w:jc w:val="both"/>
      </w:pPr>
      <w:r>
        <w:rPr>
          <w:color w:val="0000FF"/>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 xml:space="preserve">3. </w:t>
      </w:r>
      <w:r>
        <w:rPr>
          <w:rFonts w:ascii="Times New Roman" w:hAnsi="Times New Roman" w:eastAsia="Times New Roman"/>
          <w:b/>
          <w:i w:val="0"/>
          <w:color w:val="0000FF"/>
          <w:sz w:val="26"/>
        </w:rPr>
        <w:t>Data and Methods</w:t>
      </w:r>
    </w:p>
    <w:p>
      <w:pPr>
        <w:pStyle w:val="Heading2"/>
        <w:keepNext/>
        <w:spacing w:line="360" w:lineRule="auto" w:after="120" w:before="160"/>
      </w:pPr>
      <w:r>
        <w:rPr>
          <w:rFonts w:ascii="Times New Roman" w:hAnsi="Times New Roman" w:eastAsia="Times New Roman"/>
          <w:b/>
          <w:i w:val="0"/>
          <w:color w:val="0000FF"/>
          <w:sz w:val="24"/>
        </w:rPr>
        <w:t>3.1 Institutional Setting and Sample</w:t>
      </w:r>
    </w:p>
    <w:p>
      <w:pPr>
        <w:spacing w:line="360" w:lineRule="auto" w:after="120" w:before="0"/>
        <w:ind w:firstLine="720"/>
        <w:jc w:val="both"/>
      </w:pPr>
      <w:r>
        <w:rPr>
          <w:color w:val="0000FF"/>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w:t>
      </w:r>
      <w:r>
        <w:rPr/>
        <w:t xml:space="preserve">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is a separate product, so our event is the initiation of LSEG ESG coverage, not a firm's first ESG rating of any kind.</w:t>
      </w:r>
      <w:r>
        <w:rPr/>
        <w:t xml:space="preserve"> </w:t>
      </w:r>
      <w:r>
        <w:rPr>
          <w:color w:val="0000FF"/>
        </w:rPr>
        <w:t>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color w:val="0000FF"/>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w:t>
      </w:r>
      <w:r>
        <w:rPr/>
        <w:t xml:space="preserve"> </w:t>
      </w:r>
      <w:r>
        <w:rPr>
          <w:color w:val="0000FF"/>
        </w:rPr>
        <w:t>Every firm in the extract has data in 2024, so the sample conditions on survival to 2024, and without delisting data we cannot sign the resulting bias.</w:t>
      </w:r>
      <w:r>
        <w:rPr/>
        <w:t xml:space="preserve"> Dropping financial firms leaves 3,423 firms. </w:t>
      </w:r>
      <w:r>
        <w:rPr>
          <w:color w:val="0000FF"/>
        </w:rPr>
        <w:t>A firm's first recorded score year, g, is its first fiscal year with an LSEG ESG score, and its base year is g − 1.</w:t>
      </w:r>
      <w:r>
        <w:rPr/>
        <w:t xml:space="preserve"> </w:t>
      </w:r>
      <w:r>
        <w:rPr>
          <w:color w:val="0000FF"/>
        </w:rPr>
        <w:t>Only 17 of the 675 scored firms have a later year without a score, so we treat coverage as permanent.</w:t>
      </w:r>
      <w:r>
        <w:rPr/>
        <w:t xml:space="preserve"> </w:t>
      </w:r>
      <w:r>
        <w:rPr>
          <w:color w:val="0000FF"/>
        </w:rPr>
        <w:t>Excluding the 135 firms scored in 2014, which have no pre-coverage year, leaves 3,288 firms with 32,521 listed firm-years (3,647 rows carry no data, almost all before listing): 675 firms first scored between 2015 and 2024 (59.9% of them Malaysian) and 2,613 never-scored firms, which form the comparison group; Tables S2 and S3 of the supplementary material give the firm-years and firms behind each estimate.</w:t>
      </w:r>
      <w:r>
        <w:rPr/>
        <w:t xml:space="preserve"> </w:t>
      </w:r>
      <w:r>
        <w:rPr>
          <w:color w:val="0000FF"/>
        </w:rPr>
        <w:t>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FF"/>
          <w:sz w:val="24"/>
        </w:rPr>
        <w:t>3.2 Event Dating, Outcomes, and Recording Errors</w:t>
      </w:r>
    </w:p>
    <w:p>
      <w:pPr>
        <w:spacing w:line="360" w:lineRule="auto" w:after="120" w:before="0"/>
        <w:ind w:firstLine="720"/>
        <w:jc w:val="both"/>
      </w:pPr>
      <w:r>
        <w:rPr>
          <w:color w:val="0000FF"/>
        </w:rPr>
        <w:t>The first recorded score may precede the year in which investors first see a score.</w:t>
      </w:r>
      <w:r>
        <w:rPr/>
        <w:t xml:space="preserve"> </w:t>
      </w:r>
      <w:r>
        <w:rPr>
          <w:color w:val="0000FF"/>
        </w:rPr>
        <w:t>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w:t>
      </w:r>
      <w:r>
        <w:rPr/>
        <w:t xml:space="preserve"> </w:t>
      </w:r>
      <w:r>
        <w:rPr>
          <w:color w:val="0000FF"/>
        </w:rPr>
        <w:t>The first recorded score can therefore date entry too early but, unless the provider deleted an earlier score, not too late.</w:t>
      </w:r>
      <w:r>
        <w:rPr/>
        <w:t xml:space="preserve"> </w:t>
      </w:r>
      <w:r>
        <w:rPr>
          <w:color w:val="0000FF"/>
        </w:rPr>
        <w:t>Our extract holds each score by fiscal year, with no publication or update date, as it stood at download; that every scored firm still has a score in 2024 fits a download of the provider's current universe.</w:t>
      </w:r>
      <w:r>
        <w:rPr/>
        <w:t xml:space="preserve"> </w:t>
      </w:r>
      <w:r>
        <w:rPr>
          <w:color w:val="0000FF"/>
        </w:rPr>
        <w:t>LSEG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draw conclusions only where they hold across these datings.</w:t>
      </w:r>
    </w:p>
    <w:p>
      <w:pPr>
        <w:spacing w:line="360" w:lineRule="auto" w:after="120" w:before="0"/>
        <w:ind w:firstLine="720"/>
        <w:jc w:val="both"/>
      </w:pPr>
      <w:r>
        <w:rPr>
          <w:color w:val="0000FF"/>
        </w:rPr>
        <w:t>The primary outcome is the natural logarithm of the MTB ratio.</w:t>
      </w:r>
      <w:r>
        <w:rPr/>
        <w:t xml:space="preserve"> </w:t>
      </w:r>
      <w:r>
        <w:rPr>
          <w:color w:val="0000FF"/>
        </w:rPr>
        <w:t>The secondary outcomes are log market capitalization, log total assets, and book leverage, total debt divided by total assets; without stock returns or shares outstanding, we treat market capitalization and total assets as measures of scale.</w:t>
      </w:r>
      <w:r>
        <w:rPr/>
        <w:t xml:space="preserve"> </w:t>
      </w:r>
      <w:r>
        <w:rPr>
          <w:color w:val="0000FF"/>
        </w:rPr>
        <w:t>Amounts are in U.S. dollars, winsorized at the 1st and 99th percentiles of the pooled sample.</w:t>
      </w:r>
      <w:r>
        <w:rPr/>
        <w:t xml:space="preserve"> </w:t>
      </w:r>
      <w:r>
        <w:rPr>
          <w:color w:val="0000FF"/>
        </w:rPr>
        <w:t>A few market capitalization records are implausibly large; one Indonesian firm is recorded at 1,138.8 billion U.S. dollars.</w:t>
      </w:r>
      <w:r>
        <w:rPr/>
        <w:t xml:space="preserve"> </w:t>
      </w:r>
      <w:r>
        <w:rPr>
          <w:color w:val="0000FF"/>
        </w:rPr>
        <w:t>Because market capitalization divided by the MTB ratio gives the implied book equity, which cannot exceed total assets, we flag firm-years in which the implied book equity exceeds ten times total assets: 209 of 27,127 firm-years, 73 of them for scored firms.</w:t>
      </w:r>
      <w:r>
        <w:rPr/>
        <w:t xml:space="preserve"> </w:t>
      </w:r>
      <w:r>
        <w:rPr>
          <w:color w:val="0000FF"/>
        </w:rPr>
        <w:t>A lower threshold, a ratio above two, flags 749 firm-years.</w:t>
      </w:r>
    </w:p>
    <w:p>
      <w:pPr>
        <w:pStyle w:val="Heading2"/>
        <w:keepNext/>
        <w:spacing w:line="360" w:lineRule="auto" w:after="120" w:before="160"/>
      </w:pPr>
      <w:r>
        <w:rPr>
          <w:rFonts w:ascii="Times New Roman" w:hAnsi="Times New Roman" w:eastAsia="Times New Roman"/>
          <w:b/>
          <w:i w:val="0"/>
          <w:color w:val="0000FF"/>
          <w:sz w:val="24"/>
        </w:rPr>
        <w:t>3.3 Identification and Estimation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w:t>
      </w:r>
      <w:r>
        <w:rPr>
          <w:color w:val="0000FF"/>
        </w:rPr>
        <w:t>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w:t>
      </w:r>
      <w:r>
        <w:rPr>
          <w:color w:val="0000FF"/>
        </w:rPr>
        <w:t>Level differences between scored and never-scored firms do not violate this assumption, but a different growth path before coverage would.</w:t>
      </w:r>
      <w:r>
        <w:rPr/>
        <w:t xml:space="preserve"> </w:t>
      </w:r>
      <w:r>
        <w:rPr>
          <w:color w:val="0000FF"/>
        </w:rPr>
        <w:t>In the large Malaysian wave the pre-coverage estimates show no detectable run-up, so for these firms the assumption does not require a trend to stop; the run-up interval is wide, however (−7.4% to 15.2%), and the wave split is exploratory.</w:t>
      </w:r>
      <w:r>
        <w:rPr/>
        <w:t xml:space="preserve"> </w:t>
      </w:r>
      <w:r>
        <w:rPr>
          <w:color w:val="0000FF"/>
        </w:rPr>
        <w:t>If the provider adds firms once they cross a size or visibility threshold, conditioning on base-year size compares firms on the same side of it.</w:t>
      </w:r>
      <w:r>
        <w:rPr/>
        <w:t xml:space="preserve"> </w:t>
      </w:r>
      <w:r>
        <w:rPr>
          <w:color w:val="0000FF"/>
        </w:rPr>
        <w:t>Against this, if part of a run-up was transitory, scored firms would have fallen back even without a score, and the estimates would understate any effect of coverage.</w:t>
      </w:r>
      <w:r>
        <w:rPr/>
        <w:t xml:space="preserve"> </w:t>
      </w:r>
      <w:r>
        <w:rPr>
          <w:color w:val="0000FF"/>
        </w:rPr>
        <w:t>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w:t>
      </w:r>
      <w:r>
        <w:rPr>
          <w:color w:val="0000FF"/>
        </w:rPr>
        <w:t>Because 24.6% of scored firms have larger base-year total assets than the 95th percentile of never-scored firms, we use outcome regression rather than the doubly robust estimator and also restrict scored firms to the size range of the controls, in the spirit of Crump et al. (2009).</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w:t>
      </w:r>
      <w:r>
        <w:rPr/>
        <w:t xml:space="preserve">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color w:val="0000FF"/>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FF"/>
          <w:sz w:val="24"/>
        </w:rPr>
        <w:t>3.4 Inference, Sensitivity, and Robustness Checks</w:t>
      </w:r>
    </w:p>
    <w:p>
      <w:pPr>
        <w:spacing w:line="360" w:lineRule="auto" w:after="120" w:before="0"/>
        <w:ind w:firstLine="720"/>
        <w:jc w:val="both"/>
      </w:pPr>
      <w:r>
        <w:rPr>
          <w:color w:val="0000FF"/>
        </w:rPr>
        <w:t>We bootstrap by resampling firms with their full time series; all specifications share the same 999 draws and seed, so differences between specifications have a valid joint distribution.</w:t>
      </w:r>
      <w:r>
        <w:rPr/>
        <w:t xml:space="preserve"> </w:t>
      </w:r>
      <w:r>
        <w:rPr>
          <w:color w:val="0000FF"/>
        </w:rPr>
        <w:t>We report the bootstrap standard error (SE), the percentile 95% confidence interval, a normal-approximation p-value, and the minimum detectable effect at 80% power, MDE ≈ 2.8 × SE.</w:t>
      </w:r>
      <w:r>
        <w:rPr/>
        <w:t xml:space="preserve"> </w:t>
      </w:r>
      <w:r>
        <w:rPr>
          <w:color w:val="0000FF"/>
        </w:rPr>
        <w:t>Secondary outcomes carry Holm-adjusted p-values.</w:t>
      </w:r>
      <w:r>
        <w:rPr/>
        <w:t xml:space="preserve"> </w:t>
      </w:r>
      <w:r>
        <w:rPr>
          <w:color w:val="0000FF"/>
        </w:rPr>
        <w:t>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color w:val="0000FF"/>
        </w:rPr>
        <w:t>Three exploratory checks address departures from parallel trends: removing a linear pre-coverage trend through zero in the base year, adding pre-coverage growth of log market capitalization to X</w:t>
      </w:r>
      <w:r>
        <w:rPr>
          <w:color w:val="0000FF"/>
          <w:vertAlign w:val="subscript"/>
        </w:rPr>
        <w:t>i</w:t>
      </w:r>
      <w:r>
        <w:rPr>
          <w:color w:val="0000FF"/>
        </w:rPr>
        <w:t>, and bounding the bias in the spirit of Rambachan and Roth (2023).</w:t>
      </w:r>
      <w:r>
        <w:rPr/>
        <w:t xml:space="preserve"> </w:t>
      </w:r>
      <w:r>
        <w:rPr>
          <w:color w:val="0000FF"/>
        </w:rPr>
        <w:t>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 xml:space="preserve">where s indexes the pre-coverage event years. </w:t>
      </w:r>
      <w:r>
        <w:rPr>
          <w:color w:val="0000FF"/>
        </w:rPr>
        <w:t>The bias for event year e is then at most M̄Δ(e + 1), and we widen the headline interval by its weighted average; with M̄ = 0.25, the gap may drift each year by a quarter of the largest yearly change before coverage.</w:t>
      </w:r>
      <w:r>
        <w:rPr/>
        <w:t xml:space="preserve"> </w:t>
      </w:r>
      <w:r>
        <w:rPr>
          <w:color w:val="0000FF"/>
        </w:rPr>
        <w:t>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standard errors are clustered by firm; β averages over any run-up and uses already scored firms as controls.</w:t>
      </w:r>
      <w:r>
        <w:rPr/>
        <w:t xml:space="preserve"> </w:t>
      </w:r>
      <w:r>
        <w:rPr>
          <w:color w:val="0000FF"/>
        </w:rPr>
        <w:t>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w:t>
      </w:r>
      <w:r>
        <w:rPr/>
        <w:t xml:space="preserve"> </w:t>
      </w:r>
      <w:r>
        <w:rPr>
          <w:color w:val="0000FF"/>
        </w:rPr>
        <w:t>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FF"/>
          <w:sz w:val="24"/>
        </w:rPr>
        <w:t>4.1 Who Gets Scored and the Valuation Path Around Entry</w:t>
      </w:r>
    </w:p>
    <w:p>
      <w:pPr>
        <w:spacing w:line="360" w:lineRule="auto" w:after="120" w:before="0"/>
        <w:ind w:firstLine="720"/>
        <w:jc w:val="both"/>
      </w:pPr>
      <w:r>
        <w:rPr>
          <w:color w:val="0000FF"/>
        </w:rPr>
        <w:t>Table 1 compares scored firms in the base year with never-scored firm-years.</w:t>
      </w:r>
      <w:r>
        <w:rPr/>
        <w:t xml:space="preserv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Because scored firms are concentrated in the base years 2019 to 2022, these level differences mix calendar effects with selection.</w:t>
      </w:r>
      <w:r>
        <w:rPr/>
        <w:t xml:space="preserve"> </w:t>
      </w:r>
      <w:r>
        <w:rPr>
          <w:color w:val="0000FF"/>
        </w:rPr>
        <w:t>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color w:val="0000FF"/>
          <w:sz w:val="18"/>
        </w:rPr>
        <w:t>Note: Scored firms in base year g − 1; never-scored firms in 2014–2024.</w:t>
      </w:r>
      <w:r>
        <w:rPr>
          <w:sz w:val="18"/>
        </w:rPr>
        <w:t xml:space="preserve"> </w:t>
      </w:r>
      <w:r>
        <w:rPr>
          <w:color w:val="0000FF"/>
          <w:sz w:val="18"/>
        </w:rPr>
        <w:t>Norm. diff. is the mean difference divided by the root of the average variance.</w:t>
      </w:r>
    </w:p>
    <w:p>
      <w:pPr>
        <w:spacing w:line="360" w:lineRule="auto" w:after="120" w:before="0"/>
        <w:ind w:firstLine="720"/>
        <w:jc w:val="both"/>
      </w:pPr>
      <w:r>
        <w:rPr>
          <w:color w:val="0000FF"/>
        </w:rPr>
        <w:t>Figure 1 plots the event-time estimates.</w:t>
      </w:r>
      <w:r>
        <w:rPr/>
        <w:t xml:space="preserve">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w:t>
      </w:r>
      <w:r>
        <w:rPr>
          <w:color w:val="0000FF"/>
        </w:rPr>
        <w:t>The joint pre-trend test rejects for market capitalization (p = 0.022) but not at the 5% level for MTB (p = 0.074).</w:t>
      </w:r>
      <w:r>
        <w:rPr/>
        <w:t xml:space="preserve"> </w:t>
      </w:r>
      <w:r>
        <w:rPr>
          <w:color w:val="0000FF"/>
        </w:rPr>
        <w:t>The MTB non-rejection is not evidence of parallel trends: the estimates for event years −5 and −4 differ from zero, and pre-trend tests have low power (Roth, 2022).</w:t>
      </w:r>
      <w:r>
        <w:rPr/>
        <w:t xml:space="preserve"> </w:t>
      </w:r>
      <w:r>
        <w:rPr>
          <w:color w:val="0000FF"/>
        </w:rPr>
        <w:t>After the first recorded score, the MTB estimates for event years 0 to 3 lie between −0.044 and 0.017, and none differs from zero at the 5% level; event year 4 rests on only 141 scored firms and is excluded from the headline estimate.</w:t>
      </w:r>
      <w:r>
        <w:rPr/>
        <w:t xml:space="preserve"> </w:t>
      </w:r>
      <w:r>
        <w:rPr>
          <w:color w:val="0000FF"/>
        </w:rPr>
        <w:t>The MTB gap thus widens before coverage and stops widening afterward.</w:t>
      </w:r>
      <w:r>
        <w:rPr/>
        <w:t xml:space="preserve"> </w:t>
      </w:r>
      <w:r>
        <w:rPr>
          <w:color w:val="0000FF"/>
        </w:rPr>
        <w:t>Only reading the post-coverage part as an effect of coverage depends on the parallel trends assumption.</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color w:val="0000FF"/>
          <w:sz w:val="18"/>
        </w:rPr>
        <w:t>Note: Outcome-regression estimates relative to event year −1 with firm-bootstrap 95% intervals; 141 to 615 scored firms per event year for ln(MTB).</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33.1% in MTB relative to never-scored firms (pre-trend p = 0.006).</w:t>
      </w:r>
      <w:r>
        <w:rPr/>
        <w:t xml:space="preserve"> </w:t>
      </w:r>
      <w:r>
        <w:rPr>
          <w:color w:val="0000FF"/>
        </w:rPr>
        <w:t>The 289 Malaysian firms first scored in 2021 and 2022 show no detectable run-up, 2.8% (95% interval −7.4% to 15.2%; pre-trend p = 0.549), although a run-up of the pooled size cannot be ruled out, and the 278 firms in the remaining cohorts fall in between.</w:t>
      </w:r>
      <w:r>
        <w:rPr/>
        <w:t xml:space="preserve"> </w:t>
      </w:r>
      <w:r>
        <w:rPr>
          <w:color w:val="0000FF"/>
        </w:rPr>
        <w:t>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color w:val="0000FF"/>
          <w:sz w:val="18"/>
        </w:rPr>
        <w:t>Note: Outcome-regression estimates by wave against all never-scored firms, with firm-bootstrap 95% intervals.</w:t>
      </w:r>
      <w:r>
        <w:rPr>
          <w:sz w:val="18"/>
        </w:rPr>
        <w:t xml:space="preserve"> </w:t>
      </w:r>
      <w:r>
        <w:rPr>
          <w:color w:val="0000FF"/>
          <w:sz w:val="18"/>
        </w:rPr>
        <w:t>The waves hold 289, 108, and 278 scored firms.</w:t>
      </w:r>
    </w:p>
    <w:p>
      <w:pPr>
        <w:pStyle w:val="Heading2"/>
        <w:keepNext/>
        <w:spacing w:line="360" w:lineRule="auto" w:after="120" w:before="160"/>
      </w:pPr>
      <w:r>
        <w:rPr>
          <w:rFonts w:ascii="Times New Roman" w:hAnsi="Times New Roman" w:eastAsia="Times New Roman"/>
          <w:b/>
          <w:i w:val="0"/>
          <w:color w:val="0000FF"/>
          <w:sz w:val="24"/>
        </w:rPr>
        <w:t>4.2 Average Change After Entry and the Two Datings</w:t>
      </w:r>
    </w:p>
    <w:p>
      <w:pPr>
        <w:spacing w:line="360" w:lineRule="auto" w:after="120" w:before="0"/>
        <w:ind w:firstLine="720"/>
        <w:jc w:val="both"/>
      </w:pPr>
      <w:r>
        <w:rPr>
          <w:color w:val="0000FF"/>
        </w:rPr>
        <w:t>Table 2 reports the headline estimates under parallel trends.</w:t>
      </w:r>
      <w:r>
        <w:rPr/>
        <w:t xml:space="preserve"> </w:t>
      </w:r>
      <w:r>
        <w:rPr>
          <w:color w:val="0000FF"/>
        </w:rPr>
        <w:t>The change in log MTB is 0.002, with a 95% confidence interval of −0.046 to 0.048, so the data are compatible with changes in the MTB ratio from −4.5% to 4.9%; the MDE is about 7.0%.</w:t>
      </w:r>
      <w:r>
        <w:rPr/>
        <w:t xml:space="preserve"> </w:t>
      </w:r>
      <w:r>
        <w:rPr>
          <w:color w:val="0000FF"/>
        </w:rPr>
        <w:t>With the cluster bootstrap, which allows for market-wide shocks such as the political uncertainty that moves Thai stock prices (Prukumpai et al., 2022), the interval is −0.050 to 0.053.</w:t>
      </w:r>
      <w:r>
        <w:rPr/>
        <w:t xml:space="preserve"> </w:t>
      </w:r>
      <w:r>
        <w:rPr>
          <w:color w:val="0000FF"/>
        </w:rPr>
        <w:t>After Holm adjustment, no secondary outcome changes significantly at the 5% level: log market capitalization changes by −0.055 (p = 0.134), leverage by 0.8 percentage points (p = 0.134), and log total assets by 0.044 (p = 0.053).</w:t>
      </w:r>
      <w:r>
        <w:rPr/>
        <w:t xml:space="preserve"> </w:t>
      </w:r>
      <w:r>
        <w:rPr>
          <w:color w:val="0000FF"/>
        </w:rPr>
        <w:t>The MTB estimate shows no sign of the gain that the recognition channel predicts (Merton, 1987).</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color w:val="0000FF"/>
          <w:sz w:val="18"/>
        </w:rPr>
        <w:t>Note: Outcome regression, firm-bootstrap standard errors; secondary p-values Holm-adjusted.</w:t>
      </w:r>
      <w:r>
        <w:rPr>
          <w:sz w:val="18"/>
        </w:rPr>
        <w:t xml:space="preserve"> </w:t>
      </w:r>
      <w:r>
        <w:rPr>
          <w:color w:val="0000FF"/>
          <w:sz w:val="18"/>
        </w:rPr>
        <w:t>MDE: 80%-power minimum detectable effect; pre-trend p: joint Wald test, event years −5 to −2.</w:t>
      </w:r>
    </w:p>
    <w:p>
      <w:pPr>
        <w:spacing w:line="360" w:lineRule="auto" w:after="120" w:before="0"/>
        <w:ind w:firstLine="720"/>
        <w:jc w:val="both"/>
      </w:pPr>
      <w:r>
        <w:rPr>
          <w:color w:val="0000FF"/>
        </w:rPr>
        <w:t>Table 3 presents the robustness checks; the six checks listed after the baseline were pre-specified, and the rest are exploratory.</w:t>
      </w:r>
      <w:r>
        <w:rPr/>
        <w:t xml:space="preserve"> </w:t>
      </w:r>
      <w:r>
        <w:rPr>
          <w:color w:val="0000FF"/>
        </w:rPr>
        <w:t>Dating coverage one year after the first recorded score, the earliest year in which a score could have been public, gives an MTB change of −0.068, about −6.6% (95% interval −0.116 to −0.020; p = 0.004), with a joint pre-trend p = 0.072.</w:t>
      </w:r>
      <w:r>
        <w:rPr/>
        <w:t xml:space="preserve"> </w:t>
      </w:r>
      <w:r>
        <w:rPr>
          <w:color w:val="0000FF"/>
        </w:rPr>
        <w:t>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b/>
                <w:color w:val="0000FF"/>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b/>
                <w:color w:val="0000FF"/>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b/>
                <w:color w:val="0000FF"/>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b/>
                <w:color w:val="0000FF"/>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b/>
                <w:color w:val="0000FF"/>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b/>
                <w:color w:val="0000FF"/>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b/>
                <w:color w:val="0000FF"/>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Outcome regression with firm-bootstrap standard errors (firm-clustered for two-way fixed effects); firm counts for ln(MTB). *, **, ***: 10%, 5%, 1% (unadjusted).</w:t>
      </w:r>
    </w:p>
    <w:p>
      <w:pPr>
        <w:spacing w:line="360" w:lineRule="auto" w:after="120" w:before="0"/>
        <w:ind w:firstLine="720"/>
        <w:jc w:val="both"/>
      </w:pPr>
      <w:r>
        <w:rPr>
          <w:color w:val="0000FF"/>
        </w:rPr>
        <w:t>Table 4 moves from the first-recorded-year estimate to the one-year-later estimate one step at a time.</w:t>
      </w:r>
      <w:r>
        <w:rPr/>
        <w:t xml:space="preserve"> </w:t>
      </w:r>
      <w:r>
        <w:rPr>
          <w:color w:val="0000FF"/>
        </w:rPr>
        <w:t>Row 2 keeps only firms observed in both g − 1 and g, so that every later row draws on the same set of firms; this changes the MTB estimate by −0.005.</w:t>
      </w:r>
      <w:r>
        <w:rPr/>
        <w:t xml:space="preserve"> </w:t>
      </w:r>
      <w:r>
        <w:rPr>
          <w:color w:val="0000FF"/>
        </w:rPr>
        <w:t>Row 3 averages event years 1 to 4 instead of 0 to 3;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(row 5) and returning to all firms (row 6) change little.</w:t>
      </w:r>
      <w:r>
        <w:rPr/>
        <w:t xml:space="preserve"> </w:t>
      </w:r>
      <w:r>
        <w:rPr>
          <w:color w:val="0000FF"/>
        </w:rPr>
        <w:t>The steps are sequential, so the shares depend on their order.</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color w:val="0000FF"/>
                <w:sz w:val="18"/>
              </w:rPr>
              <w:t>Specification</w:t>
            </w:r>
          </w:p>
        </w:tc>
        <w:tc>
          <w:tcPr>
            <w:tcW w:type="dxa" w:w="1512"/>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960"/>
          </w:tcPr>
          <w:p>
            <w:pPr>
              <w:keepNext/>
              <w:spacing w:after="0" w:line="240" w:lineRule="auto"/>
            </w:pPr>
            <w:r/>
            <w:r>
              <w:rPr>
                <w:b/>
                <w:color w:val="0000FF"/>
                <w:sz w:val="18"/>
              </w:rPr>
              <w:t>(1) First recorded year g, reference g − 1, event years 0 to 3, all firms</w:t>
            </w:r>
          </w:p>
        </w:tc>
        <w:tc>
          <w:tcPr>
            <w:tcW w:type="dxa" w:w="1512"/>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960"/>
          </w:tcPr>
          <w:p>
            <w:pPr>
              <w:keepNext/>
              <w:spacing w:after="0" w:line="240" w:lineRule="auto"/>
            </w:pPr>
            <w:r/>
            <w:r>
              <w:rPr>
                <w:b/>
                <w:color w:val="0000FF"/>
                <w:sz w:val="18"/>
              </w:rPr>
              <w:t>(2) As (1), firms observed in both g − 1 and g</w:t>
            </w:r>
          </w:p>
        </w:tc>
        <w:tc>
          <w:tcPr>
            <w:tcW w:type="dxa" w:w="1512"/>
          </w:tcPr>
          <w:p>
            <w:pPr>
              <w:keepNext/>
              <w:spacing w:after="0" w:line="240" w:lineRule="auto"/>
              <w:jc w:val="center"/>
            </w:pPr>
            <w:r/>
            <w:r>
              <w:rPr>
                <w:color w:val="0000FF"/>
                <w:sz w:val="18"/>
              </w:rPr>
              <w:t>−0.003</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2,405</w:t>
            </w:r>
          </w:p>
        </w:tc>
      </w:tr>
      <w:tr>
        <w:trPr>
          <w:cantSplit/>
        </w:trPr>
        <w:tc>
          <w:tcPr>
            <w:tcW w:type="dxa" w:w="3960"/>
          </w:tcPr>
          <w:p>
            <w:pPr>
              <w:keepNext/>
              <w:spacing w:after="0" w:line="240" w:lineRule="auto"/>
            </w:pPr>
            <w:r/>
            <w:r>
              <w:rPr>
                <w:b/>
                <w:color w:val="0000FF"/>
                <w:sz w:val="18"/>
              </w:rPr>
              <w:t>(3) As (2), event years 1 to 4</w:t>
            </w:r>
          </w:p>
        </w:tc>
        <w:tc>
          <w:tcPr>
            <w:tcW w:type="dxa" w:w="1512"/>
          </w:tcPr>
          <w:p>
            <w:pPr>
              <w:keepNext/>
              <w:spacing w:after="0" w:line="240" w:lineRule="auto"/>
              <w:jc w:val="center"/>
            </w:pPr>
            <w:r/>
            <w:r>
              <w:rPr>
                <w:color w:val="0000FF"/>
                <w:sz w:val="18"/>
              </w:rPr>
              <w:t>−0.019</w:t>
            </w:r>
            <w:r>
              <w:br/>
            </w:r>
            <w:r>
              <w:rPr>
                <w:color w:val="0000FF"/>
                <w:sz w:val="18"/>
              </w:rPr>
              <w:t>(0.030)</w:t>
            </w:r>
          </w:p>
        </w:tc>
        <w:tc>
          <w:tcPr>
            <w:tcW w:type="dxa" w:w="1656"/>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(4) As (3), reference year g</w:t>
            </w:r>
          </w:p>
        </w:tc>
        <w:tc>
          <w:tcPr>
            <w:tcW w:type="dxa" w:w="1512"/>
          </w:tcPr>
          <w:p>
            <w:pPr>
              <w:keepNext/>
              <w:spacing w:after="0" w:line="240" w:lineRule="auto"/>
              <w:jc w:val="center"/>
            </w:pPr>
            <w:r/>
            <w:r>
              <w:rPr>
                <w:color w:val="0000FF"/>
                <w:sz w:val="18"/>
              </w:rPr>
              <w:t>−0.063***</w:t>
            </w:r>
            <w:r>
              <w:br/>
            </w:r>
            <w:r>
              <w:rPr>
                <w:color w:val="0000FF"/>
                <w:sz w:val="18"/>
              </w:rPr>
              <w:t>(0.024)</w:t>
            </w:r>
          </w:p>
        </w:tc>
        <w:tc>
          <w:tcPr>
            <w:tcW w:type="dxa" w:w="1656"/>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(5) As (4), size measured in g</w:t>
            </w:r>
          </w:p>
        </w:tc>
        <w:tc>
          <w:tcPr>
            <w:tcW w:type="dxa" w:w="1512"/>
          </w:tcPr>
          <w:p>
            <w:pPr>
              <w:keepNext/>
              <w:spacing w:after="0" w:line="240" w:lineRule="auto"/>
              <w:jc w:val="center"/>
            </w:pPr>
            <w:r/>
            <w:r>
              <w:rPr>
                <w:color w:val="0000FF"/>
                <w:sz w:val="18"/>
              </w:rPr>
              <w:t>−0.060**</w:t>
            </w:r>
            <w:r>
              <w:br/>
            </w:r>
            <w:r>
              <w:rPr>
                <w:color w:val="0000FF"/>
                <w:sz w:val="18"/>
              </w:rPr>
              <w:t>(0.024)</w:t>
            </w:r>
          </w:p>
        </w:tc>
        <w:tc>
          <w:tcPr>
            <w:tcW w:type="dxa" w:w="1656"/>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c>
          <w:tcPr>
            <w:tcW w:type="dxa" w:w="1080"/>
          </w:tcPr>
          <w:p>
            <w:pPr>
              <w:keepNext/>
              <w:spacing w:after="0" w:line="240" w:lineRule="auto"/>
              <w:jc w:val="center"/>
            </w:pPr>
            <w:r/>
            <w:r>
              <w:rPr>
                <w:color w:val="0000FF"/>
                <w:sz w:val="18"/>
              </w:rPr>
              <w:t>2,252</w:t>
            </w:r>
          </w:p>
        </w:tc>
      </w:tr>
      <w:tr>
        <w:trPr>
          <w:cantSplit/>
        </w:trPr>
        <w:tc>
          <w:tcPr>
            <w:tcW w:type="dxa" w:w="3960"/>
          </w:tcPr>
          <w:p>
            <w:pPr>
              <w:keepNext/>
              <w:spacing w:after="0" w:line="240" w:lineRule="auto"/>
            </w:pPr>
            <w:r/>
            <w:r>
              <w:rPr>
                <w:b/>
                <w:color w:val="0000FF"/>
                <w:sz w:val="18"/>
              </w:rPr>
              <w:t>(6) One year later, all firms</w:t>
            </w:r>
          </w:p>
        </w:tc>
        <w:tc>
          <w:tcPr>
            <w:tcW w:type="dxa" w:w="1512"/>
          </w:tcPr>
          <w:p>
            <w:pPr>
              <w:keepNext/>
              <w:spacing w:after="0" w:line="240" w:lineRule="auto"/>
              <w:jc w:val="center"/>
            </w:pPr>
            <w:r/>
            <w:r>
              <w:rPr>
                <w:color w:val="0000FF"/>
                <w:sz w:val="18"/>
              </w:rPr>
              <w:t>−0.068***</w:t>
            </w:r>
            <w:r>
              <w:br/>
            </w:r>
            <w:r>
              <w:rPr>
                <w:color w:val="0000FF"/>
                <w:sz w:val="18"/>
              </w:rPr>
              <w:t>(0.024)</w:t>
            </w:r>
          </w:p>
        </w:tc>
        <w:tc>
          <w:tcPr>
            <w:tcW w:type="dxa" w:w="1656"/>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2,407</w:t>
            </w:r>
          </w:p>
        </w:tc>
      </w:tr>
      <w:tr>
        <w:trPr>
          <w:cantSplit/>
        </w:trPr>
        <w:tc>
          <w:tcPr>
            <w:tcW w:type="dxa" w:w="3960"/>
          </w:tcPr>
          <w:p>
            <w:pPr>
              <w:keepNext/>
              <w:spacing w:after="0" w:line="240" w:lineRule="auto"/>
            </w:pPr>
            <w:r/>
            <w:r>
              <w:rPr>
                <w:b/>
                <w:color w:val="0000FF"/>
                <w:sz w:val="18"/>
              </w:rPr>
              <w:t>(7) As (2), cohorts first recorded 2015 to 2020</w:t>
            </w:r>
          </w:p>
        </w:tc>
        <w:tc>
          <w:tcPr>
            <w:tcW w:type="dxa" w:w="1512"/>
          </w:tcPr>
          <w:p>
            <w:pPr>
              <w:keepNext/>
              <w:spacing w:after="0" w:line="240" w:lineRule="auto"/>
              <w:jc w:val="center"/>
            </w:pPr>
            <w:r/>
            <w:r>
              <w:rPr>
                <w:color w:val="0000FF"/>
                <w:sz w:val="18"/>
              </w:rPr>
              <w:t>0.017</w:t>
            </w:r>
            <w:r>
              <w:br/>
            </w:r>
            <w:r>
              <w:rPr>
                <w:color w:val="0000FF"/>
                <w:sz w:val="18"/>
              </w:rPr>
              <w:t>(0.040)</w:t>
            </w:r>
          </w:p>
        </w:tc>
        <w:tc>
          <w:tcPr>
            <w:tcW w:type="dxa" w:w="1656"/>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1,952</w:t>
            </w:r>
          </w:p>
        </w:tc>
      </w:tr>
      <w:tr>
        <w:trPr>
          <w:cantSplit/>
        </w:trPr>
        <w:tc>
          <w:tcPr>
            <w:tcW w:type="dxa" w:w="3960"/>
          </w:tcPr>
          <w:p>
            <w:pPr>
              <w:keepNext/>
              <w:spacing w:after="0" w:line="240" w:lineRule="auto"/>
            </w:pPr>
            <w:r/>
            <w:r>
              <w:rPr>
                <w:b/>
                <w:color w:val="0000FF"/>
                <w:sz w:val="18"/>
              </w:rPr>
              <w:t>(8) As (3), cohorts first recorded 2015 to 2020</w:t>
            </w:r>
          </w:p>
        </w:tc>
        <w:tc>
          <w:tcPr>
            <w:tcW w:type="dxa" w:w="1512"/>
          </w:tcPr>
          <w:p>
            <w:pPr>
              <w:keepNext/>
              <w:spacing w:after="0" w:line="240" w:lineRule="auto"/>
              <w:jc w:val="center"/>
            </w:pPr>
            <w:r/>
            <w:r>
              <w:rPr>
                <w:color w:val="0000FF"/>
                <w:sz w:val="18"/>
              </w:rPr>
              <w:t>−0.026</w:t>
            </w:r>
            <w:r>
              <w:br/>
            </w:r>
            <w:r>
              <w:rPr>
                <w:color w:val="0000FF"/>
                <w:sz w:val="18"/>
              </w:rPr>
              <w:t>(0.047)</w:t>
            </w:r>
          </w:p>
        </w:tc>
        <w:tc>
          <w:tcPr>
            <w:tcW w:type="dxa" w:w="1656"/>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Pr>
          <w:p>
            <w:pPr>
              <w:keepNext/>
              <w:spacing w:after="0" w:line="240" w:lineRule="auto"/>
            </w:pPr>
            <w:r/>
            <w:r>
              <w:rPr>
                <w:b/>
                <w:color w:val="0000FF"/>
                <w:sz w:val="18"/>
              </w:rPr>
              <w:t>(9) As (4), cohorts first recorded 2015 to 2020</w:t>
            </w:r>
          </w:p>
        </w:tc>
        <w:tc>
          <w:tcPr>
            <w:tcW w:type="dxa" w:w="1512"/>
          </w:tcPr>
          <w:p>
            <w:pPr>
              <w:keepNext/>
              <w:spacing w:after="0" w:line="240" w:lineRule="auto"/>
              <w:jc w:val="center"/>
            </w:pPr>
            <w:r/>
            <w:r>
              <w:rPr>
                <w:color w:val="0000FF"/>
                <w:sz w:val="18"/>
              </w:rPr>
              <w:t>−0.124***</w:t>
            </w:r>
            <w:r>
              <w:br/>
            </w:r>
            <w:r>
              <w:rPr>
                <w:color w:val="0000FF"/>
                <w:sz w:val="18"/>
              </w:rPr>
              <w:t>(0.038)</w:t>
            </w:r>
          </w:p>
        </w:tc>
        <w:tc>
          <w:tcPr>
            <w:tcW w:type="dxa" w:w="1656"/>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Borders>
              <w:bottom w:val="single" w:sz="6" w:color="000000"/>
            </w:tcBorders>
          </w:tcPr>
          <w:p>
            <w:pPr>
              <w:spacing w:after="0" w:line="240" w:lineRule="auto"/>
            </w:pPr>
            <w:r/>
            <w:r>
              <w:rPr>
                <w:b/>
                <w:color w:val="0000FF"/>
                <w:sz w:val="18"/>
              </w:rPr>
              <w:t>(10) As (5), cohorts first recorded 2015 to 2020</w:t>
            </w:r>
          </w:p>
        </w:tc>
        <w:tc>
          <w:tcPr>
            <w:tcW w:type="dxa" w:w="1512"/>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656"/>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c>
          <w:tcPr>
            <w:tcW w:type="dxa" w:w="1080"/>
            <w:tcBorders>
              <w:bottom w:val="single" w:sz="6" w:color="000000"/>
            </w:tcBorders>
          </w:tcPr>
          <w:p>
            <w:pPr>
              <w:spacing w:after="0" w:line="240" w:lineRule="auto"/>
              <w:jc w:val="center"/>
            </w:pPr>
            <w:r/>
            <w:r>
              <w:rPr>
                <w:color w:val="0000FF"/>
                <w:sz w:val="18"/>
              </w:rPr>
              <w:t>1,938</w:t>
            </w:r>
          </w:p>
        </w:tc>
      </w:tr>
    </w:tbl>
    <w:p>
      <w:pPr>
        <w:spacing w:line="240" w:lineRule="auto" w:after="40" w:before="280"/>
        <w:jc w:val="both"/>
      </w:pPr>
      <w:r>
        <w:rPr>
          <w:color w:val="0000FF"/>
          <w:sz w:val="18"/>
        </w:rPr>
        <w:t>Note: Outcome regression with firm-bootstrap standard errors; each row changes one feature; firm counts for ln(MTB). *, **, ***: 10%, 5%, 1%.</w:t>
      </w:r>
    </w:p>
    <w:p>
      <w:pPr>
        <w:spacing w:line="360" w:lineRule="auto" w:after="120" w:before="0"/>
        <w:ind w:firstLine="720"/>
        <w:jc w:val="both"/>
      </w:pPr>
      <w:r>
        <w:rPr>
          <w:color w:val="0000FF"/>
        </w:rPr>
        <w:t>The reference year thus drives the difference.</w:t>
      </w:r>
      <w:r>
        <w:rPr/>
        <w:t xml:space="preserve"> </w:t>
      </w:r>
      <w:r>
        <w:rPr>
          <w:color w:val="0000FF"/>
        </w:rPr>
        <w:t>Moving it from g − 1 to g subtracts from each later estimate the change in log MTB of the same scored firms, relative to the same never-scored firms, between g − 1 and g.</w:t>
      </w:r>
      <w:r>
        <w:rPr/>
        <w:t xml:space="preserve"> </w:t>
      </w:r>
      <w:r>
        <w:rPr>
          <w:color w:val="0000FF"/>
        </w:rPr>
        <w:t>The row 4 step, −0.044, is therefore minus each cohort's own change between g − 1 and g (0.044 on average) weighted as in event years 1 to 4, which fall most on the early cohorts observed longest after entry; it is an accounting identity, not a separate estimate, and it is larger than the pooled event-year-0 estimate in Figure 1.</w:t>
      </w:r>
      <w:r>
        <w:rPr/>
        <w:t xml:space="preserve"> </w:t>
      </w:r>
      <w:r>
        <w:rPr>
          <w:color w:val="0000FF"/>
        </w:rPr>
        <w:t>Part of the decline under the later dating is thus the rise these cohorts had in the first recorded year itself.</w:t>
      </w:r>
      <w:r>
        <w:rPr/>
        <w:t xml:space="preserve"> </w:t>
      </w:r>
      <w:r>
        <w:rPr>
          <w:color w:val="0000FF"/>
        </w:rPr>
        <w:t>The cohorts observed through event year 4 (rows 7 to 10) show the same pattern more strongly.</w:t>
      </w:r>
    </w:p>
    <w:p>
      <w:pPr>
        <w:spacing w:line="360" w:lineRule="auto" w:after="120" w:before="0"/>
        <w:ind w:firstLine="720"/>
        <w:jc w:val="both"/>
      </w:pPr>
      <w:r>
        <w:rPr>
          <w:color w:val="0000FF"/>
        </w:rPr>
        <w:t>The timing difference is also concentrated in the waves that had a run-up.</w:t>
      </w:r>
      <w:r>
        <w:rPr/>
        <w:t xml:space="preserve"> </w:t>
      </w:r>
      <w:r>
        <w:rPr>
          <w:color w:val="0000FF"/>
        </w:rPr>
        <w:t>Under the one-year-later dating, the MTB change is −0.136 for the Thai and Singaporean wave and −0.111 for the remaining cohorts, but 0.012 for the Malaysian wave (Table S6 of the supplementary material).</w:t>
      </w:r>
      <w:r>
        <w:rPr/>
        <w:t xml:space="preserve"> </w:t>
      </w:r>
      <w:r>
        <w:rPr>
          <w:color w:val="0000FF"/>
        </w:rPr>
        <w:t>Tested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(−0.075, 95% interval −0.219 to 0.075).</w:t>
      </w:r>
      <w:r>
        <w:rPr/>
        <w:t xml:space="preserve"> </w:t>
      </w:r>
      <w:r>
        <w:rPr>
          <w:color w:val="0000FF"/>
        </w:rPr>
        <w:t>Where no run-up was detected, neither dating detects an MTB change (95% intervals −0.053 to 0.091 and −0.055 to 0.076).</w:t>
      </w:r>
    </w:p>
    <w:p>
      <w:pPr>
        <w:spacing w:line="360" w:lineRule="auto" w:after="120" w:before="0"/>
        <w:ind w:firstLine="720"/>
        <w:jc w:val="both"/>
      </w:pPr>
      <w:r>
        <w:rPr>
          <w:color w:val="0000FF"/>
        </w:rPr>
        <w:t>Two readings fit this pattern, and the data cannot separate them.</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4.3 Sensitivity and Robustness</w:t>
      </w:r>
    </w:p>
    <w:p>
      <w:pPr>
        <w:spacing w:line="360" w:lineRule="auto" w:after="120" w:before="0"/>
        <w:ind w:firstLine="720"/>
        <w:jc w:val="both"/>
      </w:pPr>
      <w:r>
        <w:rPr>
          <w:color w:val="0000FF"/>
        </w:rPr>
        <w:t>Keeping only the 7 cohorts observed through event year 3 gives −0.008 (p = 0.806), so changing cohort composition does not explain the headline estimate.</w:t>
      </w:r>
      <w:r>
        <w:rPr/>
        <w:t xml:space="preserve"> </w:t>
      </w:r>
      <w:r>
        <w:rPr>
          <w:color w:val="0000FF"/>
        </w:rPr>
        <w:t>Removing a linear pre-trend gives −0.052, and adding pre-coverage growth as a covariate gives 0.028; both intervals include zero.</w:t>
      </w:r>
      <w:r>
        <w:rPr/>
        <w:t xml:space="preserve"> </w:t>
      </w:r>
      <w:r>
        <w:rPr>
          <w:color w:val="0000FF"/>
        </w:rPr>
        <w:t>Under the relative-magnitude bounds (Table S7), 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Departures from parallel trends smaller than those observed before coverage are therefore enough to change the reading of either dating.</w:t>
      </w:r>
    </w:p>
    <w:p>
      <w:pPr>
        <w:spacing w:line="360" w:lineRule="auto" w:after="120" w:before="0"/>
        <w:ind w:firstLine="720"/>
        <w:jc w:val="both"/>
      </w:pP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does not depend on extrapolating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24"/>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744"/>
          </w:tcPr>
          <w:p>
            <w:pPr>
              <w:keepNext/>
              <w:spacing w:after="0" w:line="240" w:lineRule="auto"/>
            </w:pPr>
            <w:r/>
            <w:r>
              <w:rPr>
                <w:b/>
                <w:color w:val="0000FF"/>
                <w:sz w:val="18"/>
              </w:rPr>
              <w:t>Baseline: quadratic in log total assets at g − 1</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No covariates</w:t>
            </w:r>
          </w:p>
        </w:tc>
        <w:tc>
          <w:tcPr>
            <w:tcW w:type="dxa" w:w="1584"/>
          </w:tcPr>
          <w:p>
            <w:pPr>
              <w:keepNext/>
              <w:spacing w:after="0" w:line="240" w:lineRule="auto"/>
              <w:jc w:val="center"/>
            </w:pPr>
            <w:r/>
            <w:r>
              <w:rPr>
                <w:color w:val="0000FF"/>
                <w:sz w:val="18"/>
              </w:rPr>
              <w:t>0.025</w:t>
            </w:r>
            <w:r>
              <w:br/>
            </w:r>
            <w:r>
              <w:rPr>
                <w:color w:val="0000FF"/>
                <w:sz w:val="18"/>
              </w:rPr>
              <w:t>(0.022)</w:t>
            </w:r>
          </w:p>
        </w:tc>
        <w:tc>
          <w:tcPr>
            <w:tcW w:type="dxa" w:w="1656"/>
          </w:tcPr>
          <w:p>
            <w:pPr>
              <w:keepNext/>
              <w:spacing w:after="0" w:line="240" w:lineRule="auto"/>
              <w:jc w:val="center"/>
            </w:pPr>
            <w:r/>
            <w:r>
              <w:rPr>
                <w:color w:val="0000FF"/>
                <w:sz w:val="18"/>
              </w:rPr>
              <w:t>0.016</w:t>
            </w:r>
            <w:r>
              <w:br/>
            </w:r>
            <w:r>
              <w:rPr>
                <w:color w:val="0000FF"/>
                <w:sz w:val="18"/>
              </w:rPr>
              <w:t>(0.025)</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Linear in log total assets</w:t>
            </w:r>
          </w:p>
        </w:tc>
        <w:tc>
          <w:tcPr>
            <w:tcW w:type="dxa" w:w="1584"/>
          </w:tcPr>
          <w:p>
            <w:pPr>
              <w:keepNext/>
              <w:spacing w:after="0" w:line="240" w:lineRule="auto"/>
              <w:jc w:val="center"/>
            </w:pPr>
            <w:r/>
            <w:r>
              <w:rPr>
                <w:color w:val="0000FF"/>
                <w:sz w:val="18"/>
              </w:rPr>
              <w:t>−0.003</w:t>
            </w:r>
            <w:r>
              <w:br/>
            </w:r>
            <w:r>
              <w:rPr>
                <w:color w:val="0000FF"/>
                <w:sz w:val="18"/>
              </w:rPr>
              <w:t>(0.023)</w:t>
            </w:r>
          </w:p>
        </w:tc>
        <w:tc>
          <w:tcPr>
            <w:tcW w:type="dxa" w:w="1656"/>
          </w:tcPr>
          <w:p>
            <w:pPr>
              <w:keepNext/>
              <w:spacing w:after="0" w:line="240" w:lineRule="auto"/>
              <w:jc w:val="center"/>
            </w:pPr>
            <w:r/>
            <w:r>
              <w:rPr>
                <w:color w:val="0000FF"/>
                <w:sz w:val="18"/>
              </w:rPr>
              <w:t>−0.033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Cubic in log total assets</w:t>
            </w:r>
          </w:p>
        </w:tc>
        <w:tc>
          <w:tcPr>
            <w:tcW w:type="dxa" w:w="1584"/>
          </w:tcPr>
          <w:p>
            <w:pPr>
              <w:keepNext/>
              <w:spacing w:after="0" w:line="240" w:lineRule="auto"/>
              <w:jc w:val="center"/>
            </w:pPr>
            <w:r/>
            <w:r>
              <w:rPr>
                <w:color w:val="0000FF"/>
                <w:sz w:val="18"/>
              </w:rPr>
              <w:t>−0.009</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Size quintile indicators</w:t>
            </w:r>
          </w:p>
        </w:tc>
        <w:tc>
          <w:tcPr>
            <w:tcW w:type="dxa" w:w="1584"/>
          </w:tcPr>
          <w:p>
            <w:pPr>
              <w:keepNext/>
              <w:spacing w:after="0" w:line="240" w:lineRule="auto"/>
              <w:jc w:val="center"/>
            </w:pPr>
            <w:r/>
            <w:r>
              <w:rPr>
                <w:color w:val="0000FF"/>
                <w:sz w:val="18"/>
              </w:rPr>
              <w:t>−0.010</w:t>
            </w:r>
            <w:r>
              <w:br/>
            </w:r>
            <w:r>
              <w:rPr>
                <w:color w:val="0000FF"/>
                <w:sz w:val="18"/>
              </w:rPr>
              <w:t>(0.023)</w:t>
            </w:r>
          </w:p>
        </w:tc>
        <w:tc>
          <w:tcPr>
            <w:tcW w:type="dxa" w:w="1656"/>
          </w:tcPr>
          <w:p>
            <w:pPr>
              <w:keepNext/>
              <w:spacing w:after="0" w:line="240" w:lineRule="auto"/>
              <w:jc w:val="center"/>
            </w:pPr>
            <w:r/>
            <w:r>
              <w:rPr>
                <w:color w:val="0000FF"/>
                <w:sz w:val="18"/>
              </w:rPr>
              <w:t>−0.053*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Quadratic, total assets at g − 3</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r>
              <w:rPr>
                <w:color w:val="0000FF"/>
                <w:sz w:val="18"/>
              </w:rPr>
              <w:t>−0.059*</w:t>
            </w:r>
            <w:r>
              <w:br/>
            </w:r>
            <w:r>
              <w:rPr>
                <w:color w:val="0000FF"/>
                <w:sz w:val="18"/>
              </w:rPr>
              <w:t>(0.032)</w:t>
            </w:r>
          </w:p>
        </w:tc>
        <w:tc>
          <w:tcPr>
            <w:tcW w:type="dxa" w:w="1224"/>
          </w:tcPr>
          <w:p>
            <w:pPr>
              <w:keepNext/>
              <w:spacing w:after="0" w:line="240" w:lineRule="auto"/>
              <w:jc w:val="center"/>
            </w:pPr>
            <w:r/>
            <w:r>
              <w:rPr>
                <w:color w:val="0000FF"/>
                <w:sz w:val="18"/>
              </w:rPr>
              <w:t>592</w:t>
            </w:r>
          </w:p>
        </w:tc>
        <w:tc>
          <w:tcPr>
            <w:tcW w:type="dxa" w:w="1152"/>
          </w:tcPr>
          <w:p>
            <w:pPr>
              <w:keepNext/>
              <w:spacing w:after="0" w:line="240" w:lineRule="auto"/>
              <w:jc w:val="center"/>
            </w:pPr>
            <w:r/>
            <w:r>
              <w:rPr>
                <w:color w:val="0000FF"/>
                <w:sz w:val="18"/>
              </w:rPr>
              <w:t>2,396</w:t>
            </w:r>
          </w:p>
        </w:tc>
      </w:tr>
      <w:tr>
        <w:trPr>
          <w:cantSplit/>
        </w:trPr>
        <w:tc>
          <w:tcPr>
            <w:tcW w:type="dxa" w:w="3744"/>
          </w:tcPr>
          <w:p>
            <w:pPr>
              <w:keepNext/>
              <w:spacing w:after="0" w:line="240" w:lineRule="auto"/>
            </w:pPr>
            <w:r/>
            <w:r>
              <w:rPr>
                <w:b/>
                <w:color w:val="0000FF"/>
                <w:sz w:val="18"/>
              </w:rPr>
              <w:t>Scored firms ≤ 99th percentile of controls</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r>
              <w:rPr>
                <w:color w:val="0000FF"/>
                <w:sz w:val="18"/>
              </w:rPr>
              <w:t>−0.061**</w:t>
            </w:r>
            <w:r>
              <w:br/>
            </w:r>
            <w:r>
              <w:rPr>
                <w:color w:val="0000FF"/>
                <w:sz w:val="18"/>
              </w:rPr>
              <w:t>(0.031)</w:t>
            </w:r>
          </w:p>
        </w:tc>
        <w:tc>
          <w:tcPr>
            <w:tcW w:type="dxa" w:w="1224"/>
          </w:tcPr>
          <w:p>
            <w:pPr>
              <w:keepNext/>
              <w:spacing w:after="0" w:line="240" w:lineRule="auto"/>
              <w:jc w:val="center"/>
            </w:pPr>
            <w:r/>
            <w:r>
              <w:rPr>
                <w:color w:val="0000FF"/>
                <w:sz w:val="18"/>
              </w:rPr>
              <w:t>586</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95th percentile of controls</w:t>
            </w:r>
          </w:p>
        </w:tc>
        <w:tc>
          <w:tcPr>
            <w:tcW w:type="dxa" w:w="1584"/>
          </w:tcPr>
          <w:p>
            <w:pPr>
              <w:keepNext/>
              <w:spacing w:after="0" w:line="240" w:lineRule="auto"/>
              <w:jc w:val="center"/>
            </w:pPr>
            <w:r/>
            <w:r>
              <w:rPr>
                <w:color w:val="0000FF"/>
                <w:sz w:val="18"/>
              </w:rPr>
              <w:t>−0.021</w:t>
            </w:r>
            <w:r>
              <w:br/>
            </w:r>
            <w:r>
              <w:rPr>
                <w:color w:val="0000FF"/>
                <w:sz w:val="18"/>
              </w:rPr>
              <w:t>(0.026)</w:t>
            </w:r>
          </w:p>
        </w:tc>
        <w:tc>
          <w:tcPr>
            <w:tcW w:type="dxa" w:w="1656"/>
          </w:tcPr>
          <w:p>
            <w:pPr>
              <w:keepNext/>
              <w:spacing w:after="0" w:line="240" w:lineRule="auto"/>
              <w:jc w:val="center"/>
            </w:pPr>
            <w:r/>
            <w:r>
              <w:rPr>
                <w:color w:val="0000FF"/>
                <w:sz w:val="18"/>
              </w:rPr>
              <w:t>−0.096***</w:t>
            </w:r>
            <w:r>
              <w:br/>
            </w:r>
            <w:r>
              <w:rPr>
                <w:color w:val="0000FF"/>
                <w:sz w:val="18"/>
              </w:rPr>
              <w:t>(0.035)</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90th percentile of controls</w:t>
            </w:r>
          </w:p>
        </w:tc>
        <w:tc>
          <w:tcPr>
            <w:tcW w:type="dxa" w:w="1584"/>
          </w:tcPr>
          <w:p>
            <w:pPr>
              <w:keepNext/>
              <w:spacing w:after="0" w:line="240" w:lineRule="auto"/>
              <w:jc w:val="center"/>
            </w:pPr>
            <w:r/>
            <w:r>
              <w:rPr>
                <w:color w:val="0000FF"/>
                <w:sz w:val="18"/>
              </w:rPr>
              <w:t>−0.013</w:t>
            </w:r>
            <w:r>
              <w:br/>
            </w:r>
            <w:r>
              <w:rPr>
                <w:color w:val="0000FF"/>
                <w:sz w:val="18"/>
              </w:rPr>
              <w:t>(0.028)</w:t>
            </w:r>
          </w:p>
        </w:tc>
        <w:tc>
          <w:tcPr>
            <w:tcW w:type="dxa" w:w="1656"/>
          </w:tcPr>
          <w:p>
            <w:pPr>
              <w:keepNext/>
              <w:spacing w:after="0" w:line="240" w:lineRule="auto"/>
              <w:jc w:val="center"/>
            </w:pPr>
            <w:r/>
            <w:r>
              <w:rPr>
                <w:color w:val="0000FF"/>
                <w:sz w:val="18"/>
              </w:rPr>
              <w:t>−0.093**</w:t>
            </w:r>
            <w:r>
              <w:br/>
            </w:r>
            <w:r>
              <w:rPr>
                <w:color w:val="0000FF"/>
                <w:sz w:val="18"/>
              </w:rPr>
              <w:t>(0.039)</w:t>
            </w:r>
          </w:p>
        </w:tc>
        <w:tc>
          <w:tcPr>
            <w:tcW w:type="dxa" w:w="1224"/>
          </w:tcPr>
          <w:p>
            <w:pPr>
              <w:keepNext/>
              <w:spacing w:after="0" w:line="240" w:lineRule="auto"/>
              <w:jc w:val="center"/>
            </w:pPr>
            <w:r/>
            <w:r>
              <w:rPr>
                <w:color w:val="0000FF"/>
                <w:sz w:val="18"/>
              </w:rPr>
              <w:t>420</w:t>
            </w:r>
          </w:p>
        </w:tc>
        <w:tc>
          <w:tcPr>
            <w:tcW w:type="dxa" w:w="1152"/>
          </w:tcPr>
          <w:p>
            <w:pPr>
              <w:keepNext/>
              <w:spacing w:after="0" w:line="240" w:lineRule="auto"/>
              <w:jc w:val="center"/>
            </w:pPr>
            <w:r/>
            <w:r>
              <w:rPr>
                <w:color w:val="0000FF"/>
                <w:sz w:val="18"/>
              </w:rPr>
              <w:t>2,407</w:t>
            </w:r>
          </w:p>
        </w:tc>
      </w:tr>
      <w:tr>
        <w:trPr>
          <w:cantSplit/>
        </w:trPr>
        <w:tc>
          <w:tcPr>
            <w:tcW w:type="dxa" w:w="3744"/>
          </w:tcPr>
          <w:p>
            <w:pPr>
              <w:keepNext/>
              <w:spacing w:after="0" w:line="240" w:lineRule="auto"/>
            </w:pPr>
            <w:r/>
            <w:r>
              <w:rPr>
                <w:b/>
                <w:color w:val="0000FF"/>
                <w:sz w:val="18"/>
              </w:rPr>
              <w:t>Doubly robust, ≤ 95th percentile</w:t>
            </w:r>
          </w:p>
        </w:tc>
        <w:tc>
          <w:tcPr>
            <w:tcW w:type="dxa" w:w="1584"/>
          </w:tcPr>
          <w:p>
            <w:pPr>
              <w:keepNext/>
              <w:spacing w:after="0" w:line="240" w:lineRule="auto"/>
              <w:jc w:val="center"/>
            </w:pPr>
            <w:r/>
            <w:r>
              <w:rPr>
                <w:color w:val="0000FF"/>
                <w:sz w:val="18"/>
              </w:rPr>
              <w:t>−0.010</w:t>
            </w:r>
            <w:r>
              <w:br/>
            </w:r>
            <w:r>
              <w:rPr>
                <w:color w:val="0000FF"/>
                <w:sz w:val="18"/>
              </w:rPr>
              <w:t>(0.027)</w:t>
            </w:r>
          </w:p>
        </w:tc>
        <w:tc>
          <w:tcPr>
            <w:tcW w:type="dxa" w:w="1656"/>
          </w:tcPr>
          <w:p>
            <w:pPr>
              <w:keepNext/>
              <w:spacing w:after="0" w:line="240" w:lineRule="auto"/>
              <w:jc w:val="center"/>
            </w:pPr>
            <w:r/>
            <w:r>
              <w:rPr>
                <w:color w:val="0000FF"/>
                <w:sz w:val="18"/>
              </w:rPr>
              <w:t>−0.064*</w:t>
            </w:r>
            <w:r>
              <w:br/>
            </w:r>
            <w:r>
              <w:rPr>
                <w:color w:val="0000FF"/>
                <w:sz w:val="18"/>
              </w:rPr>
              <w:t>(0.034)</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Borders>
              <w:bottom w:val="single" w:sz="6" w:color="000000"/>
            </w:tcBorders>
          </w:tcPr>
          <w:p>
            <w:pPr>
              <w:spacing w:after="0" w:line="240" w:lineRule="auto"/>
            </w:pPr>
            <w:r/>
            <w:r>
              <w:rPr>
                <w:b/>
                <w:color w:val="0000FF"/>
                <w:sz w:val="18"/>
              </w:rPr>
              <w:t>Doubly robust, ≤ 90th percentile</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656"/>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24"/>
            <w:tcBorders>
              <w:bottom w:val="single" w:sz="6" w:color="000000"/>
            </w:tcBorders>
          </w:tcPr>
          <w:p>
            <w:pPr>
              <w:spacing w:after="0" w:line="240" w:lineRule="auto"/>
              <w:jc w:val="center"/>
            </w:pPr>
            <w:r/>
            <w:r>
              <w:rPr>
                <w:color w:val="0000FF"/>
                <w:sz w:val="18"/>
              </w:rPr>
              <w:t>420</w:t>
            </w:r>
          </w:p>
        </w:tc>
        <w:tc>
          <w:tcPr>
            <w:tcW w:type="dxa" w:w="1152"/>
            <w:tcBorders>
              <w:bottom w:val="single" w:sz="6" w:color="000000"/>
            </w:tcBorders>
          </w:tcPr>
          <w:p>
            <w:pPr>
              <w:spacing w:after="0" w:line="240" w:lineRule="auto"/>
              <w:jc w:val="center"/>
            </w:pPr>
            <w:r/>
            <w:r>
              <w:rPr>
                <w:color w:val="0000FF"/>
                <w:sz w:val="18"/>
              </w:rPr>
              <w:t>2,407</w:t>
            </w:r>
          </w:p>
        </w:tc>
      </w:tr>
    </w:tbl>
    <w:p>
      <w:pPr>
        <w:spacing w:line="240" w:lineRule="auto" w:after="40" w:before="280"/>
        <w:jc w:val="both"/>
      </w:pPr>
      <w:r>
        <w:rPr>
          <w:color w:val="0000FF"/>
          <w:sz w:val="18"/>
        </w:rPr>
        <w:t>Note: Outcome regression unless doubly robust, with firm-bootstrap standard errors; firm counts for ln(MTB). *, **, ***: 10%, 5%, 1%.</w:t>
      </w:r>
    </w:p>
    <w:p>
      <w:pPr>
        <w:spacing w:line="360" w:lineRule="auto" w:after="120" w:before="0"/>
        <w:ind w:firstLine="720"/>
        <w:jc w:val="both"/>
      </w:pPr>
      <w:r>
        <w:rPr>
          <w:color w:val="0000FF"/>
        </w:rPr>
        <w:t>Market capitalization is more sensitive: its estimate is 0.016 without covariates, between −0.059 and −0.033 across the functional forms that adjust for size, and between −0.096 and −0.061 on the restricted supports, as expected when size enters both selection and the outcome.</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 while the retained firms are mostly Malaysian (71.5%).</w:t>
      </w:r>
      <w:r>
        <w:rPr/>
        <w:t xml:space="preserve"> </w:t>
      </w:r>
      <w:r>
        <w:rPr>
          <w:color w:val="0000FF"/>
        </w:rPr>
        <w:t>The restricted estimate thus describes mid-sized scored firms, largely from the Malaysian expansion, and says little about the largest firms.</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b/>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b/>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b/>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b/>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b/>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b/>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Scored firms in the ln(MTB) estimate, measured in base year g − 1; never-scored firms over all firm-years.</w:t>
      </w:r>
    </w:p>
    <w:p>
      <w:pPr>
        <w:spacing w:line="360" w:lineRule="auto" w:after="120" w:before="0"/>
        <w:ind w:firstLine="720"/>
        <w:jc w:val="both"/>
      </w:pPr>
      <w:r>
        <w:rPr>
          <w:color w:val="0000FF"/>
        </w:rPr>
        <w:t>Missing MTB ratios are not random.</w:t>
      </w:r>
      <w:r>
        <w:rPr/>
        <w:t xml:space="preserve"> </w:t>
      </w:r>
      <w:r>
        <w:rPr>
          <w:color w:val="0000FF"/>
        </w:rPr>
        <w:t>Firm-years without one are more often highly levered (book leverage above 0.5 in 25.4% of never-scored firm-years without an MTB ratio, against 8.4% with one) and more often Indonesian (36.2% against 24.1%; Table S8 of the supplementary material).</w:t>
      </w:r>
      <w:r>
        <w:rPr/>
        <w:t xml:space="preserve"> </w:t>
      </w:r>
      <w:r>
        <w:rPr>
          <w:color w:val="0000FF"/>
        </w:rPr>
        <w:t>Only 36.7% of never-scored and 36.6%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using the lower threshold of twice total assets, or winsorizing within each market and year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888"/>
          </w:tcPr>
          <w:p>
            <w:pPr>
              <w:keepNext/>
              <w:spacing w:after="0" w:line="240" w:lineRule="auto"/>
            </w:pPr>
            <w:r/>
            <w:r>
              <w:rPr>
                <w:b/>
                <w:color w:val="0000FF"/>
                <w:sz w:val="18"/>
              </w:rPr>
              <w:t>Baseline</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c>
          <w:tcPr>
            <w:tcW w:type="dxa" w:w="1080"/>
          </w:tcPr>
          <w:p>
            <w:pPr>
              <w:keepNext/>
              <w:spacing w:after="0" w:line="240" w:lineRule="auto"/>
              <w:jc w:val="center"/>
            </w:pPr>
            <w:r/>
            <w:r>
              <w:rPr>
                <w:color w:val="0000FF"/>
                <w:sz w:val="18"/>
              </w:rPr>
              <w:t>2,409</w:t>
            </w:r>
          </w:p>
        </w:tc>
      </w:tr>
      <w:tr>
        <w:trPr>
          <w:cantSplit/>
        </w:trPr>
        <w:tc>
          <w:tcPr>
            <w:tcW w:type="dxa" w:w="3888"/>
          </w:tcPr>
          <w:p>
            <w:pPr>
              <w:keepNext/>
              <w:spacing w:after="0" w:line="240" w:lineRule="auto"/>
            </w:pPr>
            <w:r/>
            <w:r>
              <w:rPr>
                <w:b/>
                <w:color w:val="0000FF"/>
                <w:sz w:val="18"/>
              </w:rPr>
              <w:t>Complete MTB series, scored and control firms</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1,152</w:t>
            </w:r>
          </w:p>
        </w:tc>
      </w:tr>
      <w:tr>
        <w:trPr>
          <w:cantSplit/>
        </w:trPr>
        <w:tc>
          <w:tcPr>
            <w:tcW w:type="dxa" w:w="3888"/>
          </w:tcPr>
          <w:p>
            <w:pPr>
              <w:keepNext/>
              <w:spacing w:after="0" w:line="240" w:lineRule="auto"/>
            </w:pPr>
            <w:r/>
            <w:r>
              <w:rPr>
                <w:b/>
                <w:color w:val="0000FF"/>
                <w:sz w:val="18"/>
              </w:rPr>
              <w:t>Complete MTB series, scored firms only</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Flagged firm-years removed</w:t>
            </w:r>
          </w:p>
        </w:tc>
        <w:tc>
          <w:tcPr>
            <w:tcW w:type="dxa" w:w="1584"/>
          </w:tcPr>
          <w:p>
            <w:pPr>
              <w:keepNext/>
              <w:spacing w:after="0" w:line="240" w:lineRule="auto"/>
              <w:jc w:val="center"/>
            </w:pPr>
            <w:r/>
            <w:r>
              <w:rPr>
                <w:color w:val="0000FF"/>
                <w:sz w:val="18"/>
              </w:rPr>
              <w:t>−0.007</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2,408</w:t>
            </w:r>
          </w:p>
        </w:tc>
      </w:tr>
      <w:tr>
        <w:trPr>
          <w:cantSplit/>
        </w:trPr>
        <w:tc>
          <w:tcPr>
            <w:tcW w:type="dxa" w:w="3888"/>
          </w:tcPr>
          <w:p>
            <w:pPr>
              <w:keepNext/>
              <w:spacing w:after="0" w:line="240" w:lineRule="auto"/>
            </w:pPr>
            <w:r/>
            <w:r>
              <w:rPr>
                <w:b/>
                <w:color w:val="0000FF"/>
                <w:sz w:val="18"/>
              </w:rPr>
              <w:t>Firms with any flagged year removed</w:t>
            </w:r>
          </w:p>
        </w:tc>
        <w:tc>
          <w:tcPr>
            <w:tcW w:type="dxa" w:w="1584"/>
          </w:tcPr>
          <w:p>
            <w:pPr>
              <w:keepNext/>
              <w:spacing w:after="0" w:line="240" w:lineRule="auto"/>
              <w:jc w:val="center"/>
            </w:pPr>
            <w:r/>
            <w:r>
              <w:rPr>
                <w:color w:val="0000FF"/>
                <w:sz w:val="18"/>
              </w:rPr>
              <w:t>−0.008</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2,385</w:t>
            </w:r>
          </w:p>
        </w:tc>
      </w:tr>
      <w:tr>
        <w:trPr>
          <w:cantSplit/>
        </w:trPr>
        <w:tc>
          <w:tcPr>
            <w:tcW w:type="dxa" w:w="3888"/>
          </w:tcPr>
          <w:p>
            <w:pPr>
              <w:keepNext/>
              <w:spacing w:after="0" w:line="240" w:lineRule="auto"/>
            </w:pPr>
            <w:r/>
            <w:r>
              <w:rPr>
                <w:b/>
                <w:color w:val="0000FF"/>
                <w:sz w:val="18"/>
              </w:rPr>
              <w:t>Firm-years with implied book equity above twice total assets removed</w:t>
            </w:r>
          </w:p>
        </w:tc>
        <w:tc>
          <w:tcPr>
            <w:tcW w:type="dxa" w:w="1584"/>
          </w:tcPr>
          <w:p>
            <w:pPr>
              <w:keepNext/>
              <w:spacing w:after="0" w:line="240" w:lineRule="auto"/>
              <w:jc w:val="center"/>
            </w:pPr>
            <w:r/>
            <w:r>
              <w:rPr>
                <w:color w:val="0000FF"/>
                <w:sz w:val="18"/>
              </w:rPr>
              <w:t>−0.019</w:t>
            </w:r>
            <w:r>
              <w:br/>
            </w:r>
            <w:r>
              <w:rPr>
                <w:color w:val="0000FF"/>
                <w:sz w:val="18"/>
              </w:rPr>
              <w:t>(0.023)</w:t>
            </w:r>
          </w:p>
        </w:tc>
        <w:tc>
          <w:tcPr>
            <w:tcW w:type="dxa" w:w="1656"/>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c>
          <w:tcPr>
            <w:tcW w:type="dxa" w:w="1080"/>
          </w:tcPr>
          <w:p>
            <w:pPr>
              <w:keepNext/>
              <w:spacing w:after="0" w:line="240" w:lineRule="auto"/>
              <w:jc w:val="center"/>
            </w:pPr>
            <w:r/>
            <w:r>
              <w:rPr>
                <w:color w:val="0000FF"/>
                <w:sz w:val="18"/>
              </w:rPr>
              <w:t>2,393</w:t>
            </w:r>
          </w:p>
        </w:tc>
      </w:tr>
      <w:tr>
        <w:trPr>
          <w:cantSplit/>
        </w:trPr>
        <w:tc>
          <w:tcPr>
            <w:tcW w:type="dxa" w:w="3888"/>
            <w:tcBorders>
              <w:bottom w:val="single" w:sz="6" w:color="000000"/>
            </w:tcBorders>
          </w:tcPr>
          <w:p>
            <w:pPr>
              <w:spacing w:after="0" w:line="240" w:lineRule="auto"/>
            </w:pPr>
            <w:r/>
            <w:r>
              <w:rPr>
                <w:b/>
                <w:color w:val="0000FF"/>
                <w:sz w:val="18"/>
              </w:rPr>
              <w:t>Winsorized within market and year</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656"/>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c>
          <w:tcPr>
            <w:tcW w:type="dxa" w:w="1080"/>
            <w:tcBorders>
              <w:bottom w:val="single" w:sz="6" w:color="000000"/>
            </w:tcBorders>
          </w:tcPr>
          <w:p>
            <w:pPr>
              <w:spacing w:after="0" w:line="240" w:lineRule="auto"/>
              <w:jc w:val="center"/>
            </w:pPr>
            <w:r/>
            <w:r>
              <w:rPr>
                <w:color w:val="0000FF"/>
                <w:sz w:val="18"/>
              </w:rPr>
              <w:t>2,412</w:t>
            </w:r>
          </w:p>
        </w:tc>
      </w:tr>
    </w:tbl>
    <w:p>
      <w:pPr>
        <w:spacing w:line="240" w:lineRule="auto" w:after="40" w:before="280"/>
        <w:jc w:val="both"/>
      </w:pPr>
      <w:r>
        <w:rPr>
          <w:color w:val="0000FF"/>
          <w:sz w:val="18"/>
        </w:rPr>
        <w:t>Note: Outcome regression with firm-bootstrap standard errors; flags mark implied book equity above ten times total assets. *, **, ***: 10%, 5%, 1%.</w:t>
      </w:r>
    </w:p>
    <w:p>
      <w:pPr>
        <w:spacing w:line="360" w:lineRule="auto" w:after="120" w:before="0"/>
        <w:ind w:firstLine="720"/>
        <w:jc w:val="both"/>
      </w:pPr>
      <w:r>
        <w:rPr>
          <w:color w:val="0000FF"/>
        </w:rPr>
        <w:t>None of the four pre-specified robustness checks (not-yet-scored controls, no covariates, no 2020–2021 cohorts, and size-trimmed controls) shows an MTB effect that differs from zero at the 10% level (estimates from −0.001 to 0.031), while the market capitalization and total assets results are less stable.</w:t>
      </w:r>
      <w:r>
        <w:rPr/>
        <w:t xml:space="preserve"> </w:t>
      </w:r>
      <w:r>
        <w:rPr>
          <w:color w:val="0000FF"/>
        </w:rPr>
        <w:t>Excluding one market at a time (Table S9) gives MTB effects from −0.007 to 0.017.</w:t>
      </w:r>
      <w:r>
        <w:rPr/>
        <w:t xml:space="preserve"> </w:t>
      </w:r>
      <w:r>
        <w:rPr>
          <w:color w:val="0000FF"/>
        </w:rPr>
        <w:t>The placebo yields 0.059 on log MTB (p = 0.010), restating the pre-coverage growth in Figure 1.</w:t>
      </w:r>
      <w:r>
        <w:rPr/>
        <w:t xml:space="preserve"> </w:t>
      </w:r>
      <w:r>
        <w:rPr>
          <w:color w:val="0000FF"/>
        </w:rPr>
        <w:t>The static TWFE regression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FF"/>
          <w:sz w:val="24"/>
        </w:rPr>
        <w:t>4.4 Initial Scores and What the Pooled Estimate Represents</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color w:val="0000FF"/>
        </w:rPr>
        <w:t>The pooled estimate weights cohorts and event years by the number of scored firms in each cell.</w:t>
      </w:r>
      <w:r>
        <w:rPr/>
        <w:t xml:space="preserve"> </w:t>
      </w:r>
      <w:r>
        <w:rPr>
          <w:color w:val="0000FF"/>
        </w:rPr>
        <w:t>Malaysian firms carry 55.2% of the weight in the headline MTB estimate and Thai firms 26.7%, together 81.9%; the Malaysian wave of 2021 and 2022 alone carries 44.1%, and firm-years from 2021 to 2024 carry 87.2% (Table S10).</w:t>
      </w:r>
      <w:r>
        <w:rPr/>
        <w:t xml:space="preserve"> </w:t>
      </w:r>
      <w:r>
        <w:rPr>
          <w:color w:val="0000FF"/>
        </w:rPr>
        <w:t>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w:t>
      </w:r>
      <w:r>
        <w:rPr/>
        <w:t xml:space="preserve"> </w:t>
      </w:r>
      <w:r>
        <w:rPr>
          <w:color w:val="0000FF"/>
        </w:rPr>
        <w:t>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price rise at S&amp;P 500 inclusion (Shleifer, 1986), part of which reverses within weeks (Harris &amp; Gurel, 1986), our estimates concern lasting revaluation (Chen et al., 2004).</w:t>
      </w:r>
      <w:r>
        <w:rPr/>
        <w:t xml:space="preserve"> </w:t>
      </w:r>
      <w:r>
        <w:rPr>
          <w:color w:val="0000FF"/>
        </w:rPr>
        <w:t>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 xml:space="preserve">5. </w:t>
      </w:r>
      <w:r>
        <w:rPr>
          <w:rFonts w:ascii="Times New Roman" w:hAnsi="Times New Roman" w:eastAsia="Times New Roman"/>
          <w:b/>
          <w:i w:val="0"/>
          <w:color w:val="0000FF"/>
          <w:sz w:val="26"/>
        </w:rPr>
        <w:t>Discussion and Conclusion</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w:t>
      </w:r>
      <w:r>
        <w:rPr/>
        <w:t xml:space="preserve"> </w:t>
      </w:r>
      <w:r>
        <w:rPr>
          <w:color w:val="0000FF"/>
        </w:rPr>
        <w:t>This ordering does not rest on parallel trends or on the dating of publication, although its size depends on conditioning on base-year size: without covariates, the MTB run-up is 6.6% (pre-trend p = 0.028).</w:t>
      </w:r>
      <w:r>
        <w:rPr/>
        <w:t xml:space="preserve"> </w:t>
      </w:r>
      <w:r>
        <w:rPr>
          <w:color w:val="0000FF"/>
        </w:rPr>
        <w:t>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w:t>
      </w:r>
      <w:r>
        <w:rPr/>
        <w:t xml:space="preserve"> </w:t>
      </w:r>
      <w:r>
        <w:rPr>
          <w:color w:val="0000FF"/>
        </w:rPr>
        <w:t>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color w:val="0000FF"/>
        </w:rPr>
        <w:t>The absence of a detected gain fits the evidence on certification by sustainability indices (Durand et al., 2019; Hawn et al., 2018) and contrasts with the price effects of MSCI rating changes (Berg, Heeb, et al., 2022; Shanaev &amp; Ghimire, 2022).</w:t>
      </w:r>
      <w:r>
        <w:rPr/>
        <w:t xml:space="preserve"> </w:t>
      </w:r>
      <w:r>
        <w:rPr>
          <w:color w:val="0000FF"/>
        </w:rPr>
        <w:t>U.S.</w:t>
      </w:r>
      <w:r>
        <w:rPr/>
        <w:t xml:space="preserve"> </w:t>
      </w:r>
      <w:r>
        <w:rPr>
          <w:color w:val="0000FF"/>
        </w:rPr>
        <w:t>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w:t>
      </w:r>
      <w:r>
        <w:rPr/>
        <w:t xml:space="preserve"> </w:t>
      </w:r>
      <w:r>
        <w:rPr>
          <w:color w:val="0000FF"/>
        </w:rPr>
        <w:t>Scored firms were also large and visible before coverage, which leaves less room for recognition (Merton, 1987).</w:t>
      </w:r>
      <w:r>
        <w:rPr/>
        <w:t xml:space="preserve"> </w:t>
      </w:r>
      <w:r>
        <w:rPr>
          <w:color w:val="0000FF"/>
        </w:rPr>
        <w:t>Unlike U.S. evidence that coverage changes firm conduct and payout (Bikmetova &amp; Pirinsky, 2026; Tsang et al., 2024, 2025), we find no detected change in leverage (0.8 percentage points, Holm p = 0.134) and a total-assets increase that loses significance after Holm adjustment.</w:t>
      </w:r>
      <w:r>
        <w:rPr/>
        <w:t xml:space="preserve"> </w:t>
      </w:r>
      <w:r>
        <w:rPr>
          <w:color w:val="0000FF"/>
        </w:rPr>
        <w:t>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color w:val="0000FF"/>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report pre-entry dynamics, and record the download date of their rating data.</w:t>
      </w:r>
      <w:r>
        <w:rPr/>
        <w:t xml:space="preserve"> </w:t>
      </w:r>
      <w:r>
        <w:rPr>
          <w:color w:val="0000FF"/>
        </w:rPr>
        <w:t>For providers, publishing the date on which each firm's coverage began, with the vintages of revised scores, would separate what was known from what was filled in later.</w:t>
      </w:r>
      <w:r>
        <w:rPr/>
        <w:t xml:space="preserve"> </w:t>
      </w:r>
      <w:r>
        <w:rPr>
          <w:color w:val="0000FF"/>
        </w:rPr>
        <w:t>For investors, a portfolio screened on ESG scores in these markets holds firms that, on average, entered coverage after outgrowing their peers.</w:t>
      </w:r>
      <w:r>
        <w:rPr/>
        <w:t xml:space="preserve"> </w:t>
      </w:r>
      <w:r>
        <w:rPr>
          <w:color w:val="0000FF"/>
        </w:rPr>
        <w:t>For exchanges, regulators, and listed firms,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color w:val="0000FF"/>
        </w:rPr>
        <w:t>The study has limitations.</w:t>
      </w:r>
      <w:r>
        <w:rPr/>
        <w:t xml:space="preserve"> </w:t>
      </w:r>
      <w:r>
        <w:rPr>
          <w:color w:val="0000FF"/>
        </w:rPr>
        <w:t>The post-coverage estimates rest on conditional parallel trends that the pre-coverage estimates question, and our bound is a simplified version of Rambachan and Roth (2023).</w:t>
      </w:r>
      <w:r>
        <w:rPr/>
        <w:t xml:space="preserve"> </w:t>
      </w:r>
      <w:r>
        <w:rPr>
          <w:color w:val="0000FF"/>
        </w:rPr>
        <w:t>We observe neither publication dates, returns, ownership, nor index membership, and only LSEG coverage, and flagging implausible market capitalization removes order-of-magnitude recording errors but not smaller ones.</w:t>
      </w:r>
      <w:r>
        <w:rPr/>
        <w:t xml:space="preserve"> </w:t>
      </w:r>
      <w:r>
        <w:rPr>
          <w:color w:val="0000FF"/>
        </w:rPr>
        <w:t>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color w:val="0000FF"/>
        </w:rPr>
        <w:t>In conclusion, entry into LSEG ESG coverage in five Southeast Asian markets was selective.</w:t>
      </w:r>
      <w:r>
        <w:rPr/>
        <w:t xml:space="preserve"> </w:t>
      </w:r>
      <w:r>
        <w:rPr>
          <w:color w:val="0000FF"/>
        </w:rPr>
        <w:t>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w:t>
      </w:r>
      <w:r>
        <w:rPr/>
        <w:t xml:space="preserve"> </w:t>
      </w:r>
      <w:r>
        <w:rPr>
          <w:color w:val="0000FF"/>
        </w:rPr>
        <w:t>After entry, the valuation gap stopped widening, but whether coverage itself changed valuations cannot be settled: the answer moves from no detected change to a decline of 6.6% depending on when investors are assumed to have seen the score.</w:t>
      </w:r>
      <w:r>
        <w:rPr/>
        <w:t xml:space="preserve"> </w:t>
      </w:r>
      <w:r>
        <w:rPr>
          <w:color w:val="0000FF"/>
        </w:rPr>
        <w:t>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 xml:space="preserve">Crump, R. K., Hotz, V. J., Imbens, G. W., &amp; Mitnik, O. A. (2009). 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color w:val="0000FF"/>
        </w:rPr>
        <w:t xml:space="preserve">LSEG. (2023).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 xml:space="preserve">Nguyen, T. T. (2025). 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color w:val="0000FF"/>
        </w:rPr>
        <w:t xml:space="preserve">Otoritas Jasa Keuangan. (2017).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 xml:space="preserve">Prukumpai, S., Sethapramote, Y., &amp; Luangaram, P. (2022). 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 xml:space="preserve">Sudsawasd, S., &amp; Sakdapat, P. (2026). 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