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over the five years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paper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(Section 3.3). A pre-analysis plan, committed before the estimation code, records the hypotheses, sample, estimator, and robustness checks; every later analysis is labeled exploratory.</w:t>
      </w:r>
    </w:p>
    <w:p>
      <w:pPr>
        <w:spacing w:line="360" w:lineRule="auto" w:after="120" w:before="0"/>
        <w:ind w:firstLine="720"/>
        <w:jc w:val="both"/>
      </w:pPr>
      <w:r>
        <w:rPr/>
        <w:t>The evidence has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the high point of the relative MTB path, and the decline appears only in the waves that had a run-up. 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t>The paper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and part of the price increase at S&amp;P 500 inclusion reverses within weeks (Harris &amp; Gurel, 1986; Shleifer,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The five markets introduced sustainability reporting rules for listed firms at different times. Bursa Malaysia required a sustainability statement in annual reports for financial years ending on or after December 31, 2016, phased in from the largest companies between 2016 and 2018 (Bursa Malaysia, 2015). Singapore required listed issuers to publish a sustainability report, on a comply-or-explain basis, for financial years ending on or after December 31, 2017 (Singapore Exchange, 2016). Philippine listed companies attached a sustainability report, on a comply-or-explain basis for the first three years, from the 2019 annual reports (Securities and Exchange Commission Philippines, 2019). Under its original schedule, a 2017 Indonesian regulation applies to listed companies other than small- and medium-asset issuers from 2020 (Otoritas Jasa Keuangan, 2017); the regulator's pandemic relief may have delayed some first reports, a date no variable in our analysis depends on. Thai listed companies have reported sustainability information in the 56-1 One Report since the fiscal year ending in 2021 (Tilleke &amp; Gibbins, 2020).</w:t>
      </w:r>
    </w:p>
    <w:p>
      <w:pPr>
        <w:spacing w:line="360" w:lineRule="auto" w:after="120" w:before="0"/>
        <w:ind w:firstLine="720"/>
        <w:jc w:val="both"/>
      </w:pPr>
      <w:r>
        <w:rPr/>
        <w:t>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Coverage arrived in waves: 108 first scores in Thailand and Singapore in 2019 and 2020, and 289 in Malaysia in 2021 and 2022 (Table S1 and Figure S1 of the supplementary material). Of the 675 scored firms, 404 (59.9%) are Malaysian, and Malaysian and Thai firms together make up 84.3%. The waves do not follow a single reporting rule: the Thai wave preceded the One Report requirement, and the Malaysian wave came years after Bursa Malaysia's rule.</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(40,799 firm-years from 2014 to 2024). Firms enter the panel when they list, but every firm in the extract has data in 2024, so firms that delisted between 2014 and 2023 are absent from both the scored and the never-scored groups. The sample therefore conditions on survival to 2024, and without delisting data we cannot sign the resulting bias.</w:t>
      </w:r>
    </w:p>
    <w:p>
      <w:pPr>
        <w:spacing w:line="360" w:lineRule="auto" w:after="120" w:before="0"/>
        <w:ind w:firstLine="720"/>
        <w:jc w:val="both"/>
      </w:pPr>
      <w:r>
        <w:rPr/>
        <w:t>Firms that never receive a score in our sample are never-scored and form the comparison group. Dropping financial firms leaves 3,423 firms. A firm's first recorded score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(Tables S2 and S3 of the supplementary material). The source data contain no MTB ratio at or below zero, so firm-years with negative book equity appear as missing, like firm-years without market or accounting data. Log MTB ratios are missing for 28.0% of never-scored and 12.7% of scored firm-years.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may precede the year in which investors first see a score for three reasons. First, the score for fiscal year g draws on reports published after that fiscal year ends, so it reaches investors in year g + 1 or later. Second, the provider has rewritten historical scores on a large scale (Berg et al., 2020), and scores for the five most recent fiscal years can change after publication (Sahin et al., 2023). Third, if the provider backfilled a firm's history at entry, the gap exceeds one year. The first recorded score can therefore date entry too early but, unless the provider deleted an earlier score, not too late.</w:t>
      </w:r>
    </w:p>
    <w:p>
      <w:pPr>
        <w:spacing w:line="360" w:lineRule="auto" w:after="120" w:before="0"/>
        <w:ind w:firstLine="720"/>
        <w:jc w:val="both"/>
      </w:pPr>
      <w:r>
        <w:rPr/>
        <w:t>We could not recover the publication dates. Our extract contains each score by fiscal year, with no publication or update date, and holds the scores in the database at download, after any revision; that every scored firm still has a score in 2024 fits a download of the provider's current universe. LSEG distributes a point-in-time version of its ESG data that keeps values as they were published (LSEG, 2023), but our extract does not contain it. 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 Late dating cannot create the pre-coverage growth we report, because that growth occurs before g, but it can place pre-publication years in the post-coverage window of the baseline estimate.</w:t>
      </w:r>
    </w:p>
    <w:p>
      <w:pPr>
        <w:pStyle w:val="Heading2"/>
        <w:keepNext/>
        <w:spacing w:line="360" w:lineRule="auto" w:after="120" w:before="160"/>
      </w:pPr>
      <w:r>
        <w:rPr>
          <w:rFonts w:ascii="Times New Roman" w:hAnsi="Times New Roman" w:eastAsia="Times New Roman"/>
          <w:b/>
          <w:i w:val="0"/>
          <w:color w:val="000000"/>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Without stock returns or shares outstanding, we use MTB for valuation and treat market capitalization and total assets as measures of scale. Amounts are in U.S. dollars, and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Market capitalization divided by the MTB ratio gives the implied book equity, which cannot exceed total assets. Of the 27,127 firm-years with all three items, 1,030 have ratios between one and two, which can arise when the items are measured on different dates, and 540 have ratios between two and ten. We flag firm-years in which the implied book equity exceeds ten times total assets, an error of an order of magnitude: 209 firm-years (0.77%), 73 of them for scored firms. A lower threshold, a ratio above two, flags 749 firm-years.</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Assumption (2) concerns changes in outcomes, so level differences between scored and never-scored firms do not violate it, but a different growth path before coverage would.</w:t>
      </w:r>
    </w:p>
    <w:p>
      <w:pPr>
        <w:spacing w:line="360" w:lineRule="auto" w:after="120" w:before="0"/>
        <w:ind w:firstLine="720"/>
        <w:jc w:val="both"/>
      </w:pPr>
      <w:r>
        <w:rPr/>
        <w:t>The pooled sample violates the analogous condition before the base year (Section 5.2). Two arguments make assumption (2) plausible in parts of the sample, and one argues against it. In the large Malaysian wave the pre-coverage estimates show no detectable run-up, so for these firms the assumption does not require a trend to stop; the run-up interval is wide, however (−7.4% to 15.2%), and the wave split is exploratory. If the provider adds firms once they cross a size or visibility threshold, relative growth stops being a reason for selection after the threshold, and conditioning on base-year size compares firms on the same side of it. Against it, if part of the run-up was transitory, scored firms would have fallen back even without a score, and the estimates would understate any effect of coverage.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Outcome regression does not remove this support problem; it extrapolates the relation estimated among controls to scored firms larger than most controls, so Section 5.6 restricts scored firms to the size range of the controls, in the spirit of the overlap trimming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Baseline controls are never-scored firms; later-scored firms join them only in check R1. All comparisons, including pre-coverage ones, are relative to the base year, so a negative θ̂(e) for e ≤ −2 means that scored firms grew faster than comparable never-scored firms from year g + e to the base year. Because we measure the covariates in the base year, at the end of any run-up, conditioning on base-year total assets can absorb part of the run-up; Section 5.6 varies this choice.</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All specifications share the same 999 draws and fixed seed, so differences between specifications have a valid joint distribution. We report the bootstrap standard error (SE), the percentile 95% confidence interval, a normal-approximation two-sided p-value, and the minimum detectable effect at 80% power in a two-sided 5% test, MDE ≈ 2.8 × SE. We test the primary outcome at the 5% level and Holm-adjust the p-values, but not the intervals, of the three secondary outcomes. A Wald test of the four estimates for e = −5 to −2, with their bootstrap covariance matrix, checks parallel pre-coverage trends; because such tests can have low power and conditioning on them distorts inference (Roth, 2022), we report it only as a diagnostic. 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three exploratory checks. The first removes a linear pre-coverage trend that passes through zero in the base year (row R7); the second adds the growth of log market capitalization from year g − 3 to the base year to X</w:t>
      </w:r>
      <w:r>
        <w:rPr>
          <w:vertAlign w:val="subscript"/>
        </w:rPr>
        <w:t>i</w:t>
      </w:r>
      <w:r>
        <w:rPr/>
        <w:t xml:space="preserve"> (row R8). The third bounds the bias in the spirit of the relative-magnitude restriction of Rambachan and Roth (2023). Let δ(e) denote the post-coverage violation of assumption (2)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and Δ is the largest change between consecutive pre-coverage estimates. The bias for event year e is then at most M̄Δ(e + 1), and we widen the headline confidence interval by the weighted average of this bound. With M̄ = 0.25, the post-coverage gap may drift each year by a quarter of the largest yearly change before coverage.</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ε</w:t>
      </w:r>
      <w:r>
        <w:rPr>
          <w:vertAlign w:val="subscript"/>
        </w:rPr>
        <w:t>i,t</w:t>
      </w:r>
      <w:r>
        <w:rPr/>
        <w:t xml:space="preserve"> is the error term; standard errors are clustered by firm. 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t>The pre-analysis plan fixed six checks, labeled R1 to R6 in the results. They add not-yet-scored firms to the controls (R1), drop the covariates (R2), exclude the 2020 and 2021 cohorts (R3), keep only control firms whose base-year log total assets reach the 10th percentile among scored firms of the same cohort (R4), date coverage three years early as a placebo (R5), and estimate Eq. (8) (R6). All other checks are exploratory.</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Scored firms are larger: their median market capitalization is 203.2 million U.S. dollars against 42.2 million, and their median total assets are 4.3 times as large. Their MTB ratio is also higher, while leverage differs little. 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base year g − 1; never-scored firms in 2014–2024. Norm. diff. is the mean difference divided by the root of the average variance.</w:t>
      </w:r>
    </w:p>
    <w:p>
      <w:pPr>
        <w:pStyle w:val="Heading2"/>
        <w:keepNext/>
        <w:spacing w:line="360" w:lineRule="auto" w:after="120" w:before="160"/>
      </w:pPr>
      <w:r>
        <w:rPr>
          <w:rFonts w:ascii="Times New Roman" w:hAnsi="Times New Roman" w:eastAsia="Times New Roman"/>
          <w:b/>
          <w:i w:val="0"/>
          <w:color w:val="000000"/>
          <w:sz w:val="24"/>
        </w:rPr>
        <w:t>5.2 The Valuation Path Before and After the First Recorded Score</w:t>
      </w:r>
    </w:p>
    <w:p>
      <w:pPr>
        <w:spacing w:line="360" w:lineRule="auto" w:after="120" w:before="0"/>
        <w:ind w:firstLine="720"/>
        <w:jc w:val="both"/>
      </w:pPr>
      <w:r>
        <w:rPr/>
        <w:t>Figure 1 plots the event-time estimates of Eq. (5).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Eq. (6). The MTB gap thus widens before coverage and stops widening afterward. Only reading the post-coverage part as an effect of coverage depends on assumption (2).</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Estimates relative to event year −1 with firm-bootstrap 95% intervals; 141 to 615 scored firms per event year.</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Estimates by wave against all never-scored firms, with firm-bootstrap 95% intervals. The waves hold 289, 108, and 278 scored firms.</w:t>
      </w:r>
    </w:p>
    <w:p>
      <w:pPr>
        <w:pStyle w:val="Heading2"/>
        <w:keepNext/>
        <w:spacing w:line="360" w:lineRule="auto" w:after="120" w:before="160"/>
      </w:pPr>
      <w:r>
        <w:rPr>
          <w:rFonts w:ascii="Times New Roman" w:hAnsi="Times New Roman" w:eastAsia="Times New Roman"/>
          <w:b/>
          <w:i w:val="0"/>
          <w:color w:val="000000"/>
          <w:sz w:val="24"/>
        </w:rPr>
        <w:t>5.3 Average Change After Entry Under Assumption (2)</w:t>
      </w:r>
    </w:p>
    <w:p>
      <w:pPr>
        <w:spacing w:line="360" w:lineRule="auto" w:after="120" w:before="0"/>
        <w:ind w:firstLine="720"/>
        <w:jc w:val="both"/>
      </w:pPr>
      <w:r>
        <w:rPr/>
        <w:t>Table 2 reports the headline estimates of Eq. (6). The change in log MTB is 0.002, with a 95% confidence interval of −0.046 to 0.048, so the data are compatible with changes in the MTB ratio from −4.5% to 4.9%; the MDE is about 7.0%. With the cluster bootstrap, the interval is −0.050 to 0.053.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with firm-bootstrap standard errors; secondary p-values are Holm-adjusted, intervals are not. MDE: 80%-power minimum detectable effect; pre-trend p from the joint Wald test of event years −5 to −2.</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with a joint pre-trend p = 0.072. 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R1 Not-yet-scored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R2 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R3 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R4 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R5 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R6 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R7 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R8 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R9 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R10 Dated 1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R11 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(R6: two-way fixed effects, firm-clustered); firm counts for ln(MTB). *, **, ***: 10%, 5%, 1% (unadjusted).</w:t>
      </w:r>
    </w:p>
    <w:p>
      <w:pPr>
        <w:pStyle w:val="Heading2"/>
        <w:keepNext/>
        <w:spacing w:line="360" w:lineRule="auto" w:after="120" w:before="160"/>
      </w:pPr>
      <w:r>
        <w:rPr>
          <w:rFonts w:ascii="Times New Roman" w:hAnsi="Times New Roman" w:eastAsia="Times New Roman"/>
          <w:b/>
          <w:i w:val="0"/>
          <w:color w:val="000000"/>
          <w:sz w:val="24"/>
        </w:rPr>
        <w:t>5.4 Reconciling the Two Datings</w:t>
      </w:r>
    </w:p>
    <w:p>
      <w:pPr>
        <w:spacing w:line="360" w:lineRule="auto" w:after="120" w:before="0"/>
        <w:ind w:firstLine="720"/>
        <w:jc w:val="both"/>
      </w:pPr>
      <w:r>
        <w:rPr/>
        <w:t>Table 4 moves from the first-recorded-year estimate to the one-year-later estimate one step at a time. Row 2 keeps only firms observed in both g − 1 and g, so that every later row draws on the same set of firms; this changes the MTB estimate by −0.005. Row 3 averages event years 1 to 4 instead of 0 to 3; this changes it by −0.016 (p = 0.092). Row 4 moves the reference year from g − 1 to g, which is what dating coverage one year later does to the comparison; this changes the estimate by −0.044 (p = 0.024), 62% of the total gap of −0.070. Measuring size in g (row 5) and returning to all firms (row 6) change little. The steps are sequential, so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752"/>
          </w:tcPr>
          <w:p>
            <w:pPr>
              <w:keepNext/>
              <w:spacing w:after="0" w:line="240" w:lineRule="auto"/>
            </w:pPr>
            <w:r/>
            <w:r>
              <w:rPr>
                <w:b/>
                <w:sz w:val="18"/>
              </w:rPr>
              <w:t>(1) First recorded year g, reference g − 1, event years 0 to 3, all firms</w:t>
            </w:r>
          </w:p>
        </w:tc>
        <w:tc>
          <w:tcPr>
            <w:tcW w:type="dxa" w:w="1656"/>
          </w:tcPr>
          <w:p>
            <w:pPr>
              <w:keepNext/>
              <w:spacing w:after="0" w:line="240" w:lineRule="auto"/>
              <w:jc w:val="center"/>
            </w:pPr>
            <w:r/>
            <w:r>
              <w:rPr>
                <w:sz w:val="18"/>
              </w:rPr>
              <w:t>0.002</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r>
      <w:tr>
        <w:trPr>
          <w:cantSplit/>
        </w:trPr>
        <w:tc>
          <w:tcPr>
            <w:tcW w:type="dxa" w:w="4752"/>
          </w:tcPr>
          <w:p>
            <w:pPr>
              <w:keepNext/>
              <w:spacing w:after="0" w:line="240" w:lineRule="auto"/>
            </w:pPr>
            <w:r/>
            <w:r>
              <w:rPr>
                <w:b/>
                <w:sz w:val="18"/>
              </w:rPr>
              <w:t>(2) As (1), firms observed in both g − 1 and g</w:t>
            </w:r>
          </w:p>
        </w:tc>
        <w:tc>
          <w:tcPr>
            <w:tcW w:type="dxa" w:w="1656"/>
          </w:tcPr>
          <w:p>
            <w:pPr>
              <w:keepNext/>
              <w:spacing w:after="0" w:line="240" w:lineRule="auto"/>
              <w:jc w:val="center"/>
            </w:pPr>
            <w:r/>
            <w:r>
              <w:rPr>
                <w:sz w:val="18"/>
              </w:rPr>
              <w:t>−0.003</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r>
      <w:tr>
        <w:trPr>
          <w:cantSplit/>
        </w:trPr>
        <w:tc>
          <w:tcPr>
            <w:tcW w:type="dxa" w:w="4752"/>
          </w:tcPr>
          <w:p>
            <w:pPr>
              <w:keepNext/>
              <w:spacing w:after="0" w:line="240" w:lineRule="auto"/>
            </w:pPr>
            <w:r/>
            <w:r>
              <w:rPr>
                <w:b/>
                <w:sz w:val="18"/>
              </w:rPr>
              <w:t>(3) As (2), event years 1 to 4</w:t>
            </w:r>
          </w:p>
        </w:tc>
        <w:tc>
          <w:tcPr>
            <w:tcW w:type="dxa" w:w="1656"/>
          </w:tcPr>
          <w:p>
            <w:pPr>
              <w:keepNext/>
              <w:spacing w:after="0" w:line="240" w:lineRule="auto"/>
              <w:jc w:val="center"/>
            </w:pPr>
            <w:r/>
            <w:r>
              <w:rPr>
                <w:sz w:val="18"/>
              </w:rPr>
              <w:t>−0.019</w:t>
            </w:r>
            <w:r>
              <w:br/>
            </w:r>
            <w:r>
              <w:rPr>
                <w:sz w:val="18"/>
              </w:rPr>
              <w:t>(0.030)</w:t>
            </w:r>
          </w:p>
        </w:tc>
        <w:tc>
          <w:tcPr>
            <w:tcW w:type="dxa" w:w="1800"/>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b/>
                <w:sz w:val="18"/>
              </w:rPr>
              <w:t>(4) As (3), reference year g</w:t>
            </w:r>
          </w:p>
        </w:tc>
        <w:tc>
          <w:tcPr>
            <w:tcW w:type="dxa" w:w="1656"/>
          </w:tcPr>
          <w:p>
            <w:pPr>
              <w:keepNext/>
              <w:spacing w:after="0" w:line="240" w:lineRule="auto"/>
              <w:jc w:val="center"/>
            </w:pPr>
            <w:r/>
            <w:r>
              <w:rPr>
                <w:sz w:val="18"/>
              </w:rPr>
              <w:t>−0.063***</w:t>
            </w:r>
            <w:r>
              <w:br/>
            </w:r>
            <w:r>
              <w:rPr>
                <w:sz w:val="18"/>
              </w:rPr>
              <w:t>(0.024)</w:t>
            </w:r>
          </w:p>
        </w:tc>
        <w:tc>
          <w:tcPr>
            <w:tcW w:type="dxa" w:w="1800"/>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b/>
                <w:sz w:val="18"/>
              </w:rPr>
              <w:t>(5) As (4), size measured in g</w:t>
            </w:r>
          </w:p>
        </w:tc>
        <w:tc>
          <w:tcPr>
            <w:tcW w:type="dxa" w:w="1656"/>
          </w:tcPr>
          <w:p>
            <w:pPr>
              <w:keepNext/>
              <w:spacing w:after="0" w:line="240" w:lineRule="auto"/>
              <w:jc w:val="center"/>
            </w:pPr>
            <w:r/>
            <w:r>
              <w:rPr>
                <w:sz w:val="18"/>
              </w:rPr>
              <w:t>−0.060**</w:t>
            </w:r>
            <w:r>
              <w:br/>
            </w:r>
            <w:r>
              <w:rPr>
                <w:sz w:val="18"/>
              </w:rPr>
              <w:t>(0.024)</w:t>
            </w:r>
          </w:p>
        </w:tc>
        <w:tc>
          <w:tcPr>
            <w:tcW w:type="dxa" w:w="1800"/>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r>
      <w:tr>
        <w:trPr>
          <w:cantSplit/>
        </w:trPr>
        <w:tc>
          <w:tcPr>
            <w:tcW w:type="dxa" w:w="4752"/>
          </w:tcPr>
          <w:p>
            <w:pPr>
              <w:keepNext/>
              <w:spacing w:after="0" w:line="240" w:lineRule="auto"/>
            </w:pPr>
            <w:r/>
            <w:r>
              <w:rPr>
                <w:b/>
                <w:sz w:val="18"/>
              </w:rPr>
              <w:t>(6) One year later, all firms (R10)</w:t>
            </w:r>
          </w:p>
        </w:tc>
        <w:tc>
          <w:tcPr>
            <w:tcW w:type="dxa" w:w="1656"/>
          </w:tcPr>
          <w:p>
            <w:pPr>
              <w:keepNext/>
              <w:spacing w:after="0" w:line="240" w:lineRule="auto"/>
              <w:jc w:val="center"/>
            </w:pPr>
            <w:r/>
            <w:r>
              <w:rPr>
                <w:sz w:val="18"/>
              </w:rPr>
              <w:t>−0.068***</w:t>
            </w:r>
            <w:r>
              <w:br/>
            </w:r>
            <w:r>
              <w:rPr>
                <w:sz w:val="18"/>
              </w:rPr>
              <w:t>(0.024)</w:t>
            </w:r>
          </w:p>
        </w:tc>
        <w:tc>
          <w:tcPr>
            <w:tcW w:type="dxa" w:w="1800"/>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r>
      <w:tr>
        <w:trPr>
          <w:cantSplit/>
        </w:trPr>
        <w:tc>
          <w:tcPr>
            <w:tcW w:type="dxa" w:w="4752"/>
          </w:tcPr>
          <w:p>
            <w:pPr>
              <w:keepNext/>
              <w:spacing w:after="0" w:line="240" w:lineRule="auto"/>
            </w:pPr>
            <w:r/>
            <w:r>
              <w:rPr>
                <w:b/>
                <w:sz w:val="18"/>
              </w:rPr>
              <w:t>(7) As (2), cohorts first recorded 2015 to 2020</w:t>
            </w:r>
          </w:p>
        </w:tc>
        <w:tc>
          <w:tcPr>
            <w:tcW w:type="dxa" w:w="1656"/>
          </w:tcPr>
          <w:p>
            <w:pPr>
              <w:keepNext/>
              <w:spacing w:after="0" w:line="240" w:lineRule="auto"/>
              <w:jc w:val="center"/>
            </w:pPr>
            <w:r/>
            <w:r>
              <w:rPr>
                <w:sz w:val="18"/>
              </w:rPr>
              <w:t>0.017</w:t>
            </w:r>
            <w:r>
              <w:br/>
            </w:r>
            <w:r>
              <w:rPr>
                <w:sz w:val="18"/>
              </w:rPr>
              <w:t>(0.040)</w:t>
            </w:r>
          </w:p>
        </w:tc>
        <w:tc>
          <w:tcPr>
            <w:tcW w:type="dxa" w:w="1800"/>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b/>
                <w:sz w:val="18"/>
              </w:rPr>
              <w:t>(8) As (3), cohorts first recorded 2015 to 2020</w:t>
            </w:r>
          </w:p>
        </w:tc>
        <w:tc>
          <w:tcPr>
            <w:tcW w:type="dxa" w:w="1656"/>
          </w:tcPr>
          <w:p>
            <w:pPr>
              <w:keepNext/>
              <w:spacing w:after="0" w:line="240" w:lineRule="auto"/>
              <w:jc w:val="center"/>
            </w:pPr>
            <w:r/>
            <w:r>
              <w:rPr>
                <w:sz w:val="18"/>
              </w:rPr>
              <w:t>−0.026</w:t>
            </w:r>
            <w:r>
              <w:br/>
            </w:r>
            <w:r>
              <w:rPr>
                <w:sz w:val="18"/>
              </w:rPr>
              <w:t>(0.047)</w:t>
            </w:r>
          </w:p>
        </w:tc>
        <w:tc>
          <w:tcPr>
            <w:tcW w:type="dxa" w:w="1800"/>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b/>
                <w:sz w:val="18"/>
              </w:rPr>
              <w:t>(9) As (4), cohorts first recorded 2015 to 2020</w:t>
            </w:r>
          </w:p>
        </w:tc>
        <w:tc>
          <w:tcPr>
            <w:tcW w:type="dxa" w:w="1656"/>
          </w:tcPr>
          <w:p>
            <w:pPr>
              <w:keepNext/>
              <w:spacing w:after="0" w:line="240" w:lineRule="auto"/>
              <w:jc w:val="center"/>
            </w:pPr>
            <w:r/>
            <w:r>
              <w:rPr>
                <w:sz w:val="18"/>
              </w:rPr>
              <w:t>−0.124***</w:t>
            </w:r>
            <w:r>
              <w:br/>
            </w:r>
            <w:r>
              <w:rPr>
                <w:sz w:val="18"/>
              </w:rPr>
              <w:t>(0.038)</w:t>
            </w:r>
          </w:p>
        </w:tc>
        <w:tc>
          <w:tcPr>
            <w:tcW w:type="dxa" w:w="1800"/>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r>
      <w:tr>
        <w:trPr>
          <w:cantSplit/>
        </w:trPr>
        <w:tc>
          <w:tcPr>
            <w:tcW w:type="dxa" w:w="4752"/>
            <w:tcBorders>
              <w:bottom w:val="single" w:sz="6" w:color="000000"/>
            </w:tcBorders>
          </w:tcPr>
          <w:p>
            <w:pPr>
              <w:spacing w:after="0" w:line="240" w:lineRule="auto"/>
            </w:pPr>
            <w:r/>
            <w:r>
              <w:rPr>
                <w:b/>
                <w:sz w:val="18"/>
              </w:rPr>
              <w:t>(10) As (5), cohorts first recorded 2015 to 2020</w:t>
            </w:r>
          </w:p>
        </w:tc>
        <w:tc>
          <w:tcPr>
            <w:tcW w:type="dxa" w:w="1656"/>
            <w:tcBorders>
              <w:bottom w:val="single" w:sz="6" w:color="000000"/>
            </w:tcBorders>
          </w:tcPr>
          <w:p>
            <w:pPr>
              <w:spacing w:after="0" w:line="240" w:lineRule="auto"/>
              <w:jc w:val="center"/>
            </w:pPr>
            <w:r/>
            <w:r>
              <w:rPr>
                <w:sz w:val="18"/>
              </w:rPr>
              <w:t>−0.121***</w:t>
            </w:r>
            <w:r>
              <w:br/>
            </w:r>
            <w:r>
              <w:rPr>
                <w:sz w:val="18"/>
              </w:rPr>
              <w:t>(0.038)</w:t>
            </w:r>
          </w:p>
        </w:tc>
        <w:tc>
          <w:tcPr>
            <w:tcW w:type="dxa" w:w="1800"/>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The reference year thus drives the difference. Moving it from g − 1 to g subtracts from each later estimate the change in log MTB of the same scored firms, relative to the same never-scored firms, between g − 1 and g. The row 4 step is therefore this event-year-0 change, 0.044, averaged with the weights of event years 1 to 4; it is an accounting identity, not a separate estimate. A later dating starts from the high point of the relative MTB path, and part of the decline it reports is the rise in the first recorded year itself. The cohorts observed through event year 4 (rows 7 to 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(p = 0.307). Where no run-up was detected, neither dating detects an MTB change (95% intervals −0.053 to 0.091 and −0.055 to 0.076).</w:t>
      </w:r>
    </w:p>
    <w:p>
      <w:pPr>
        <w:spacing w:line="360" w:lineRule="auto" w:after="120" w:before="0"/>
        <w:ind w:firstLine="720"/>
        <w:jc w:val="both"/>
      </w:pPr>
      <w:r>
        <w:rPr/>
        <w:t>Two readings fit this pattern.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5.5 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(row R7) gives −0.052, and matching on pre-coverage growth (row R8) gives 0.028; both intervals include zero. Under the bounds of Eq. (7)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5.6 Firm Size and Common Support</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sz w:val="18"/>
              </w:rPr>
              <w:t>Specification</w:t>
            </w:r>
          </w:p>
        </w:tc>
        <w:tc>
          <w:tcPr>
            <w:tcW w:type="dxa" w:w="1800"/>
            <w:tcBorders>
              <w:top w:val="single" w:sz="6" w:color="000000"/>
              <w:bottom w:val="single" w:sz="6" w:color="000000"/>
            </w:tcBorders>
          </w:tcPr>
          <w:p>
            <w:pPr>
              <w:keepNext/>
              <w:spacing w:after="0" w:line="240" w:lineRule="auto"/>
              <w:jc w:val="center"/>
            </w:pPr>
            <w:r/>
            <w:r>
              <w:rPr>
                <w:b/>
                <w:sz w:val="18"/>
              </w:rPr>
              <w:t>ln(MTB)</w:t>
            </w:r>
          </w:p>
        </w:tc>
        <w:tc>
          <w:tcPr>
            <w:tcW w:type="dxa" w:w="1872"/>
            <w:tcBorders>
              <w:top w:val="single" w:sz="6" w:color="000000"/>
              <w:bottom w:val="single" w:sz="6" w:color="000000"/>
            </w:tcBorders>
          </w:tcPr>
          <w:p>
            <w:pPr>
              <w:keepNext/>
              <w:spacing w:after="0" w:line="240" w:lineRule="auto"/>
              <w:jc w:val="center"/>
            </w:pPr>
            <w:r/>
            <w:r>
              <w:rPr>
                <w:b/>
                <w:sz w:val="18"/>
              </w:rPr>
              <w:t>ln(market cap)</w:t>
            </w:r>
          </w:p>
        </w:tc>
        <w:tc>
          <w:tcPr>
            <w:tcW w:type="dxa" w:w="1296"/>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320"/>
          </w:tcPr>
          <w:p>
            <w:pPr>
              <w:keepNext/>
              <w:spacing w:after="0" w:line="240" w:lineRule="auto"/>
            </w:pPr>
            <w:r/>
            <w:r>
              <w:rPr>
                <w:b/>
                <w:sz w:val="18"/>
              </w:rPr>
              <w:t>Baseline: quadratic in log total assets at g − 1</w:t>
            </w:r>
          </w:p>
        </w:tc>
        <w:tc>
          <w:tcPr>
            <w:tcW w:type="dxa" w:w="1800"/>
          </w:tcPr>
          <w:p>
            <w:pPr>
              <w:keepNext/>
              <w:spacing w:after="0" w:line="240" w:lineRule="auto"/>
              <w:jc w:val="center"/>
            </w:pPr>
            <w:r/>
            <w:r>
              <w:rPr>
                <w:sz w:val="18"/>
              </w:rPr>
              <w:t>0.002</w:t>
            </w:r>
            <w:r>
              <w:br/>
            </w:r>
            <w:r>
              <w:rPr>
                <w:sz w:val="18"/>
              </w:rPr>
              <w:t>(0.024)</w:t>
            </w:r>
          </w:p>
        </w:tc>
        <w:tc>
          <w:tcPr>
            <w:tcW w:type="dxa" w:w="1872"/>
          </w:tcPr>
          <w:p>
            <w:pPr>
              <w:keepNext/>
              <w:spacing w:after="0" w:line="240" w:lineRule="auto"/>
              <w:jc w:val="center"/>
            </w:pPr>
            <w:r/>
            <w:r>
              <w:rPr>
                <w:sz w:val="18"/>
              </w:rPr>
              <w:t>−0.055*</w:t>
            </w:r>
            <w:r>
              <w:br/>
            </w:r>
            <w:r>
              <w:rPr>
                <w:sz w:val="18"/>
              </w:rPr>
              <w:t>(0.030)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No covariates</w:t>
            </w:r>
          </w:p>
        </w:tc>
        <w:tc>
          <w:tcPr>
            <w:tcW w:type="dxa" w:w="1800"/>
          </w:tcPr>
          <w:p>
            <w:pPr>
              <w:keepNext/>
              <w:spacing w:after="0" w:line="240" w:lineRule="auto"/>
              <w:jc w:val="center"/>
            </w:pPr>
            <w:r/>
            <w:r>
              <w:rPr>
                <w:sz w:val="18"/>
              </w:rPr>
              <w:t>0.025</w:t>
            </w:r>
            <w:r>
              <w:br/>
            </w:r>
            <w:r>
              <w:rPr>
                <w:sz w:val="18"/>
              </w:rPr>
              <w:t>(0.022)</w:t>
            </w:r>
          </w:p>
        </w:tc>
        <w:tc>
          <w:tcPr>
            <w:tcW w:type="dxa" w:w="1872"/>
          </w:tcPr>
          <w:p>
            <w:pPr>
              <w:keepNext/>
              <w:spacing w:after="0" w:line="240" w:lineRule="auto"/>
              <w:jc w:val="center"/>
            </w:pPr>
            <w:r/>
            <w:r>
              <w:rPr>
                <w:sz w:val="18"/>
              </w:rPr>
              <w:t>0.016</w:t>
            </w:r>
            <w:r>
              <w:br/>
            </w:r>
            <w:r>
              <w:rPr>
                <w:sz w:val="18"/>
              </w:rPr>
              <w:t>(0.025)</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Linear in log total assets</w:t>
            </w:r>
          </w:p>
        </w:tc>
        <w:tc>
          <w:tcPr>
            <w:tcW w:type="dxa" w:w="1800"/>
          </w:tcPr>
          <w:p>
            <w:pPr>
              <w:keepNext/>
              <w:spacing w:after="0" w:line="240" w:lineRule="auto"/>
              <w:jc w:val="center"/>
            </w:pPr>
            <w:r/>
            <w:r>
              <w:rPr>
                <w:sz w:val="18"/>
              </w:rPr>
              <w:t>−0.003</w:t>
            </w:r>
            <w:r>
              <w:br/>
            </w:r>
            <w:r>
              <w:rPr>
                <w:sz w:val="18"/>
              </w:rPr>
              <w:t>(0.023)</w:t>
            </w:r>
          </w:p>
        </w:tc>
        <w:tc>
          <w:tcPr>
            <w:tcW w:type="dxa" w:w="1872"/>
          </w:tcPr>
          <w:p>
            <w:pPr>
              <w:keepNext/>
              <w:spacing w:after="0" w:line="240" w:lineRule="auto"/>
              <w:jc w:val="center"/>
            </w:pPr>
            <w:r/>
            <w:r>
              <w:rPr>
                <w:sz w:val="18"/>
              </w:rPr>
              <w:t>−0.033</w:t>
            </w:r>
            <w:r>
              <w:br/>
            </w:r>
            <w:r>
              <w:rPr>
                <w:sz w:val="18"/>
              </w:rPr>
              <w:t>(0.029)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Cubic in log total assets</w:t>
            </w:r>
          </w:p>
        </w:tc>
        <w:tc>
          <w:tcPr>
            <w:tcW w:type="dxa" w:w="1800"/>
          </w:tcPr>
          <w:p>
            <w:pPr>
              <w:keepNext/>
              <w:spacing w:after="0" w:line="240" w:lineRule="auto"/>
              <w:jc w:val="center"/>
            </w:pPr>
            <w:r/>
            <w:r>
              <w:rPr>
                <w:sz w:val="18"/>
              </w:rPr>
              <w:t>−0.009</w:t>
            </w:r>
            <w:r>
              <w:br/>
            </w:r>
            <w:r>
              <w:rPr>
                <w:sz w:val="18"/>
              </w:rPr>
              <w:t>(0.024)</w:t>
            </w:r>
          </w:p>
        </w:tc>
        <w:tc>
          <w:tcPr>
            <w:tcW w:type="dxa" w:w="1872"/>
          </w:tcPr>
          <w:p>
            <w:pPr>
              <w:keepNext/>
              <w:spacing w:after="0" w:line="240" w:lineRule="auto"/>
              <w:jc w:val="center"/>
            </w:pPr>
            <w:r/>
            <w:r>
              <w:rPr>
                <w:sz w:val="18"/>
              </w:rPr>
              <w:t>−0.055*</w:t>
            </w:r>
            <w:r>
              <w:br/>
            </w:r>
            <w:r>
              <w:rPr>
                <w:sz w:val="18"/>
              </w:rPr>
              <w:t>(0.030)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Size quintile indicators</w:t>
            </w:r>
          </w:p>
        </w:tc>
        <w:tc>
          <w:tcPr>
            <w:tcW w:type="dxa" w:w="1800"/>
          </w:tcPr>
          <w:p>
            <w:pPr>
              <w:keepNext/>
              <w:spacing w:after="0" w:line="240" w:lineRule="auto"/>
              <w:jc w:val="center"/>
            </w:pPr>
            <w:r/>
            <w:r>
              <w:rPr>
                <w:sz w:val="18"/>
              </w:rPr>
              <w:t>−0.010</w:t>
            </w:r>
            <w:r>
              <w:br/>
            </w:r>
            <w:r>
              <w:rPr>
                <w:sz w:val="18"/>
              </w:rPr>
              <w:t>(0.023)</w:t>
            </w:r>
          </w:p>
        </w:tc>
        <w:tc>
          <w:tcPr>
            <w:tcW w:type="dxa" w:w="1872"/>
          </w:tcPr>
          <w:p>
            <w:pPr>
              <w:keepNext/>
              <w:spacing w:after="0" w:line="240" w:lineRule="auto"/>
              <w:jc w:val="center"/>
            </w:pPr>
            <w:r/>
            <w:r>
              <w:rPr>
                <w:sz w:val="18"/>
              </w:rPr>
              <w:t>−0.053*</w:t>
            </w:r>
            <w:r>
              <w:br/>
            </w:r>
            <w:r>
              <w:rPr>
                <w:sz w:val="18"/>
              </w:rPr>
              <w:t>(0.029)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Quadratic, total assets at g − 3</w:t>
            </w:r>
          </w:p>
        </w:tc>
        <w:tc>
          <w:tcPr>
            <w:tcW w:type="dxa" w:w="1800"/>
          </w:tcPr>
          <w:p>
            <w:pPr>
              <w:keepNext/>
              <w:spacing w:after="0" w:line="240" w:lineRule="auto"/>
              <w:jc w:val="center"/>
            </w:pPr>
            <w:r/>
            <w:r>
              <w:rPr>
                <w:sz w:val="18"/>
              </w:rPr>
              <w:t>−0.008</w:t>
            </w:r>
            <w:r>
              <w:br/>
            </w:r>
            <w:r>
              <w:rPr>
                <w:sz w:val="18"/>
              </w:rPr>
              <w:t>(0.025)</w:t>
            </w:r>
          </w:p>
        </w:tc>
        <w:tc>
          <w:tcPr>
            <w:tcW w:type="dxa" w:w="1872"/>
          </w:tcPr>
          <w:p>
            <w:pPr>
              <w:keepNext/>
              <w:spacing w:after="0" w:line="240" w:lineRule="auto"/>
              <w:jc w:val="center"/>
            </w:pPr>
            <w:r/>
            <w:r>
              <w:rPr>
                <w:sz w:val="18"/>
              </w:rPr>
              <w:t>−0.059*</w:t>
            </w:r>
            <w:r>
              <w:br/>
            </w:r>
            <w:r>
              <w:rPr>
                <w:sz w:val="18"/>
              </w:rPr>
              <w:t>(0.032)</w:t>
            </w:r>
          </w:p>
        </w:tc>
        <w:tc>
          <w:tcPr>
            <w:tcW w:type="dxa" w:w="1296"/>
          </w:tcPr>
          <w:p>
            <w:pPr>
              <w:keepNext/>
              <w:spacing w:after="0" w:line="240" w:lineRule="auto"/>
              <w:jc w:val="center"/>
            </w:pPr>
            <w:r/>
            <w:r>
              <w:rPr>
                <w:sz w:val="18"/>
              </w:rPr>
              <w:t>592</w:t>
            </w:r>
          </w:p>
        </w:tc>
      </w:tr>
      <w:tr>
        <w:trPr>
          <w:cantSplit/>
        </w:trPr>
        <w:tc>
          <w:tcPr>
            <w:tcW w:type="dxa" w:w="4320"/>
          </w:tcPr>
          <w:p>
            <w:pPr>
              <w:keepNext/>
              <w:spacing w:after="0" w:line="240" w:lineRule="auto"/>
            </w:pPr>
            <w:r/>
            <w:r>
              <w:rPr>
                <w:b/>
                <w:sz w:val="18"/>
              </w:rPr>
              <w:t>Scored firms ≤ 99th percentile of controls</w:t>
            </w:r>
          </w:p>
        </w:tc>
        <w:tc>
          <w:tcPr>
            <w:tcW w:type="dxa" w:w="1800"/>
          </w:tcPr>
          <w:p>
            <w:pPr>
              <w:keepNext/>
              <w:spacing w:after="0" w:line="240" w:lineRule="auto"/>
              <w:jc w:val="center"/>
            </w:pPr>
            <w:r/>
            <w:r>
              <w:rPr>
                <w:sz w:val="18"/>
              </w:rPr>
              <w:t>−0.006</w:t>
            </w:r>
            <w:r>
              <w:br/>
            </w:r>
            <w:r>
              <w:rPr>
                <w:sz w:val="18"/>
              </w:rPr>
              <w:t>(0.024)</w:t>
            </w:r>
          </w:p>
        </w:tc>
        <w:tc>
          <w:tcPr>
            <w:tcW w:type="dxa" w:w="1872"/>
          </w:tcPr>
          <w:p>
            <w:pPr>
              <w:keepNext/>
              <w:spacing w:after="0" w:line="240" w:lineRule="auto"/>
              <w:jc w:val="center"/>
            </w:pPr>
            <w:r/>
            <w:r>
              <w:rPr>
                <w:sz w:val="18"/>
              </w:rPr>
              <w:t>−0.061**</w:t>
            </w:r>
            <w:r>
              <w:br/>
            </w:r>
            <w:r>
              <w:rPr>
                <w:sz w:val="18"/>
              </w:rPr>
              <w:t>(0.031)</w:t>
            </w:r>
          </w:p>
        </w:tc>
        <w:tc>
          <w:tcPr>
            <w:tcW w:type="dxa" w:w="1296"/>
          </w:tcPr>
          <w:p>
            <w:pPr>
              <w:keepNext/>
              <w:spacing w:after="0" w:line="240" w:lineRule="auto"/>
              <w:jc w:val="center"/>
            </w:pPr>
            <w:r/>
            <w:r>
              <w:rPr>
                <w:sz w:val="18"/>
              </w:rPr>
              <w:t>586</w:t>
            </w:r>
          </w:p>
        </w:tc>
      </w:tr>
      <w:tr>
        <w:trPr>
          <w:cantSplit/>
        </w:trPr>
        <w:tc>
          <w:tcPr>
            <w:tcW w:type="dxa" w:w="4320"/>
          </w:tcPr>
          <w:p>
            <w:pPr>
              <w:keepNext/>
              <w:spacing w:after="0" w:line="240" w:lineRule="auto"/>
            </w:pPr>
            <w:r/>
            <w:r>
              <w:rPr>
                <w:b/>
                <w:sz w:val="18"/>
              </w:rPr>
              <w:t>Scored firms ≤ 95th percentile of controls</w:t>
            </w:r>
          </w:p>
        </w:tc>
        <w:tc>
          <w:tcPr>
            <w:tcW w:type="dxa" w:w="1800"/>
          </w:tcPr>
          <w:p>
            <w:pPr>
              <w:keepNext/>
              <w:spacing w:after="0" w:line="240" w:lineRule="auto"/>
              <w:jc w:val="center"/>
            </w:pPr>
            <w:r/>
            <w:r>
              <w:rPr>
                <w:sz w:val="18"/>
              </w:rPr>
              <w:t>−0.021</w:t>
            </w:r>
            <w:r>
              <w:br/>
            </w:r>
            <w:r>
              <w:rPr>
                <w:sz w:val="18"/>
              </w:rPr>
              <w:t>(0.026)</w:t>
            </w:r>
          </w:p>
        </w:tc>
        <w:tc>
          <w:tcPr>
            <w:tcW w:type="dxa" w:w="1872"/>
          </w:tcPr>
          <w:p>
            <w:pPr>
              <w:keepNext/>
              <w:spacing w:after="0" w:line="240" w:lineRule="auto"/>
              <w:jc w:val="center"/>
            </w:pPr>
            <w:r/>
            <w:r>
              <w:rPr>
                <w:sz w:val="18"/>
              </w:rPr>
              <w:t>−0.096***</w:t>
            </w:r>
            <w:r>
              <w:br/>
            </w:r>
            <w:r>
              <w:rPr>
                <w:sz w:val="18"/>
              </w:rPr>
              <w:t>(0.035)</w:t>
            </w:r>
          </w:p>
        </w:tc>
        <w:tc>
          <w:tcPr>
            <w:tcW w:type="dxa" w:w="1296"/>
          </w:tcPr>
          <w:p>
            <w:pPr>
              <w:keepNext/>
              <w:spacing w:after="0" w:line="240" w:lineRule="auto"/>
              <w:jc w:val="center"/>
            </w:pPr>
            <w:r/>
            <w:r>
              <w:rPr>
                <w:sz w:val="18"/>
              </w:rPr>
              <w:t>487</w:t>
            </w:r>
          </w:p>
        </w:tc>
      </w:tr>
      <w:tr>
        <w:trPr>
          <w:cantSplit/>
        </w:trPr>
        <w:tc>
          <w:tcPr>
            <w:tcW w:type="dxa" w:w="4320"/>
          </w:tcPr>
          <w:p>
            <w:pPr>
              <w:keepNext/>
              <w:spacing w:after="0" w:line="240" w:lineRule="auto"/>
            </w:pPr>
            <w:r/>
            <w:r>
              <w:rPr>
                <w:b/>
                <w:sz w:val="18"/>
              </w:rPr>
              <w:t>Scored firms ≤ 90th percentile of controls</w:t>
            </w:r>
          </w:p>
        </w:tc>
        <w:tc>
          <w:tcPr>
            <w:tcW w:type="dxa" w:w="1800"/>
          </w:tcPr>
          <w:p>
            <w:pPr>
              <w:keepNext/>
              <w:spacing w:after="0" w:line="240" w:lineRule="auto"/>
              <w:jc w:val="center"/>
            </w:pPr>
            <w:r/>
            <w:r>
              <w:rPr>
                <w:sz w:val="18"/>
              </w:rPr>
              <w:t>−0.013</w:t>
            </w:r>
            <w:r>
              <w:br/>
            </w:r>
            <w:r>
              <w:rPr>
                <w:sz w:val="18"/>
              </w:rPr>
              <w:t>(0.028)</w:t>
            </w:r>
          </w:p>
        </w:tc>
        <w:tc>
          <w:tcPr>
            <w:tcW w:type="dxa" w:w="1872"/>
          </w:tcPr>
          <w:p>
            <w:pPr>
              <w:keepNext/>
              <w:spacing w:after="0" w:line="240" w:lineRule="auto"/>
              <w:jc w:val="center"/>
            </w:pPr>
            <w:r/>
            <w:r>
              <w:rPr>
                <w:sz w:val="18"/>
              </w:rPr>
              <w:t>−0.093**</w:t>
            </w:r>
            <w:r>
              <w:br/>
            </w:r>
            <w:r>
              <w:rPr>
                <w:sz w:val="18"/>
              </w:rPr>
              <w:t>(0.039)</w:t>
            </w:r>
          </w:p>
        </w:tc>
        <w:tc>
          <w:tcPr>
            <w:tcW w:type="dxa" w:w="1296"/>
          </w:tcPr>
          <w:p>
            <w:pPr>
              <w:keepNext/>
              <w:spacing w:after="0" w:line="240" w:lineRule="auto"/>
              <w:jc w:val="center"/>
            </w:pPr>
            <w:r/>
            <w:r>
              <w:rPr>
                <w:sz w:val="18"/>
              </w:rPr>
              <w:t>420</w:t>
            </w:r>
          </w:p>
        </w:tc>
      </w:tr>
      <w:tr>
        <w:trPr>
          <w:cantSplit/>
        </w:trPr>
        <w:tc>
          <w:tcPr>
            <w:tcW w:type="dxa" w:w="4320"/>
          </w:tcPr>
          <w:p>
            <w:pPr>
              <w:keepNext/>
              <w:spacing w:after="0" w:line="240" w:lineRule="auto"/>
            </w:pPr>
            <w:r/>
            <w:r>
              <w:rPr>
                <w:b/>
                <w:sz w:val="18"/>
              </w:rPr>
              <w:t>Doubly robust, ≤ 95th percentile</w:t>
            </w:r>
          </w:p>
        </w:tc>
        <w:tc>
          <w:tcPr>
            <w:tcW w:type="dxa" w:w="1800"/>
          </w:tcPr>
          <w:p>
            <w:pPr>
              <w:keepNext/>
              <w:spacing w:after="0" w:line="240" w:lineRule="auto"/>
              <w:jc w:val="center"/>
            </w:pPr>
            <w:r/>
            <w:r>
              <w:rPr>
                <w:sz w:val="18"/>
              </w:rPr>
              <w:t>−0.010</w:t>
            </w:r>
            <w:r>
              <w:br/>
            </w:r>
            <w:r>
              <w:rPr>
                <w:sz w:val="18"/>
              </w:rPr>
              <w:t>(0.027)</w:t>
            </w:r>
          </w:p>
        </w:tc>
        <w:tc>
          <w:tcPr>
            <w:tcW w:type="dxa" w:w="1872"/>
          </w:tcPr>
          <w:p>
            <w:pPr>
              <w:keepNext/>
              <w:spacing w:after="0" w:line="240" w:lineRule="auto"/>
              <w:jc w:val="center"/>
            </w:pPr>
            <w:r/>
            <w:r>
              <w:rPr>
                <w:sz w:val="18"/>
              </w:rPr>
              <w:t>−0.064*</w:t>
            </w:r>
            <w:r>
              <w:br/>
            </w:r>
            <w:r>
              <w:rPr>
                <w:sz w:val="18"/>
              </w:rPr>
              <w:t>(0.034)</w:t>
            </w:r>
          </w:p>
        </w:tc>
        <w:tc>
          <w:tcPr>
            <w:tcW w:type="dxa" w:w="1296"/>
          </w:tcPr>
          <w:p>
            <w:pPr>
              <w:keepNext/>
              <w:spacing w:after="0" w:line="240" w:lineRule="auto"/>
              <w:jc w:val="center"/>
            </w:pPr>
            <w:r/>
            <w:r>
              <w:rPr>
                <w:sz w:val="18"/>
              </w:rPr>
              <w:t>487</w:t>
            </w:r>
          </w:p>
        </w:tc>
      </w:tr>
      <w:tr>
        <w:trPr>
          <w:cantSplit/>
        </w:trPr>
        <w:tc>
          <w:tcPr>
            <w:tcW w:type="dxa" w:w="4320"/>
            <w:tcBorders>
              <w:bottom w:val="single" w:sz="6" w:color="000000"/>
            </w:tcBorders>
          </w:tcPr>
          <w:p>
            <w:pPr>
              <w:spacing w:after="0" w:line="240" w:lineRule="auto"/>
            </w:pPr>
            <w:r/>
            <w:r>
              <w:rPr>
                <w:b/>
                <w:sz w:val="18"/>
              </w:rPr>
              <w:t>Doubly robust, ≤ 90th percentile</w:t>
            </w:r>
          </w:p>
        </w:tc>
        <w:tc>
          <w:tcPr>
            <w:tcW w:type="dxa" w:w="1800"/>
            <w:tcBorders>
              <w:bottom w:val="single" w:sz="6" w:color="000000"/>
            </w:tcBorders>
          </w:tcPr>
          <w:p>
            <w:pPr>
              <w:spacing w:after="0" w:line="240" w:lineRule="auto"/>
              <w:jc w:val="center"/>
            </w:pPr>
            <w:r/>
            <w:r>
              <w:rPr>
                <w:sz w:val="18"/>
              </w:rPr>
              <w:t>0.005</w:t>
            </w:r>
            <w:r>
              <w:br/>
            </w:r>
            <w:r>
              <w:rPr>
                <w:sz w:val="18"/>
              </w:rPr>
              <w:t>(0.029)</w:t>
            </w:r>
          </w:p>
        </w:tc>
        <w:tc>
          <w:tcPr>
            <w:tcW w:type="dxa" w:w="1872"/>
            <w:tcBorders>
              <w:bottom w:val="single" w:sz="6" w:color="000000"/>
            </w:tcBorders>
          </w:tcPr>
          <w:p>
            <w:pPr>
              <w:spacing w:after="0" w:line="240" w:lineRule="auto"/>
              <w:jc w:val="center"/>
            </w:pPr>
            <w:r/>
            <w:r>
              <w:rPr>
                <w:sz w:val="18"/>
              </w:rPr>
              <w:t>−0.061</w:t>
            </w:r>
            <w:r>
              <w:br/>
            </w:r>
            <w:r>
              <w:rPr>
                <w:sz w:val="18"/>
              </w:rPr>
              <w:t>(0.038)</w:t>
            </w:r>
          </w:p>
        </w:tc>
        <w:tc>
          <w:tcPr>
            <w:tcW w:type="dxa" w:w="1296"/>
            <w:tcBorders>
              <w:bottom w:val="single" w:sz="6" w:color="000000"/>
            </w:tcBorders>
          </w:tcPr>
          <w:p>
            <w:pPr>
              <w:spacing w:after="0" w:line="240" w:lineRule="auto"/>
              <w:jc w:val="center"/>
            </w:pPr>
            <w:r/>
            <w:r>
              <w:rPr>
                <w:sz w:val="18"/>
              </w:rPr>
              <w:t>420</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pStyle w:val="Heading2"/>
        <w:keepNext/>
        <w:spacing w:line="360" w:lineRule="auto" w:after="120" w:before="160"/>
      </w:pPr>
      <w:r>
        <w:rPr>
          <w:rFonts w:ascii="Times New Roman" w:hAnsi="Times New Roman" w:eastAsia="Times New Roman"/>
          <w:b/>
          <w:i w:val="0"/>
          <w:color w:val="000000"/>
          <w:sz w:val="24"/>
        </w:rPr>
        <w:t>5.7 Missing Valuation Data and Recording Errors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(38.9% against 24.1%; Table S8 of the supplementary material). Only 21.5% of never-scored and 24.8%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sz w:val="18"/>
              </w:rPr>
              <w:t>Specification</w:t>
            </w:r>
          </w:p>
        </w:tc>
        <w:tc>
          <w:tcPr>
            <w:tcW w:type="dxa" w:w="1728"/>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608"/>
          </w:tcPr>
          <w:p>
            <w:pPr>
              <w:keepNext/>
              <w:spacing w:after="0" w:line="240" w:lineRule="auto"/>
            </w:pPr>
            <w:r/>
            <w:r>
              <w:rPr>
                <w:b/>
                <w:sz w:val="18"/>
              </w:rPr>
              <w:t>Baseline</w:t>
            </w:r>
          </w:p>
        </w:tc>
        <w:tc>
          <w:tcPr>
            <w:tcW w:type="dxa" w:w="1728"/>
          </w:tcPr>
          <w:p>
            <w:pPr>
              <w:keepNext/>
              <w:spacing w:after="0" w:line="240" w:lineRule="auto"/>
              <w:jc w:val="center"/>
            </w:pPr>
            <w:r/>
            <w:r>
              <w:rPr>
                <w:sz w:val="18"/>
              </w:rPr>
              <w:t>0.002</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r>
      <w:tr>
        <w:trPr>
          <w:cantSplit/>
        </w:trPr>
        <w:tc>
          <w:tcPr>
            <w:tcW w:type="dxa" w:w="4608"/>
          </w:tcPr>
          <w:p>
            <w:pPr>
              <w:keepNext/>
              <w:spacing w:after="0" w:line="240" w:lineRule="auto"/>
            </w:pPr>
            <w:r/>
            <w:r>
              <w:rPr>
                <w:b/>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r>
      <w:tr>
        <w:trPr>
          <w:cantSplit/>
        </w:trPr>
        <w:tc>
          <w:tcPr>
            <w:tcW w:type="dxa" w:w="4608"/>
          </w:tcPr>
          <w:p>
            <w:pPr>
              <w:keepNext/>
              <w:spacing w:after="0" w:line="240" w:lineRule="auto"/>
            </w:pPr>
            <w:r/>
            <w:r>
              <w:rPr>
                <w:b/>
                <w:sz w:val="18"/>
              </w:rPr>
              <w:t>Complete MTB series, scored and control firms</w:t>
            </w:r>
          </w:p>
        </w:tc>
        <w:tc>
          <w:tcPr>
            <w:tcW w:type="dxa" w:w="1728"/>
          </w:tcPr>
          <w:p>
            <w:pPr>
              <w:keepNext/>
              <w:spacing w:after="0" w:line="240" w:lineRule="auto"/>
              <w:jc w:val="center"/>
            </w:pPr>
            <w:r/>
            <w:r>
              <w:rPr>
                <w:sz w:val="18"/>
              </w:rPr>
              <w:t>0.008</w:t>
            </w:r>
            <w:r>
              <w:br/>
            </w:r>
            <w:r>
              <w:rPr>
                <w:sz w:val="18"/>
              </w:rPr>
              <w:t>(0.025)</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b/>
                <w:sz w:val="18"/>
              </w:rPr>
              <w:t>Complete MTB series, scored firms only</w:t>
            </w:r>
          </w:p>
        </w:tc>
        <w:tc>
          <w:tcPr>
            <w:tcW w:type="dxa" w:w="1728"/>
          </w:tcPr>
          <w:p>
            <w:pPr>
              <w:keepNext/>
              <w:spacing w:after="0" w:line="240" w:lineRule="auto"/>
              <w:jc w:val="center"/>
            </w:pPr>
            <w:r/>
            <w:r>
              <w:rPr>
                <w:sz w:val="18"/>
              </w:rPr>
              <w:t>0.006</w:t>
            </w:r>
            <w:r>
              <w:br/>
            </w:r>
            <w:r>
              <w:rPr>
                <w:sz w:val="18"/>
              </w:rPr>
              <w:t>(0.024)</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b/>
                <w:sz w:val="18"/>
              </w:rPr>
              <w:t>Flagged firm-years removed</w:t>
            </w:r>
          </w:p>
        </w:tc>
        <w:tc>
          <w:tcPr>
            <w:tcW w:type="dxa" w:w="1728"/>
          </w:tcPr>
          <w:p>
            <w:pPr>
              <w:keepNext/>
              <w:spacing w:after="0" w:line="240" w:lineRule="auto"/>
              <w:jc w:val="center"/>
            </w:pPr>
            <w:r/>
            <w:r>
              <w:rPr>
                <w:sz w:val="18"/>
              </w:rPr>
              <w:t>−0.007</w:t>
            </w:r>
            <w:r>
              <w:br/>
            </w:r>
            <w:r>
              <w:rPr>
                <w:sz w:val="18"/>
              </w:rPr>
              <w:t>(0.024)</w:t>
            </w:r>
          </w:p>
        </w:tc>
        <w:tc>
          <w:tcPr>
            <w:tcW w:type="dxa" w:w="1800"/>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r>
      <w:tr>
        <w:trPr>
          <w:cantSplit/>
        </w:trPr>
        <w:tc>
          <w:tcPr>
            <w:tcW w:type="dxa" w:w="4608"/>
          </w:tcPr>
          <w:p>
            <w:pPr>
              <w:keepNext/>
              <w:spacing w:after="0" w:line="240" w:lineRule="auto"/>
            </w:pPr>
            <w:r/>
            <w:r>
              <w:rPr>
                <w:b/>
                <w:sz w:val="18"/>
              </w:rPr>
              <w:t>Firms with any flagged year removed</w:t>
            </w:r>
          </w:p>
        </w:tc>
        <w:tc>
          <w:tcPr>
            <w:tcW w:type="dxa" w:w="1728"/>
          </w:tcPr>
          <w:p>
            <w:pPr>
              <w:keepNext/>
              <w:spacing w:after="0" w:line="240" w:lineRule="auto"/>
              <w:jc w:val="center"/>
            </w:pPr>
            <w:r/>
            <w:r>
              <w:rPr>
                <w:sz w:val="18"/>
              </w:rPr>
              <w:t>−0.008</w:t>
            </w:r>
            <w:r>
              <w:br/>
            </w:r>
            <w:r>
              <w:rPr>
                <w:sz w:val="18"/>
              </w:rPr>
              <w:t>(0.024)</w:t>
            </w:r>
          </w:p>
        </w:tc>
        <w:tc>
          <w:tcPr>
            <w:tcW w:type="dxa" w:w="1800"/>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r>
      <w:tr>
        <w:trPr>
          <w:cantSplit/>
        </w:trPr>
        <w:tc>
          <w:tcPr>
            <w:tcW w:type="dxa" w:w="4608"/>
          </w:tcPr>
          <w:p>
            <w:pPr>
              <w:keepNext/>
              <w:spacing w:after="0" w:line="240" w:lineRule="auto"/>
            </w:pPr>
            <w:r/>
            <w:r>
              <w:rPr>
                <w:b/>
                <w:sz w:val="18"/>
              </w:rPr>
              <w:t>Firm-years with implied book equity above twice total assets removed</w:t>
            </w:r>
          </w:p>
        </w:tc>
        <w:tc>
          <w:tcPr>
            <w:tcW w:type="dxa" w:w="1728"/>
          </w:tcPr>
          <w:p>
            <w:pPr>
              <w:keepNext/>
              <w:spacing w:after="0" w:line="240" w:lineRule="auto"/>
              <w:jc w:val="center"/>
            </w:pPr>
            <w:r/>
            <w:r>
              <w:rPr>
                <w:sz w:val="18"/>
              </w:rPr>
              <w:t>−0.019</w:t>
            </w:r>
            <w:r>
              <w:br/>
            </w:r>
            <w:r>
              <w:rPr>
                <w:sz w:val="18"/>
              </w:rPr>
              <w:t>(0.023)</w:t>
            </w:r>
          </w:p>
        </w:tc>
        <w:tc>
          <w:tcPr>
            <w:tcW w:type="dxa" w:w="1800"/>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r>
      <w:tr>
        <w:trPr>
          <w:cantSplit/>
        </w:trPr>
        <w:tc>
          <w:tcPr>
            <w:tcW w:type="dxa" w:w="4608"/>
            <w:tcBorders>
              <w:bottom w:val="single" w:sz="6" w:color="000000"/>
            </w:tcBorders>
          </w:tcPr>
          <w:p>
            <w:pPr>
              <w:spacing w:after="0" w:line="240" w:lineRule="auto"/>
            </w:pPr>
            <w:r/>
            <w:r>
              <w:rPr>
                <w:b/>
                <w:sz w:val="18"/>
              </w:rPr>
              <w:t>Winsorized within market and year</w:t>
            </w:r>
          </w:p>
        </w:tc>
        <w:tc>
          <w:tcPr>
            <w:tcW w:type="dxa" w:w="1728"/>
            <w:tcBorders>
              <w:bottom w:val="single" w:sz="6" w:color="000000"/>
            </w:tcBorders>
          </w:tcPr>
          <w:p>
            <w:pPr>
              <w:spacing w:after="0" w:line="240" w:lineRule="auto"/>
              <w:jc w:val="center"/>
            </w:pPr>
            <w:r/>
            <w:r>
              <w:rPr>
                <w:sz w:val="18"/>
              </w:rPr>
              <w:t>0.005</w:t>
            </w:r>
            <w:r>
              <w:br/>
            </w:r>
            <w:r>
              <w:rPr>
                <w:sz w:val="18"/>
              </w:rPr>
              <w:t>(0.024)</w:t>
            </w:r>
          </w:p>
        </w:tc>
        <w:tc>
          <w:tcPr>
            <w:tcW w:type="dxa" w:w="1800"/>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r>
    </w:tbl>
    <w:p>
      <w:pPr>
        <w:spacing w:line="240" w:lineRule="auto" w:after="40" w:before="280"/>
        <w:jc w:val="both"/>
      </w:pPr>
      <w:r>
        <w:rPr>
          <w:sz w:val="18"/>
        </w:rPr>
        <w:t>Note: Outcome regression with firm-bootstrap standard errors; flags mark implied book equity above ten times total assets. *, **, ***: 10%, 5%, 1%.</w:t>
      </w:r>
    </w:p>
    <w:p>
      <w:pPr>
        <w:pStyle w:val="Heading2"/>
        <w:keepNext/>
        <w:spacing w:line="360" w:lineRule="auto" w:after="120" w:before="160"/>
      </w:pPr>
      <w:r>
        <w:rPr>
          <w:rFonts w:ascii="Times New Roman" w:hAnsi="Times New Roman" w:eastAsia="Times New Roman"/>
          <w:b/>
          <w:i w:val="0"/>
          <w:color w:val="000000"/>
          <w:sz w:val="24"/>
        </w:rPr>
        <w:t>5.8 Other Robustness Checks</w:t>
      </w:r>
    </w:p>
    <w:p>
      <w:pPr>
        <w:spacing w:line="360" w:lineRule="auto" w:after="120" w:before="0"/>
        <w:ind w:firstLine="720"/>
        <w:jc w:val="both"/>
      </w:pPr>
      <w:r>
        <w:rPr/>
        <w:t>None of the pre-specified rows R1 to R4 shows an MTB effect that differs from zero at the 10% level (estimates from −0.001 to 0.031), while the market capitalization and total assets results are less stable. Excluding one market at a time (row R9 and Table S9) gives MTB effects from −0.007 to 0.017. The placebo in row R5 yields 0.059 on log MTB (p = 0.010), restating the pre-coverage growth in Figure 1. The static TWFE regression in row R6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00"/>
          <w:sz w:val="24"/>
        </w:rPr>
        <w:t>5.9 Does the Initial Score Matter?</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pStyle w:val="Heading2"/>
        <w:keepNext/>
        <w:spacing w:line="360" w:lineRule="auto" w:after="120" w:before="160"/>
      </w:pPr>
      <w:r>
        <w:rPr>
          <w:rFonts w:ascii="Times New Roman" w:hAnsi="Times New Roman" w:eastAsia="Times New Roman"/>
          <w:b/>
          <w:i w:val="0"/>
          <w:color w:val="000000"/>
          <w:sz w:val="24"/>
        </w:rPr>
        <w:t>5.10 What the Pooled Estimate Represents</w:t>
      </w:r>
    </w:p>
    <w:p>
      <w:pPr>
        <w:spacing w:line="360" w:lineRule="auto" w:after="120" w:before="0"/>
        <w:ind w:firstLine="720"/>
        <w:jc w:val="both"/>
      </w:pPr>
      <w:r>
        <w:rPr/>
        <w:t>The pooled estimate weights cohorts and event years by the number of scored firms in each cell (Eq. 6).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assumption (2), the largest increase compatible with the headline interval is of the same order as the announcement return of 4.86% that Demiroglu and Ryngaert (2010) report for the first analyst coverage of neglected stocks, and because annual ratios miss short-lived price pressure, our estimates concern lasting revaluation (Chen et al., 2004).</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or firms may have become scoreable by reporting, joining an index, or issuing equity; the fall in leverage toward the base year fits equity issuance. Either way, entry marks the end of a period of relative growth, not a random draw, and this finding does not rest on assumption (2) or on the dating of publication.</w:t>
      </w:r>
    </w:p>
    <w:p>
      <w:pPr>
        <w:pStyle w:val="Heading2"/>
        <w:keepNext/>
        <w:spacing w:line="360" w:lineRule="auto" w:after="120" w:before="160"/>
      </w:pPr>
      <w:r>
        <w:rPr>
          <w:rFonts w:ascii="Times New Roman" w:hAnsi="Times New Roman" w:eastAsia="Times New Roman"/>
          <w:b/>
          <w:i w:val="0"/>
          <w:color w:val="000000"/>
          <w:sz w:val="24"/>
        </w:rPr>
        <w:t>6.2 What the Evidence Says About a Valuation Effect of Coverage</w:t>
      </w:r>
    </w:p>
    <w:p>
      <w:pPr>
        <w:spacing w:line="360" w:lineRule="auto" w:after="120" w:before="0"/>
        <w:ind w:firstLine="720"/>
        <w:jc w:val="both"/>
      </w:pPr>
      <w:r>
        <w:rPr/>
        <w:t>The flat post-coverage MTB path admits three readings, depending on the counterfactual trend (Rambachan &amp; Roth, 2023; Roth, 2022). With parallel paths from the base year, the data show no detected effect of coverage (95% interval −0.046 to 0.048 in log MTB). With a continued run-up, coverage lowered valuations relative to the trend. With a partly transitory run-up, the flat path is consistent with a positive coverage effect that offset a reversal. The comparison of datings fits a reversal, but a negative effect confined to the waves with a run-up would look the same. With annual data, a provider that chooses whom to score, and recorded scores that may precede publication, a valuation effect of coverage cannot be reliably identified without additional assumptions.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6.3 Mechanisms That the Data Can and Cannot Evaluate</w:t>
      </w:r>
    </w:p>
    <w:p>
      <w:pPr>
        <w:spacing w:line="360" w:lineRule="auto" w:after="120" w:before="0"/>
        <w:ind w:firstLine="720"/>
        <w:jc w:val="both"/>
      </w:pPr>
      <w:r>
        <w:rPr/>
        <w:t>Recognition predicts a lasting gain for every newly scored firm; we detect none under assumption (2), but without ownership, trading, or fund-holding data we cannot tell whether recognition did not increase or whether it increased without moving prices. Preferences predict opposite signs for high- and low-score entrants, and the split in Section 5.9 cannot detect a moderate difference. The absence of a detected gain fits the evidence on certification by sustainability indices (Durand et al., 2019; Hawn et al., 2018) and contrasts with the price effects of MSCI downgrades (Berg, Heeb, et al., 2022). Two features of our setting may explain the contrast: U.S. ESG fund holdings respond to MSCI ratings, not to those of other providers (Berg, Heeb, et al., 2022), and scored firms were large and visible before coverage, which leaves less room for recognition (Merton, 1987). Unlike U.S. evidence that coverage changes firm conduct and payout (Bikmetova &amp; Pirinsky, 2026; Tsang et al., 2024, 2025), we find no stable change in leverage or total assets. The run-up also fits evidence that realized green returns reflect unexpected shifts in ESG demand (Pástor et al., 2022), but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00"/>
          <w:sz w:val="24"/>
        </w:rPr>
        <w:t>6.4 Implications</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 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 For exchanges, regulators, and listed firms, broad expansions such as the Malaysian wave appear to select less on prior growth, and we detect no MTB gain within it, although its interval (−0.053 to 0.091) admits gains larger than the pooled upper bound. Our results do not show that expanding ESG coverage has no valuation benefit; they show that such a benefit cannot be established from these data, so arguments for expanding coverage should rest on grounds other than an expected rise in issuer valuations.</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eight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Third, we observe only LSEG coverage, so for firms with earlier FTSE Russell or other scores the event is an additional score. Fourth, the data contain no returns, ownership, or index membership. Fifth, MTB ratios are missing for about a quarter of firm-years, more often for distressed and Indonesian firms, and some market capitalization records contain scale errors. Sixth, Malaysian and Thai firms make up 84.3% of scored firms. Seventh, the sample includes only firms that survived to 2024. Eighth,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on average their market-to-book ratio had grown 10.0% more than that of similar firms over the five years before entry. The run-up was largest in the Thai and Singaporean wave of 2019 and 2020, present in the remaining cohorts, and not detected in the broad Malaysian wave of 2021 and 2022 (95% interval −7.4% to 15.2%).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Research and investment screens that start from a provider's universe inherit the provider's selection. 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