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w:t>
      </w:r>
      <w:r>
        <w:rPr/>
        <w:t>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0.248</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0.195</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0.202</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spacing w:line="240" w:lineRule="auto" w:after="40" w:before="280"/>
        <w:jc w:val="both"/>
      </w:pPr>
      <w:r>
        <w:rPr>
          <w:sz w:val="18"/>
        </w:rPr>
        <w:t>Note: Estimation sample; the last column is the share of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sz w:val="18"/>
        </w:rPr>
        <w:t>Note: Scored firms are summed over cohorts; control firms show the range across cohort cells.</w:t>
      </w:r>
    </w:p>
    <w:p>
      <w:pPr>
        <w:keepNext/>
        <w:spacing w:line="240" w:lineRule="auto" w:after="120" w:before="240"/>
        <w:jc w:val="center"/>
      </w:pPr>
      <w:r>
        <w:rPr>
          <w:sz w:val="22"/>
        </w:rPr>
        <w:t xml:space="preserve">Table S4.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sz w:val="18"/>
        </w:rPr>
        <w:t>Note: Steps from Eq. (8) to the baseline Eq. (6); standard errors firm-clustered for Eq. (8), firm-bootstrap otherwise. *, **, ***: 10%, 5%, 1%.</w:t>
      </w:r>
    </w:p>
    <w:p>
      <w:pPr>
        <w:keepNext/>
        <w:spacing w:line="240" w:lineRule="auto" w:after="120" w:before="240"/>
        <w:jc w:val="center"/>
      </w:pPr>
      <w:r>
        <w:rPr>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b/>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b/>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b/>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spacing w:line="240" w:lineRule="auto" w:after="40" w:before="280"/>
        <w:jc w:val="both"/>
      </w:pPr>
      <w:r>
        <w:rPr>
          <w:sz w:val="18"/>
        </w:rPr>
        <w:t>Note: Outcome regression for each wave against all never-scored firms, with firm-bootstrap standard errors. *, **, ***: 10%, 5%, 1%.</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sz w:val="18"/>
        </w:rPr>
        <w:t>Note: Panel (a) varies the size covariate and support; panel (b) dates the event one year later. Firm-bootstrap 95% intervals.</w:t>
      </w:r>
    </w:p>
    <w:p>
      <w:pPr>
        <w:keepNext/>
        <w:spacing w:line="240" w:lineRule="auto" w:after="120" w:before="240"/>
        <w:jc w:val="center"/>
      </w:pPr>
      <w:r>
        <w:rPr>
          <w:sz w:val="22"/>
        </w:rPr>
        <w:t xml:space="preserve">Table S7.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sz w:val="18"/>
        </w:rPr>
        <w:t>Note: Bias bound from Eq. (7); the robust interval widens the firm-bootstrap 95% interval by this bound.</w:t>
      </w:r>
    </w:p>
    <w:p>
      <w:pPr>
        <w:keepNext/>
        <w:spacing w:line="240" w:lineRule="auto" w:after="120" w:before="240"/>
        <w:jc w:val="center"/>
      </w:pPr>
      <w:r>
        <w:rPr>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b/>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943</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8,037</w:t>
            </w:r>
          </w:p>
        </w:tc>
      </w:tr>
      <w:tr>
        <w:trPr>
          <w:cantSplit/>
        </w:trPr>
        <w:tc>
          <w:tcPr>
            <w:tcW w:type="dxa" w:w="3168"/>
          </w:tcPr>
          <w:p>
            <w:pPr>
              <w:keepNext/>
              <w:spacing w:after="0" w:line="240" w:lineRule="auto"/>
            </w:pPr>
            <w:r/>
            <w:r>
              <w:rPr>
                <w:b/>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b/>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b/>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b/>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b/>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0.08</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0.39</w:t>
            </w:r>
          </w:p>
        </w:tc>
      </w:tr>
      <w:tr>
        <w:trPr>
          <w:cantSplit/>
        </w:trPr>
        <w:tc>
          <w:tcPr>
            <w:tcW w:type="dxa" w:w="3168"/>
          </w:tcPr>
          <w:p>
            <w:pPr>
              <w:keepNext/>
              <w:spacing w:after="0" w:line="240" w:lineRule="auto"/>
            </w:pPr>
            <w:r/>
            <w:r>
              <w:rPr>
                <w:b/>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0.64</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b/>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2017.2</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2017.8</w:t>
            </w:r>
          </w:p>
        </w:tc>
      </w:tr>
      <w:tr>
        <w:trPr>
          <w:cantSplit/>
        </w:trPr>
        <w:tc>
          <w:tcPr>
            <w:tcW w:type="dxa" w:w="3168"/>
            <w:tcBorders>
              <w:bottom w:val="single" w:sz="6" w:color="000000"/>
            </w:tcBorders>
          </w:tcPr>
          <w:p>
            <w:pPr>
              <w:spacing w:after="0" w:line="240" w:lineRule="auto"/>
            </w:pPr>
            <w:r/>
            <w:r>
              <w:rPr>
                <w:b/>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0.25</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Estimation sample, 2014–2024; amounts in U.S. dollars after winsorization at the 1st and 99th percentiles.</w:t>
      </w:r>
    </w:p>
    <w:p>
      <w:pPr>
        <w:keepNext/>
        <w:spacing w:line="240" w:lineRule="auto" w:after="120" w:before="240"/>
        <w:jc w:val="center"/>
      </w:pPr>
      <w:r>
        <w:rPr>
          <w:sz w:val="22"/>
        </w:rPr>
        <w:t xml:space="preserve">Table S9.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spacing w:line="240" w:lineRule="auto" w:after="40" w:before="280"/>
        <w:jc w:val="both"/>
      </w:pPr>
      <w:r>
        <w:rPr>
          <w:sz w:val="18"/>
        </w:rPr>
        <w:t>Note: Outcome regression with firm-bootstrap standard errors; firm counts for ln(MTB). *, **, ***: 10%, 5%, 1% (unadjusted).</w:t>
      </w:r>
    </w:p>
    <w:p>
      <w:pPr>
        <w:keepNext/>
        <w:spacing w:line="240" w:lineRule="auto" w:after="120" w:before="240"/>
        <w:jc w:val="center"/>
      </w:pPr>
      <w:r>
        <w:rPr>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b/>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b/>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b/>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b/>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b/>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b/>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b/>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b/>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b/>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b/>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b/>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b/>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b/>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b/>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b/>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b/>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b/>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b/>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spacing w:line="240" w:lineRule="auto" w:after="40" w:before="280"/>
        <w:jc w:val="both"/>
      </w:pPr>
      <w:r>
        <w:rPr>
          <w:sz w:val="18"/>
        </w:rPr>
        <w:t>Note: Each scored firm counts once in every post-coverage cell of the baseline ln(MTB) estimate; weights are cell shares (Eq. 6).</w:t>
      </w:r>
    </w:p>
    <w:p>
      <w:pPr>
        <w:keepNext/>
        <w:spacing w:line="240" w:lineRule="auto" w:after="120" w:before="240"/>
        <w:jc w:val="center"/>
      </w:pPr>
      <w:r>
        <w:rPr>
          <w:sz w:val="22"/>
        </w:rPr>
        <w:t xml:space="preserve">Table S11.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spacing w:line="240" w:lineRule="auto" w:after="40" w:before="280"/>
        <w:jc w:val="both"/>
      </w:pPr>
      <w:r>
        <w:rPr>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R10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(7)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R10 and baseline event-time paths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5.6</w:t>
      </w:r>
      <w:r>
        <w:rPr>
          <w:rFonts w:ascii="Times New Roman" w:hAnsi="Times New Roman" w:eastAsia="Times New Roman"/>
          <w:b/>
          <w:i w:val="0"/>
          <w:color w:val="000000"/>
          <w:sz w:val="24"/>
        </w:rPr>
        <w:t>, Table S4, Figure S2)</w:t>
      </w:r>
    </w:p>
    <w:p>
      <w:pPr>
        <w:spacing w:line="360" w:lineRule="auto" w:after="120" w:before="0"/>
        <w:ind w:firstLine="720"/>
        <w:jc w:val="both"/>
      </w:pPr>
      <w:r>
        <w:rPr/>
        <w:t>Table S4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S5)</w:t>
      </w:r>
    </w:p>
    <w:p>
      <w:pPr>
        <w:spacing w:line="360" w:lineRule="auto" w:after="120" w:before="0"/>
        <w:ind w:firstLine="720"/>
        <w:jc w:val="both"/>
      </w:pPr>
      <w:r>
        <w:rPr/>
        <w:t>Table S5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S11)</w:t>
      </w:r>
    </w:p>
    <w:p>
      <w:pPr>
        <w:spacing w:line="360" w:lineRule="auto" w:after="120" w:before="0"/>
        <w:ind w:firstLine="720"/>
        <w:jc w:val="both"/>
      </w:pPr>
      <w:r>
        <w:rPr/>
        <w:t>Estimated market by market in Table S11,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5.10, Table S10)</w:t>
      </w:r>
    </w:p>
    <w:p>
      <w:pPr>
        <w:spacing w:line="360" w:lineRule="auto" w:after="120" w:before="0"/>
        <w:ind w:firstLine="720"/>
        <w:jc w:val="both"/>
      </w:pPr>
      <w:r>
        <w:rPr/>
        <w:t>Table S10 counts scored firm-cells, one for each scored firm in each post-coverage cell of the ln(MTB) estimate, by market and by coverage wave. These counts are the weights of Eq. (6).</w:t>
      </w:r>
    </w:p>
    <w:p>
      <w:pPr>
        <w:pStyle w:val="Heading2"/>
        <w:keepNext/>
        <w:spacing w:line="360" w:lineRule="auto" w:after="120" w:before="160"/>
      </w:pPr>
      <w:r>
        <w:rPr>
          <w:rFonts w:ascii="Times New Roman" w:hAnsi="Times New Roman" w:eastAsia="Times New Roman"/>
          <w:b/>
          <w:i w:val="0"/>
          <w:color w:val="000000"/>
          <w:sz w:val="24"/>
        </w:rPr>
        <w:t>A.9. Dating by wave (Section 5.4, Table S6)</w:t>
      </w:r>
    </w:p>
    <w:p>
      <w:pPr>
        <w:spacing w:line="360" w:lineRule="auto" w:after="120" w:before="0"/>
        <w:ind w:firstLine="720"/>
        <w:jc w:val="both"/>
      </w:pPr>
      <w:r>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5.7, Table S8)</w:t>
      </w:r>
    </w:p>
    <w:p>
      <w:pPr>
        <w:spacing w:line="360" w:lineRule="auto" w:after="120" w:before="0"/>
        <w:ind w:firstLine="720"/>
        <w:jc w:val="both"/>
      </w:pPr>
      <w:r>
        <w:rPr/>
        <w:t>Table S8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(Sections 5.5 and 5.8)</w:t>
      </w:r>
    </w:p>
    <w:p>
      <w:pPr>
        <w:spacing w:line="360" w:lineRule="auto" w:after="120" w:before="0"/>
        <w:ind w:firstLine="720"/>
        <w:jc w:val="both"/>
      </w:pPr>
      <w:r>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that passes through zero in the base year;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spacing w:line="360" w:lineRule="auto" w:after="120" w:before="0"/>
        <w:ind w:firstLine="720"/>
        <w:jc w:val="both"/>
      </w:pPr>
      <w:r>
        <w:rPr/>
        <w:t>In the outcome regression of Eq. (3),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