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n.d.), which would date publication for the cohorts it covers; our extract does not contain it, and Section 3.3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throughout, defined as the first fiscal year for which the database holds a score (Sections 1 and 3.2). Second, a new Section 3.3,</w:t>
      </w:r>
      <w:r>
        <w:t xml:space="preserve"> </w:t>
      </w:r>
      <w:r>
        <w:t xml:space="preserve">“</w:t>
      </w:r>
      <w:r>
        <w:t xml:space="preserve">What the first recorded score dates,</w:t>
      </w:r>
      <w:r>
        <w:t xml:space="preserve">”</w:t>
      </w:r>
      <w:r>
        <w:t xml:space="preserve"> </w:t>
      </w:r>
      <w:r>
        <w:t xml:space="preserve">explains why the recorded year can precede publication and states the one property we can establish: publication follows the end of fiscal year g, so the recorded year dates entry too early, never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r>
        <w:t xml:space="preserve">”</w:t>
      </w:r>
      <w:r>
        <w:t xml:space="preserve"> </w:t>
      </w:r>
      <w:r>
        <w:t xml:space="preserve">Third, Section 6.1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5.4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assumption (2), and the conclusions rest mainly on the descriptive evidence of selection.</w:t>
      </w:r>
    </w:p>
    <w:p>
      <w:pPr>
        <w:pStyle w:val="BodyText"/>
      </w:pPr>
      <w:r>
        <w:t xml:space="preserve">On the pre-trend test, Section 5.2 now states:</w:t>
      </w:r>
      <w:r>
        <w:t xml:space="preserve"> </w:t>
      </w:r>
      <w:r>
        <w:t xml:space="preserve">“</w:t>
      </w:r>
      <w:r>
        <w:t xml:space="preserve">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r>
        <w:t xml:space="preserve">”</w:t>
      </w:r>
      <w:r>
        <w:t xml:space="preserve"> </w:t>
      </w:r>
      <w:r>
        <w:t xml:space="preserve">On the placebo, Section 5.8 now adds that the failed placebo shows</w:t>
      </w:r>
      <w:r>
        <w:t xml:space="preserve"> </w:t>
      </w:r>
      <w:r>
        <w:t xml:space="preserve">“</w:t>
      </w:r>
      <w:r>
        <w:t xml:space="preserve">how hard it is to construct a counterfactual path for firms that were growing toward the provider’s universe.</w:t>
      </w:r>
      <w:r>
        <w:t xml:space="preserve">”</w:t>
      </w:r>
      <w:r>
        <w:t xml:space="preserve"> </w:t>
      </w:r>
      <w:r>
        <w:t xml:space="preserve">On the sensitivity analyses, Section 5.5 now concludes that</w:t>
      </w:r>
      <w:r>
        <w:t xml:space="preserve"> </w:t>
      </w:r>
      <w:r>
        <w:t xml:space="preserve">“</w:t>
      </w:r>
      <w:r>
        <w:t xml:space="preserve">modest 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4.1 gives two arguments for and one against. In the Malaysian wave, which carries 44.1% of the weight in the pooled estimate, the pre-coverage path is flat (joint pre-trend p = 0.549), so for these firms the assumption asks only that a flat relative path stays flat.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assumption (2)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5.2, titled</w:t>
      </w:r>
      <w:r>
        <w:t xml:space="preserve"> </w:t>
      </w:r>
      <w:r>
        <w:t xml:space="preserve">“</w:t>
      </w:r>
      <w:r>
        <w:t xml:space="preserve">The valuation path before and after the first recorded score,</w:t>
      </w:r>
      <w:r>
        <w:t xml:space="preserve">”</w:t>
      </w:r>
      <w:r>
        <w:t xml:space="preserve"> </w:t>
      </w:r>
      <w:r>
        <w:t xml:space="preserve">describes the observed gap and adds:</w:t>
      </w:r>
      <w:r>
        <w:t xml:space="preserve"> </w:t>
      </w:r>
      <w:r>
        <w:t xml:space="preserve">“</w:t>
      </w:r>
      <w:r>
        <w:t xml:space="preserve">This description of the observed gap does not depend on assumption (2); reading the post-coverage part as an effect of coverage does.</w:t>
      </w:r>
      <w:r>
        <w:t xml:space="preserve">”</w:t>
      </w:r>
      <w:r>
        <w:t xml:space="preserve"> </w:t>
      </w:r>
      <w:r>
        <w:t xml:space="preserve">Section 5.3 is titled</w:t>
      </w:r>
      <w:r>
        <w:t xml:space="preserve"> </w:t>
      </w:r>
      <w:r>
        <w:t xml:space="preserve">“</w:t>
      </w:r>
      <w:r>
        <w:t xml:space="preserve">Average change after entry under assumption (2),</w:t>
      </w:r>
      <w:r>
        <w:t xml:space="preserve">”</w:t>
      </w:r>
      <w:r>
        <w:t xml:space="preserve"> </w:t>
      </w:r>
      <w:r>
        <w:t xml:space="preserve">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5.4 and Table 4 move from the first-recorded-year estimate to the one-year-later estimate one step at a time on a common set of firms, and Table S10 repeats both datings by coverage wave.</w:t>
      </w:r>
    </w:p>
    <w:p>
      <w:pPr>
        <w:pStyle w:val="BodyText"/>
      </w:pPr>
      <w:r>
        <w:t xml:space="preserve">Each row of Table 4 changes one feature. Restricting to firms observed in both g − 1 and g, so that the same firms enter every later row,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the last year of the run-up: in the cohorts that contribute to event years 1 to 4, the MTB ratio of scored firms rose by a further 0.044 relative to never-scored firms between g − 1 and g, and moving the reference year subtracts exactly this rise.</w:t>
      </w:r>
    </w:p>
    <w:p>
      <w:pPr>
        <w:pStyle w:val="BodyText"/>
      </w:pPr>
      <w:r>
        <w:t xml:space="preserve">The wave comparison in Table S10 adds the most informative evidence. Under the one-year-later dating the MTB change is −0.136 for the Thai and Singaporean wave and −0.111 for the remaining cohorts, both of which had a run-up, but 0.012 for the Malaysian wave, which had none; its first-recorded-year estimate is 0.021. Where valuations did not run up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5.3 now says so:</w:t>
      </w:r>
      <w:r>
        <w:t xml:space="preserve"> </w:t>
      </w:r>
      <w:r>
        <w:t xml:space="preserve">“</w:t>
      </w:r>
      <w:r>
        <w:t xml:space="preserve">pre-specification guards against choosing a dating after seeing results, but it does not make the recorded year the date on which investors learned of coverage. The later dating is closer to that date on economic grounds, while the first recorded year is the date we observe.</w:t>
      </w:r>
      <w:r>
        <w:t xml:space="preserve">”</w:t>
      </w:r>
      <w:r>
        <w:t xml:space="preserve"> </w:t>
      </w:r>
      <w:r>
        <w:t xml:space="preserve">We report both estimates as answers to different questions. Neither isolates an effect of coverage, because the later dating measures valuations from the top of the run-up. Section 5.4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Section 5.6,</w:t>
      </w:r>
      <w:r>
        <w:t xml:space="preserve"> </w:t>
      </w:r>
      <w:r>
        <w:t xml:space="preserve">“</w:t>
      </w:r>
      <w:r>
        <w:t xml:space="preserve">Firm size and common support,</w:t>
      </w:r>
      <w:r>
        <w:t xml:space="preserve">”</w:t>
      </w:r>
      <w:r>
        <w:t xml:space="preserve"> </w:t>
      </w:r>
      <w:r>
        <w:t xml:space="preserve">and two new tables. Section 4.2 now states that outcome regression</w:t>
      </w:r>
      <w:r>
        <w:t xml:space="preserve"> </w:t>
      </w:r>
      <w:r>
        <w:t xml:space="preserve">“</w:t>
      </w:r>
      <w:r>
        <w:t xml:space="preserve">extrapolates the relation estimated among controls to scored firms larger than any control.</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becomes usable and gives −0.010 (p = 0.715), with 1.1% of scored firm-cells having an estimated propensity score above 0.95 (Crump et al., 2009; Sant’Anna &amp; Zhao, 2020). The MTB result therefore does not depend on extrapolating the size adjustment.</w:t>
      </w:r>
    </w:p>
    <w:p>
      <w:pPr>
        <w:pStyle w:val="BodyText"/>
      </w:pPr>
      <w:r>
        <w:t xml:space="preserve">Market capitalization is more sensitive, as the reviewer anticipates: its estimate is 0.016 without covariates and between −0.096 and −0.033 with them. Section 5.6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6.3,</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5.9) is more cautious. It reports the minimum detectable differences of 0.113 and 0.111, about 11.9% in the MTB ratio, notes that the score is correlated with size (0.35) and that the residual split removes only part of this link, and concludes:</w:t>
      </w:r>
      <w:r>
        <w:t xml:space="preserve"> </w:t>
      </w:r>
      <w:r>
        <w:t xml:space="preserve">“</w:t>
      </w:r>
      <w:r>
        <w:t xml:space="preserve">The insignificant difference therefore does not show that ESG preferences are unimportant; our sample cannot detect them if they are moderate.</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5.7, new Table 7, and new Table S11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3.2 says so.</w:t>
      </w:r>
    </w:p>
    <w:p>
      <w:pPr>
        <w:pStyle w:val="BodyText"/>
      </w:pPr>
      <w:r>
        <w:t xml:space="preserve">Table S11 compares firm-years with and without an MTB ratio. Firm-years without one are more often highly levered (leverage above 0.5 in 25.4% of never-scored firm-years without a ratio, against 8.4% with one) and more often Indonesian (38.9% against 24.1%), consistent with financial distress and with gaps in market data. Only 21.5% of never-scored and 24.8% of scored firm-years without a ratio have a market capitalization, so most gaps are missing market data rather than negative book equity alone. The 50 scored firms that do not enter the MTB estimate have median base-year total assets similar to those that do (280.3 against 294.3 million U.S. dollars), so the missing ratios do not remove the largest or smallest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5.7 reports this.</w:t>
      </w:r>
    </w:p>
    <w:p>
      <w:pPr>
        <w:pStyle w:val="BodyText"/>
      </w:pPr>
      <w:r>
        <w:t xml:space="preserve">On the implausible market capitalization records, Section 3.4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7 now describes the remaining limitation.</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Section 5.10,</w:t>
      </w:r>
      <w:r>
        <w:t xml:space="preserve"> </w:t>
      </w:r>
      <w:r>
        <w:t xml:space="preserve">“</w:t>
      </w:r>
      <w:r>
        <w:t xml:space="preserve">What the pooled estimate represents, and its magnitude,</w:t>
      </w:r>
      <w:r>
        <w:t xml:space="preserve">”</w:t>
      </w:r>
      <w:r>
        <w:t xml:space="preserve"> </w:t>
      </w:r>
      <w:r>
        <w:t xml:space="preserve">and a new Table S9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in the years after the COVID-19 pandemic,</w:t>
      </w:r>
      <w:r>
        <w:t xml:space="preserve">”</w:t>
      </w:r>
      <w:r>
        <w:t xml:space="preserve"> </w:t>
      </w:r>
      <w:r>
        <w:t xml:space="preserve">that it is not an average effect for the five markets, 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5.2 reports the paths by wave, and Section 5.4 and Table S10 show that the waves differ under the later dating as well: the Malaysian wave, which had no run-up, shows no change under either dating, while the waves with a run-up show the decline. We now use this contrast as evidence (Sections 4.1 and 5.4) rather than averaging over it.</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6.2,</w:t>
      </w:r>
      <w:r>
        <w:t xml:space="preserve"> </w:t>
      </w:r>
      <w:r>
        <w:t xml:space="preserve">“</w:t>
      </w:r>
      <w:r>
        <w:t xml:space="preserve">What the evidence says about a valuation effect of coverage,</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6.4.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2026-10-25T16:12:47Z</dcterms:created>
  <dcterms:modified xsi:type="dcterms:W3CDTF">2026-10-25T16:12:47Z</dcterms:modified>
</cp:coreProperties>
</file>

<file path=docProps/custom.xml><?xml version="1.0" encoding="utf-8"?>
<Properties xmlns="http://schemas.openxmlformats.org/officeDocument/2006/custom-properties" xmlns:vt="http://schemas.openxmlformats.org/officeDocument/2006/docPropsVTypes"/>
</file>