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t>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p>
      <w:pPr>
        <w:spacing w:line="360" w:lineRule="auto" w:after="120" w:before="0"/>
        <w:jc w:val="both"/>
      </w:pPr>
      <w:r>
        <w:rPr>
          <w:b/>
        </w:rPr>
        <w:t>Keywords:</w:t>
      </w:r>
      <w:r>
        <w:rPr/>
        <w:t xml:space="preserve"> ESG ratings, firm valuation, rating coverage, selection, Southeast Asia, sustainable finance</w:t>
      </w:r>
    </w:p>
    <w:p>
      <w:pPr>
        <w:spacing w:line="360" w:lineRule="auto" w:after="120" w:before="0"/>
      </w:pPr>
      <w:r>
        <w:rPr>
          <w:b/>
        </w:rPr>
        <w:t>JEL Classification:</w:t>
      </w:r>
      <w:r>
        <w:rPr/>
        <w:t xml:space="preserve"> </w:t>
      </w:r>
      <w:r>
        <w:rPr/>
        <w:t>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t>Environmental, social, and governance (ESG) scores work as an entry ticket: a fund, index, or mandate that may hold only scored stocks cannot buy a firm that no provider covers. In five Southeast Asian equity markets, most listed firms had no score from the London Stock Exchange Group (LSEG) at any point between 2014 and 2024, and much of the academic evidence on ESG ratings uses LSEG data (Berg, Kölbel, et al., 2022; Dobrick et al., 2023). This paper asks which firms enter the scored universe and what happens to their market valuation around entry.</w:t>
      </w:r>
    </w:p>
    <w:p>
      <w:pPr>
        <w:spacing w:line="360" w:lineRule="auto" w:after="120" w:before="0"/>
        <w:ind w:firstLine="720"/>
        <w:jc w:val="both"/>
      </w:pPr>
      <w:r>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A provider, however, is likely to add a firm once it is large, liquid, and discloses enough to be scored, and its scores rise with firm size (Dobrick et al., 2023; Drempetic et al., 2020). If firms enter after a period of rising value, a comparison of scored and unscored firms credits the score with growth that came before it. Studies, mostly of U.S. firms,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360" w:lineRule="auto" w:after="120" w:before="0"/>
        <w:ind w:firstLine="720"/>
        <w:jc w:val="both"/>
      </w:pPr>
      <w:r>
        <w:rPr/>
        <w:t>We study Indonesia, Malaysia, the Philippines, Singapore, and Thailand. Of the 675 non-financial firms whose first recorded LSEG score falls between 2015 and 2024, 577 had it in 2020 to 2023, and 289 were Malaysian firms first scored in 2021 or 2022. 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 The first recorded score is not necessarily the date on which investors could first see the score. A pre-analysis plan, committed before the estimation code, records the hypotheses, sample, estimator, and robustness checks; every later analysis is labeled exploratory.</w:t>
      </w:r>
    </w:p>
    <w:p>
      <w:pPr>
        <w:spacing w:line="360" w:lineRule="auto" w:after="120" w:before="0"/>
        <w:ind w:firstLine="720"/>
        <w:jc w:val="both"/>
      </w:pPr>
      <w:r>
        <w:rPr/>
        <w:t>The evidence has three parts. First, entry is selective. 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 The run-up is large in the 108 Thai and Singaporean firms first scored in 2019 and 2020 and not detected in the 289 Malaysian firms first scored in 2021 and 2022, the largest wave in the data (95% interval −7.4% to 15.2%). 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Most of this difference arises because the later dating measures valuations from the first recorded year, after the cohorts' own rise in that year, and the decline appears only in the waves that had a run-up. Third, a static two-way fixed effects regression on the same data attributes a 6.6% MTB increase to coverage, largely an artifact of comparing firms after entry with the same firms before their growth.</w:t>
      </w:r>
    </w:p>
    <w:p>
      <w:pPr>
        <w:spacing w:line="360" w:lineRule="auto" w:after="120" w:before="0"/>
        <w:ind w:firstLine="720"/>
        <w:jc w:val="both"/>
      </w:pPr>
      <w:r>
        <w:rPr/>
        <w:t>The paper makes three contributions. It documents selection into ESG rating coverage in Southeast Asian markets and adds valuation to the rating-coverage literature (Bikmetova &amp; Pirinsky, 2026; Tsang et al., 2024, 2025). It shows why the valuation effect of coverage is hard to identify: entry follows growth and the recorded first score may precede publication. It also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Publishing Morningstar sustainability ratings for mutual funds redirected fund flows (Hartzmark &amp; Sussman, 2019).</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and a replication finds no price effect but more analyst following after addition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Two channels predict a valuation response to a first score. 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 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Demand shocks also shape realized prices before any rating event. The high realized returns of green assets reflect unexpected increases in ESG concerns rather than high expected returns (Pástor et al., 2022), and part of the price increase at S&amp;P 500 inclusion reverses within weeks (Harris &amp; Gurel, 1986; Shleifer,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We expect providers to cover firms in the indices their clients track and firms that disclose enough to be scored, although our data omit the provider's coverage rules. 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 The provider we study gives higher scores to larger firms (Dobrick et al., 2023; Drempetic et al., 2020) and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a difference would point toward it; the absence of a difference cannot rule it out.</w:t>
      </w:r>
    </w:p>
    <w:p>
      <w:pPr>
        <w:spacing w:line="360" w:lineRule="auto" w:after="120" w:before="0"/>
        <w:ind w:firstLine="720"/>
        <w:jc w:val="both"/>
      </w:pPr>
      <w:r>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3. Data and Methods</w:t>
      </w:r>
    </w:p>
    <w:p>
      <w:pPr>
        <w:pStyle w:val="Heading2"/>
        <w:keepNext/>
        <w:spacing w:line="360" w:lineRule="auto" w:after="120" w:before="160"/>
      </w:pPr>
      <w:r>
        <w:rPr>
          <w:rFonts w:ascii="Times New Roman" w:hAnsi="Times New Roman" w:eastAsia="Times New Roman"/>
          <w:b/>
          <w:i w:val="0"/>
          <w:color w:val="000000"/>
          <w:sz w:val="24"/>
        </w:rPr>
        <w:t>3.1 Institutional Setting and Sample</w:t>
      </w:r>
    </w:p>
    <w:p>
      <w:pPr>
        <w:spacing w:line="360" w:lineRule="auto" w:after="120" w:before="0"/>
        <w:ind w:firstLine="720"/>
        <w:jc w:val="both"/>
      </w:pPr>
      <w:r>
        <w:rPr/>
        <w:t>The five markets introduced sustainability reporting rules at different times: Bursa Malaysia for financial years ending on or after December 31, 2016, phased in from the largest companies (Bursa Malaysia, 2015); Singapore, on a comply-or-explain basis, from financial years ending on or after December 31, 2017 (Singapore Exchange, 2016); the Philippines from the 2019 annual reports (Securities and Exchange Commission Philippines, 2019); Indonesia, under the original schedule of a 2017 regulation, from 2020 for listed companies other than small- and medium-asset issuers (Otoritas Jasa Keuangan, 2017); and Thailand in the 56-1 One Report from the fiscal year ending in 2021 (Tilleke &amp; Gibbins, 2020).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is a separate product, so our event is the initiation of LSEG ESG coverage, not a firm's first ESG rating of any kind. Coverage arrived in waves that follow no single reporting rule: 108 first scores in Thailand and Singapore in 2019 and 2020, and 289 in Malaysia in 2021 and 2022 (Table S1 and Figure S1 of the supplementary material).</w:t>
      </w:r>
    </w:p>
    <w:p>
      <w:pPr>
        <w:spacing w:line="360" w:lineRule="auto" w:after="120" w:before="0"/>
        <w:ind w:firstLine="720"/>
        <w:jc w:val="both"/>
      </w:pPr>
      <w:r>
        <w:rPr/>
        <w:t>The data combine the annual LSEG ESG score (LSEG, 2025), not the controversy-adjusted combined score, with accounting and market data from Compustat Global (S&amp;P Global Market Intelligence, 2025) for 3,709 listed firms, each with a row for every year from 2014 to 2024; rows before a firm lists carry no data (3,647 rows). Every firm in the extract has data in 2024, so the sample conditions on survival to 2024, and without delisting data we cannot sign the resulting bias. Dropping financial firms leaves 3,423 firms. A firm's first recorded score year, g, is its first fiscal year with an LSEG ESG score, and its base year is g − 1. Only 17 of the 675 scored firms have a later year without a score, so we treat coverage as permanent. Excluding the 135 firms scored in 2014, which have no pre-coverage year, leaves 3,288 firms with 32,521 listed firm-years: 675 firms first scored between 2015 and 2024 (59.9% of them Malaysian) and 2,613 never-scored firms, which form the comparison group. The source data contain no MTB ratio at or below zero, so firm-years with negative book equity appear as missing; 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00"/>
          <w:sz w:val="24"/>
        </w:rPr>
        <w:t>3.2 Event Dating, Outcomes, and Recording Errors</w:t>
      </w:r>
    </w:p>
    <w:p>
      <w:pPr>
        <w:spacing w:line="360" w:lineRule="auto" w:after="120" w:before="0"/>
        <w:ind w:firstLine="720"/>
        <w:jc w:val="both"/>
      </w:pPr>
      <w:r>
        <w:rPr/>
        <w:t>The first recorded score may precede the year in which investors first see a score. The score for fiscal year g draws on reports published after that year ends, so it reaches investors in year g + 1 or later; the provider has rewritten historical scores on a large scale (Berg et al., 2020); scores for the five most recent fiscal years can change after publication (Sahin et al., 2023); and backfilling at entry would widen the gap. The first recorded score can therefore date entry too early but, unless the provider deleted an earlier score, not too late. Our extract holds each score by fiscal year, with no publication or update date, as it stood at download; that every scored firm still has a score in 2024 fits a download of the provider's current universe. LSEG distributes a point-in-time version of its ESG data that keeps values as they were published (LSEG, 2023), but our extract does not contain it. 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w:t>
      </w:r>
    </w:p>
    <w:p>
      <w:pPr>
        <w:spacing w:line="360" w:lineRule="auto" w:after="120" w:before="0"/>
        <w:ind w:firstLine="720"/>
        <w:jc w:val="both"/>
      </w:pPr>
      <w:r>
        <w:rPr/>
        <w:t>The primary outcome is the natural logarithm of the MTB ratio. The secondary outcomes are log market capitalization, log total assets, and book leverage, total debt divided by total assets; without stock returns or shares outstanding, we treat market capitalization and total assets as measures of scale. Amounts are in U.S. dollars, winsorized at the 1st and 99th percentiles of the pooled sample. A few market capitalization records are implausibly large; one Indonesian firm is recorded at 1,138.8 billion U.S. dollars. Because market capitalization divided by the MTB ratio gives the implied book equity, which cannot exceed total assets, we flag firm-years in which the implied book equity exceeds ten times total assets: 209 of 27,127 firm-years, 73 of them for scored firms. A lower threshold, a ratio above two, flags 749 firm-years.</w:t>
      </w:r>
    </w:p>
    <w:p>
      <w:pPr>
        <w:pStyle w:val="Heading2"/>
        <w:keepNext/>
        <w:spacing w:line="360" w:lineRule="auto" w:after="120" w:before="160"/>
      </w:pPr>
      <w:r>
        <w:rPr>
          <w:rFonts w:ascii="Times New Roman" w:hAnsi="Times New Roman" w:eastAsia="Times New Roman"/>
          <w:b/>
          <w:i w:val="0"/>
          <w:color w:val="000000"/>
          <w:sz w:val="24"/>
        </w:rPr>
        <w:t>3.3 Identification and Estimation</w:t>
      </w:r>
    </w:p>
    <w:p>
      <w:pPr>
        <w:spacing w:line="360" w:lineRule="auto" w:after="120" w:before="0"/>
        <w:ind w:firstLine="720"/>
        <w:jc w:val="both"/>
      </w:pPr>
      <w:r>
        <w:rPr/>
        <w:t>In the notation of Callaway and Sant'Anna (2021), let G</w:t>
      </w:r>
      <w:r>
        <w:rPr>
          <w:vertAlign w:val="subscript"/>
        </w:rPr>
        <w:t>i</w:t>
      </w:r>
      <w:r>
        <w:rPr/>
        <w:t xml:space="preserve"> be the first recorded score year of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t> </m:t>
            </m:r>
            <m:r>
              <m:rPr>
                <m:sty m:val="p"/>
              </m:rPr>
              <m:t>|</m:t>
            </m:r>
            <m:r>
              <m:t> </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Level differences between scored and never-scored firms do not violate this assumption, but a different growth path before coverage would. In the large Malaysian wave the pre-coverage estimates show no detectable run-up, so for these firms the assumption does not require a trend to stop; the run-up interval is wide, however (−7.4% to 15.2%), and the wave split is exploratory. If the provider adds firms once they cross a size or visibility threshold, conditioning on base-year size compares firms on the same side of it. Against this, if part of a run-up was transitory, scored firms would have fallen back even without a score, and the estimates would understate any effect of coverage. We therefore treat the post-coverage estimates as conditional on parallel trends and give most weight to evidence that does not depend on it: the ordering of growth and entry, and the contrast between waves with and without a run-up.</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Because 24.6% of scored firms have larger base-year total assets than the 95th percentile of never-scored firms, we use outcome regression rather than the doubly robust estimator and also restrict scored firms to the size range of the controls, in the spirit of Crump et al. (2009).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t>where N</w:t>
      </w:r>
      <w:r>
        <w:rPr>
          <w:vertAlign w:val="subscript"/>
        </w:rPr>
        <w:t>g,t</w:t>
      </w:r>
      <w:r>
        <w:rPr/>
        <w:t xml:space="preserve"> is the number of firms first scored in year g with data in years g − 1 and t and base-year total assets.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where h indexes the cohort. 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All comparisons are relative to the base year, so a negative θ̂(e) for e ≤ −2 means that scored firms grew faster than comparable never-scored firms from year g + e to the base year.</w:t>
      </w:r>
    </w:p>
    <w:p>
      <w:pPr>
        <w:pStyle w:val="Heading2"/>
        <w:keepNext/>
        <w:spacing w:line="360" w:lineRule="auto" w:after="120" w:before="160"/>
      </w:pPr>
      <w:r>
        <w:rPr>
          <w:rFonts w:ascii="Times New Roman" w:hAnsi="Times New Roman" w:eastAsia="Times New Roman"/>
          <w:b/>
          <w:i w:val="0"/>
          <w:color w:val="000000"/>
          <w:sz w:val="24"/>
        </w:rPr>
        <w:t>3.4 Inference, Sensitivity, and Robustness Checks</w:t>
      </w:r>
    </w:p>
    <w:p>
      <w:pPr>
        <w:spacing w:line="360" w:lineRule="auto" w:after="120" w:before="0"/>
        <w:ind w:firstLine="720"/>
        <w:jc w:val="both"/>
      </w:pPr>
      <w:r>
        <w:rPr/>
        <w:t>We bootstrap by resampling firms with their full time series; all specifications share the same 999 draws and seed, so differences between specifications have a valid joint distribution. We report the bootstrap standard error (SE), the percentile 95% confidence interval, a normal-approximation p-value, and the minimum detectable effect at 80% power, MDE ≈ 2.8 × SE. Secondary outcomes carry Holm-adjusted p-values. A Wald test of the estimates for e = −5 to −2 serves only as a pre-trend diagnostic, because such tests have low power (Roth, 2022), and an exploratory check resamples the 50 market-by-industry clusters instead of firms.</w:t>
      </w:r>
    </w:p>
    <w:p>
      <w:pPr>
        <w:spacing w:line="360" w:lineRule="auto" w:after="120" w:before="0"/>
        <w:ind w:firstLine="720"/>
        <w:jc w:val="both"/>
      </w:pPr>
      <w:r>
        <w:rPr/>
        <w:t>Three exploratory checks address departures from parallel trends: removing a linear pre-coverage trend through zero in the base year, adding pre-coverage growth of log market capitalization to X</w:t>
      </w:r>
      <w:r>
        <w:rPr>
          <w:vertAlign w:val="subscript"/>
        </w:rPr>
        <w:t>i</w:t>
      </w:r>
      <w:r>
        <w:rPr/>
        <w:t>, and bounding the bias in the spirit of Rambachan and Roth (2023). For the bound, let δ(e) denote the post-coverage violation of parallel trends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where s indexes the pre-coverage event years. The bias for event year e is then at most M̄Δ(e + 1), and we widen the headline interval by its weighted average; with M̄ = 0.25, the gap may drift each year by a quarter of the largest yearly change before coverage. As a benchmark, we estimate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recorded score onward, and standard errors are clustered by firm; β averages over any run-up and uses already scored firms as controls. The pre-analysis plan fixed six checks: adding not-yet-scored firms to the controls, dropping the covariates, excluding the 2020 and 2021 cohorts, keeping only control firms whose base-year log total assets reach the 10th percentile among scored firms of the same cohort, dating coverage three years early as a placebo, and the TWFE regression. All other checks are exploratory.</w:t>
      </w:r>
    </w:p>
    <w:p>
      <w:pPr>
        <w:pStyle w:val="Heading1"/>
        <w:keepNext/>
        <w:spacing w:line="360" w:lineRule="auto" w:after="120" w:before="360"/>
      </w:pPr>
      <w:r>
        <w:rPr>
          <w:rFonts w:ascii="Times New Roman" w:hAnsi="Times New Roman" w:eastAsia="Times New Roman"/>
          <w:b/>
          <w:i w:val="0"/>
          <w:color w:val="000000"/>
          <w:sz w:val="26"/>
        </w:rPr>
        <w:t>4. Results</w:t>
      </w:r>
    </w:p>
    <w:p>
      <w:pPr>
        <w:pStyle w:val="Heading2"/>
        <w:keepNext/>
        <w:spacing w:line="360" w:lineRule="auto" w:after="120" w:before="160"/>
      </w:pPr>
      <w:r>
        <w:rPr>
          <w:rFonts w:ascii="Times New Roman" w:hAnsi="Times New Roman" w:eastAsia="Times New Roman"/>
          <w:b/>
          <w:i w:val="0"/>
          <w:color w:val="000000"/>
          <w:sz w:val="24"/>
        </w:rPr>
        <w:t>4.1 Who Gets Scored and the Valuation Path Around Entry</w:t>
      </w:r>
    </w:p>
    <w:p>
      <w:pPr>
        <w:spacing w:line="360" w:lineRule="auto" w:after="120" w:before="0"/>
        <w:ind w:firstLine="720"/>
        <w:jc w:val="both"/>
      </w:pPr>
      <w:r>
        <w:rPr/>
        <w:t>Table 1 compares scored firms in the base year with never-scored firm-years. Scored firms are larger: their median market capitalization is 203.2 million U.S. dollars against 42.2 million, and their median total assets are 4.3 times as large. Their MTB ratio is also higher, while leverage differs little. 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sz w:val="18"/>
        </w:rPr>
        <w:t>Note: Scored firms in base year g − 1; never-scored firms in 2014–2024. Norm. diff. is the mean difference divided by the root of the average variance.</w:t>
      </w:r>
    </w:p>
    <w:p>
      <w:pPr>
        <w:spacing w:line="360" w:lineRule="auto" w:after="120" w:before="0"/>
        <w:ind w:firstLine="720"/>
        <w:jc w:val="both"/>
      </w:pPr>
      <w:r>
        <w:rPr/>
        <w:t>Figure 1 plots the event-time estimates. Before the first recorded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The joint pre-trend test rejects for market capitalization (p = 0.022) but not at the 5% level for MTB (p = 0.074). The MTB non-rejection is not evidence of parallel trends: the estimates for event years −5 and −4 differ from zero, and pre-trend tests have low power (Roth, 2022). After the first recorded score, the MTB estimates for event years 0 to 3 lie between −0.044 and 0.017, and none differs from zero at the 5% level; event year 4 rests on only 141 scored firms and is excluded from the headline estimate. The MTB gap thus widens before coverage and stops widening afterward. Only reading the post-coverage part as an effect of coverage depends on the parallel trends assumption.</w:t>
      </w:r>
    </w:p>
    <w:p>
      <w:pPr>
        <w:keepNext/>
        <w:spacing w:line="240" w:lineRule="auto" w:after="120" w:before="240"/>
        <w:jc w:val="center"/>
      </w:pPr>
      <w:r>
        <w:rPr>
          <w:sz w:val="22"/>
        </w:rPr>
        <w:t>Figure 1. 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sz w:val="18"/>
        </w:rPr>
        <w:t>Note: Estimates relative to event year −1 with firm-bootstrap 95% intervals; 141 to 615 scored firms per event year.</w:t>
      </w:r>
    </w:p>
    <w:p>
      <w:pPr>
        <w:spacing w:line="360" w:lineRule="auto" w:after="120" w:before="0"/>
        <w:ind w:firstLine="720"/>
        <w:jc w:val="both"/>
      </w:pPr>
      <w:r>
        <w:rPr/>
        <w:t>Figure 2 separates the two largest coverage waves from the remaining cohorts; because we drew the wave boundaries after seeing the coverage counts, this split is exploratory. The 108 Thai and Singaporean firms first scored in 2019 and 2020 show the largest run-up: 33.1% in MTB relative to never-scored firms (pre-trend p = 0.006). The 289 Malaysian firms first scored in 2021 and 2022 show no detectable run-up, 2.8% (95% interval −7.4% to 15.2%; pre-trend p = 0.549), although a run-up of the pooled size cannot be ruled out, and the 278 firms in the remaining cohorts fall in between. 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Figure 2. 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sz w:val="18"/>
        </w:rPr>
        <w:t>Note: Estimates by wave against all never-scored firms, with firm-bootstrap 95% intervals. The waves hold 289, 108, and 278 scored firms.</w:t>
      </w:r>
    </w:p>
    <w:p>
      <w:pPr>
        <w:pStyle w:val="Heading2"/>
        <w:keepNext/>
        <w:spacing w:line="360" w:lineRule="auto" w:after="120" w:before="160"/>
      </w:pPr>
      <w:r>
        <w:rPr>
          <w:rFonts w:ascii="Times New Roman" w:hAnsi="Times New Roman" w:eastAsia="Times New Roman"/>
          <w:b/>
          <w:i w:val="0"/>
          <w:color w:val="000000"/>
          <w:sz w:val="24"/>
        </w:rPr>
        <w:t>4.2 Average Change After Entry and the Two Datings</w:t>
      </w:r>
    </w:p>
    <w:p>
      <w:pPr>
        <w:spacing w:line="360" w:lineRule="auto" w:after="120" w:before="0"/>
        <w:ind w:firstLine="720"/>
        <w:jc w:val="both"/>
      </w:pPr>
      <w:r>
        <w:rPr/>
        <w:t>Table 2 reports the headline estimates. The change in log MTB is 0.002, with a 95% confidence interval of −0.046 to 0.048, so the data are compatible with changes in the MTB ratio from −4.5% to 4.9%; the MDE is about 7.0%. With the cluster bootstrap, which allows for market-wide shocks such as the political uncertainty that moves Thai stock prices (Prukumpai et al., 2022), the interval is −0.050 to 0.053. After Holm adjustment, no secondary outcome changes significantly at the 5% level: log market capitalization changes by −0.055 (p = 0.134), leverage by 0.8 percentage points (p = 0.134), and log total assets by 0.044 (p = 0.053). The MTB estimate shows no sign of the gain that the recognition channel predicts (Merton, 1987).</w:t>
      </w:r>
    </w:p>
    <w:p>
      <w:pPr>
        <w:keepNext/>
        <w:spacing w:line="240" w:lineRule="auto" w:after="120" w:before="240"/>
        <w:jc w:val="center"/>
      </w:pPr>
      <w:r>
        <w:rPr>
          <w:sz w:val="22"/>
        </w:rPr>
        <w:t xml:space="preserve">Table 2. Average </w:t>
      </w:r>
      <w:r>
        <w:rPr>
          <w:sz w:val="22"/>
        </w:rPr>
        <w:t>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sz w:val="18"/>
        </w:rPr>
        <w:t>Note: Outcome regression with firm-bootstrap standard errors; secondary p-values are Holm-adjusted, intervals are not. MDE: 80%-power minimum detectable effect; pre-trend p from the joint Wald test of event years −5 to −2.</w:t>
      </w:r>
    </w:p>
    <w:p>
      <w:pPr>
        <w:spacing w:line="360" w:lineRule="auto" w:after="120" w:before="0"/>
        <w:ind w:firstLine="720"/>
        <w:jc w:val="both"/>
      </w:pPr>
      <w:r>
        <w:rPr/>
        <w:t>Table 3 presents the robustness checks; the first six were pre-specified, and the rest are exploratory. Dating coverage one year after the first recorded score, the earliest year in which a score could have been public, gives an MTB change of −0.068, about −6.6% (95% interval −0.116 to −0.020; p = 0.004), with a joint pre-trend p = 0.072. 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Not-yet-scored firms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sz w:val="18"/>
              </w:rPr>
              <w:t>628 / 3,023</w:t>
            </w:r>
          </w:p>
        </w:tc>
      </w:tr>
      <w:tr>
        <w:trPr>
          <w:cantSplit/>
        </w:trPr>
        <w:tc>
          <w:tcPr>
            <w:tcW w:type="dxa" w:w="2448"/>
          </w:tcPr>
          <w:p>
            <w:pPr>
              <w:keepNext/>
              <w:spacing w:after="0" w:line="240" w:lineRule="auto"/>
            </w:pPr>
            <w:r/>
            <w:r>
              <w:rPr>
                <w:b/>
                <w:sz w:val="18"/>
              </w:rPr>
              <w:t>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sz w:val="18"/>
              </w:rPr>
              <w:t>413 / 2,407</w:t>
            </w:r>
          </w:p>
        </w:tc>
      </w:tr>
      <w:tr>
        <w:trPr>
          <w:cantSplit/>
        </w:trPr>
        <w:tc>
          <w:tcPr>
            <w:tcW w:type="dxa" w:w="2448"/>
          </w:tcPr>
          <w:p>
            <w:pPr>
              <w:keepNext/>
              <w:spacing w:after="0" w:line="240" w:lineRule="auto"/>
            </w:pPr>
            <w:r/>
            <w:r>
              <w:rPr>
                <w:b/>
                <w:sz w:val="18"/>
              </w:rPr>
              <w:t>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sz w:val="18"/>
              </w:rPr>
              <w:t>628 / 1,975</w:t>
            </w:r>
          </w:p>
        </w:tc>
      </w:tr>
      <w:tr>
        <w:trPr>
          <w:cantSplit/>
        </w:trPr>
        <w:tc>
          <w:tcPr>
            <w:tcW w:type="dxa" w:w="2448"/>
          </w:tcPr>
          <w:p>
            <w:pPr>
              <w:keepNext/>
              <w:spacing w:after="0" w:line="240" w:lineRule="auto"/>
            </w:pPr>
            <w:r/>
            <w:r>
              <w:rPr>
                <w:b/>
                <w:sz w:val="18"/>
              </w:rPr>
              <w:t>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sz w:val="18"/>
              </w:rPr>
              <w:t>540 / 2,032</w:t>
            </w:r>
          </w:p>
        </w:tc>
      </w:tr>
      <w:tr>
        <w:trPr>
          <w:cantSplit/>
        </w:trPr>
        <w:tc>
          <w:tcPr>
            <w:tcW w:type="dxa" w:w="2448"/>
          </w:tcPr>
          <w:p>
            <w:pPr>
              <w:keepNext/>
              <w:spacing w:after="0" w:line="240" w:lineRule="auto"/>
            </w:pPr>
            <w:r/>
            <w:r>
              <w:rPr>
                <w:b/>
                <w:sz w:val="18"/>
              </w:rPr>
              <w:t>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sz w:val="18"/>
              </w:rPr>
              <w:t>3,226</w:t>
            </w:r>
            <w:r>
              <w:br/>
            </w:r>
            <w:r>
              <w:rPr>
                <w:sz w:val="18"/>
              </w:rPr>
              <w:t>(all)</w:t>
            </w:r>
          </w:p>
        </w:tc>
      </w:tr>
      <w:tr>
        <w:trPr>
          <w:cantSplit/>
        </w:trPr>
        <w:tc>
          <w:tcPr>
            <w:tcW w:type="dxa" w:w="2448"/>
          </w:tcPr>
          <w:p>
            <w:pPr>
              <w:keepNext/>
              <w:spacing w:after="0" w:line="240" w:lineRule="auto"/>
            </w:pPr>
            <w:r/>
            <w:r>
              <w:rPr>
                <w:b/>
                <w:sz w:val="18"/>
              </w:rPr>
              <w:t>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sz w:val="18"/>
              </w:rPr>
              <w:t>567 / 2,156</w:t>
            </w:r>
          </w:p>
        </w:tc>
      </w:tr>
      <w:tr>
        <w:trPr>
          <w:cantSplit/>
        </w:trPr>
        <w:tc>
          <w:tcPr>
            <w:tcW w:type="dxa" w:w="2448"/>
          </w:tcPr>
          <w:p>
            <w:pPr>
              <w:keepNext/>
              <w:spacing w:after="0" w:line="240" w:lineRule="auto"/>
            </w:pPr>
            <w:r/>
            <w:r>
              <w:rPr>
                <w:b/>
                <w:sz w:val="18"/>
              </w:rPr>
              <w:t>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sz w:val="18"/>
              </w:rPr>
              <w:t>256 / 1,926</w:t>
            </w:r>
          </w:p>
        </w:tc>
      </w:tr>
      <w:tr>
        <w:trPr>
          <w:cantSplit/>
        </w:trPr>
        <w:tc>
          <w:tcPr>
            <w:tcW w:type="dxa" w:w="2448"/>
          </w:tcPr>
          <w:p>
            <w:pPr>
              <w:keepNext/>
              <w:spacing w:after="0" w:line="240" w:lineRule="auto"/>
            </w:pPr>
            <w:r/>
            <w:r>
              <w:rPr>
                <w:b/>
                <w:sz w:val="18"/>
              </w:rPr>
              <w:t>Dated one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sz w:val="18"/>
              </w:rPr>
              <w:t>646 / 2,412</w:t>
            </w:r>
          </w:p>
        </w:tc>
      </w:tr>
      <w:tr>
        <w:trPr>
          <w:cantSplit/>
        </w:trPr>
        <w:tc>
          <w:tcPr>
            <w:tcW w:type="dxa" w:w="2448"/>
          </w:tcPr>
          <w:p>
            <w:pPr>
              <w:keepNext/>
              <w:spacing w:after="0" w:line="240" w:lineRule="auto"/>
            </w:pPr>
            <w:r/>
            <w:r>
              <w:rPr>
                <w:b/>
                <w:sz w:val="18"/>
              </w:rPr>
              <w:t>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sz w:val="18"/>
        </w:rPr>
        <w:t>Note: Outcome regression with firm-bootstrap standard errors (firm-clustered for two-way fixed effects); firm counts for ln(MTB). *, **, ***: 10%, 5%, 1% (unadjusted).</w:t>
      </w:r>
    </w:p>
    <w:p>
      <w:pPr>
        <w:spacing w:line="360" w:lineRule="auto" w:after="120" w:before="0"/>
        <w:ind w:firstLine="720"/>
        <w:jc w:val="both"/>
      </w:pPr>
      <w:r>
        <w:rPr/>
        <w:t>Table 4 moves from the first-recorded-year estimate to the one-year-later estimate one step at a time. Row 2 keeps only firms observed in both g − 1 and g, so that every later row draws on the same set of firms; this changes the MTB estimate by −0.005. Row 3 averages event years 1 to 4 instead of 0 to 3; this changes it by −0.016 (p = 0.092). Row 4 moves the reference year from g − 1 to g, which is what dating coverage one year later does to the comparison; this changes the estimate by −0.044 (p = 0.024), 62% of the total gap of −0.070. Measuring size in g (row 5) and returning to all firms (row 6) change little. The steps are sequential, so the shares depend on their order.</w:t>
      </w:r>
    </w:p>
    <w:p>
      <w:pPr>
        <w:keepNext/>
        <w:spacing w:line="240" w:lineRule="auto" w:after="120" w:before="240"/>
        <w:jc w:val="center"/>
      </w:pPr>
      <w:r>
        <w:rPr>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sz w:val="18"/>
              </w:rPr>
              <w:t>Specification</w:t>
            </w:r>
          </w:p>
        </w:tc>
        <w:tc>
          <w:tcPr>
            <w:tcW w:type="dxa" w:w="1512"/>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960"/>
          </w:tcPr>
          <w:p>
            <w:pPr>
              <w:keepNext/>
              <w:spacing w:after="0" w:line="240" w:lineRule="auto"/>
            </w:pPr>
            <w:r/>
            <w:r>
              <w:rPr>
                <w:b/>
                <w:sz w:val="18"/>
              </w:rPr>
              <w:t>(1) First recorded year g, reference g − 1, event years 0 to 3, all firms</w:t>
            </w:r>
          </w:p>
        </w:tc>
        <w:tc>
          <w:tcPr>
            <w:tcW w:type="dxa" w:w="1512"/>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960"/>
          </w:tcPr>
          <w:p>
            <w:pPr>
              <w:keepNext/>
              <w:spacing w:after="0" w:line="240" w:lineRule="auto"/>
            </w:pPr>
            <w:r/>
            <w:r>
              <w:rPr>
                <w:b/>
                <w:sz w:val="18"/>
              </w:rPr>
              <w:t>(2) As (1), firms observed in both g − 1 and g</w:t>
            </w:r>
          </w:p>
        </w:tc>
        <w:tc>
          <w:tcPr>
            <w:tcW w:type="dxa" w:w="1512"/>
          </w:tcPr>
          <w:p>
            <w:pPr>
              <w:keepNext/>
              <w:spacing w:after="0" w:line="240" w:lineRule="auto"/>
              <w:jc w:val="center"/>
            </w:pPr>
            <w:r/>
            <w:r>
              <w:rPr>
                <w:sz w:val="18"/>
              </w:rPr>
              <w:t>−0.003</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2,405</w:t>
            </w:r>
          </w:p>
        </w:tc>
      </w:tr>
      <w:tr>
        <w:trPr>
          <w:cantSplit/>
        </w:trPr>
        <w:tc>
          <w:tcPr>
            <w:tcW w:type="dxa" w:w="3960"/>
          </w:tcPr>
          <w:p>
            <w:pPr>
              <w:keepNext/>
              <w:spacing w:after="0" w:line="240" w:lineRule="auto"/>
            </w:pPr>
            <w:r/>
            <w:r>
              <w:rPr>
                <w:b/>
                <w:sz w:val="18"/>
              </w:rPr>
              <w:t>(3) As (2), event years 1 to 4</w:t>
            </w:r>
          </w:p>
        </w:tc>
        <w:tc>
          <w:tcPr>
            <w:tcW w:type="dxa" w:w="1512"/>
          </w:tcPr>
          <w:p>
            <w:pPr>
              <w:keepNext/>
              <w:spacing w:after="0" w:line="240" w:lineRule="auto"/>
              <w:jc w:val="center"/>
            </w:pPr>
            <w:r/>
            <w:r>
              <w:rPr>
                <w:sz w:val="18"/>
              </w:rPr>
              <w:t>−0.019</w:t>
            </w:r>
            <w:r>
              <w:br/>
            </w:r>
            <w:r>
              <w:rPr>
                <w:sz w:val="18"/>
              </w:rPr>
              <w:t>(0.030)</w:t>
            </w:r>
          </w:p>
        </w:tc>
        <w:tc>
          <w:tcPr>
            <w:tcW w:type="dxa" w:w="1656"/>
          </w:tcPr>
          <w:p>
            <w:pPr>
              <w:keepNext/>
              <w:spacing w:after="0" w:line="240" w:lineRule="auto"/>
              <w:jc w:val="center"/>
            </w:pPr>
            <w:r/>
            <w:r>
              <w:rPr>
                <w:sz w:val="18"/>
              </w:rPr>
              <w:t>−0.053</w:t>
            </w:r>
            <w:r>
              <w:br/>
            </w:r>
            <w:r>
              <w:rPr>
                <w:sz w:val="18"/>
              </w:rPr>
              <w:t>(0.037)</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(4) As (3), reference year g</w:t>
            </w:r>
          </w:p>
        </w:tc>
        <w:tc>
          <w:tcPr>
            <w:tcW w:type="dxa" w:w="1512"/>
          </w:tcPr>
          <w:p>
            <w:pPr>
              <w:keepNext/>
              <w:spacing w:after="0" w:line="240" w:lineRule="auto"/>
              <w:jc w:val="center"/>
            </w:pPr>
            <w:r/>
            <w:r>
              <w:rPr>
                <w:sz w:val="18"/>
              </w:rPr>
              <w:t>−0.063***</w:t>
            </w:r>
            <w:r>
              <w:br/>
            </w:r>
            <w:r>
              <w:rPr>
                <w:sz w:val="18"/>
              </w:rPr>
              <w:t>(0.024)</w:t>
            </w:r>
          </w:p>
        </w:tc>
        <w:tc>
          <w:tcPr>
            <w:tcW w:type="dxa" w:w="1656"/>
          </w:tcPr>
          <w:p>
            <w:pPr>
              <w:keepNext/>
              <w:spacing w:after="0" w:line="240" w:lineRule="auto"/>
              <w:jc w:val="center"/>
            </w:pPr>
            <w:r/>
            <w:r>
              <w:rPr>
                <w:sz w:val="18"/>
              </w:rPr>
              <w:t>−0.051*</w:t>
            </w:r>
            <w:r>
              <w:br/>
            </w:r>
            <w:r>
              <w:rPr>
                <w:sz w:val="18"/>
              </w:rPr>
              <w:t>(0.029)</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(5) As (4), size measured in g</w:t>
            </w:r>
          </w:p>
        </w:tc>
        <w:tc>
          <w:tcPr>
            <w:tcW w:type="dxa" w:w="1512"/>
          </w:tcPr>
          <w:p>
            <w:pPr>
              <w:keepNext/>
              <w:spacing w:after="0" w:line="240" w:lineRule="auto"/>
              <w:jc w:val="center"/>
            </w:pPr>
            <w:r/>
            <w:r>
              <w:rPr>
                <w:sz w:val="18"/>
              </w:rPr>
              <w:t>−0.060**</w:t>
            </w:r>
            <w:r>
              <w:br/>
            </w:r>
            <w:r>
              <w:rPr>
                <w:sz w:val="18"/>
              </w:rPr>
              <w:t>(0.024)</w:t>
            </w:r>
          </w:p>
        </w:tc>
        <w:tc>
          <w:tcPr>
            <w:tcW w:type="dxa" w:w="1656"/>
          </w:tcPr>
          <w:p>
            <w:pPr>
              <w:keepNext/>
              <w:spacing w:after="0" w:line="240" w:lineRule="auto"/>
              <w:jc w:val="center"/>
            </w:pPr>
            <w:r/>
            <w:r>
              <w:rPr>
                <w:sz w:val="18"/>
              </w:rPr>
              <w:t>−0.063**</w:t>
            </w:r>
            <w:r>
              <w:br/>
            </w:r>
            <w:r>
              <w:rPr>
                <w:sz w:val="18"/>
              </w:rPr>
              <w:t>(0.031)</w:t>
            </w:r>
          </w:p>
        </w:tc>
        <w:tc>
          <w:tcPr>
            <w:tcW w:type="dxa" w:w="1152"/>
          </w:tcPr>
          <w:p>
            <w:pPr>
              <w:keepNext/>
              <w:spacing w:after="0" w:line="240" w:lineRule="auto"/>
              <w:jc w:val="center"/>
            </w:pPr>
            <w:r/>
            <w:r>
              <w:rPr>
                <w:sz w:val="18"/>
              </w:rPr>
              <w:t>583</w:t>
            </w:r>
          </w:p>
        </w:tc>
        <w:tc>
          <w:tcPr>
            <w:tcW w:type="dxa" w:w="1080"/>
          </w:tcPr>
          <w:p>
            <w:pPr>
              <w:keepNext/>
              <w:spacing w:after="0" w:line="240" w:lineRule="auto"/>
              <w:jc w:val="center"/>
            </w:pPr>
            <w:r/>
            <w:r>
              <w:rPr>
                <w:sz w:val="18"/>
              </w:rPr>
              <w:t>2,252</w:t>
            </w:r>
          </w:p>
        </w:tc>
      </w:tr>
      <w:tr>
        <w:trPr>
          <w:cantSplit/>
        </w:trPr>
        <w:tc>
          <w:tcPr>
            <w:tcW w:type="dxa" w:w="3960"/>
          </w:tcPr>
          <w:p>
            <w:pPr>
              <w:keepNext/>
              <w:spacing w:after="0" w:line="240" w:lineRule="auto"/>
            </w:pPr>
            <w:r/>
            <w:r>
              <w:rPr>
                <w:b/>
                <w:sz w:val="18"/>
              </w:rPr>
              <w:t>(6) One year later, all firms (R10)</w:t>
            </w:r>
          </w:p>
        </w:tc>
        <w:tc>
          <w:tcPr>
            <w:tcW w:type="dxa" w:w="1512"/>
          </w:tcPr>
          <w:p>
            <w:pPr>
              <w:keepNext/>
              <w:spacing w:after="0" w:line="240" w:lineRule="auto"/>
              <w:jc w:val="center"/>
            </w:pPr>
            <w:r/>
            <w:r>
              <w:rPr>
                <w:sz w:val="18"/>
              </w:rPr>
              <w:t>−0.068***</w:t>
            </w:r>
            <w:r>
              <w:br/>
            </w:r>
            <w:r>
              <w:rPr>
                <w:sz w:val="18"/>
              </w:rPr>
              <w:t>(0.024)</w:t>
            </w:r>
          </w:p>
        </w:tc>
        <w:tc>
          <w:tcPr>
            <w:tcW w:type="dxa" w:w="1656"/>
          </w:tcPr>
          <w:p>
            <w:pPr>
              <w:keepNext/>
              <w:spacing w:after="0" w:line="240" w:lineRule="auto"/>
              <w:jc w:val="center"/>
            </w:pPr>
            <w:r/>
            <w:r>
              <w:rPr>
                <w:sz w:val="18"/>
              </w:rPr>
              <w:t>−0.073**</w:t>
            </w:r>
            <w:r>
              <w:br/>
            </w:r>
            <w:r>
              <w:rPr>
                <w:sz w:val="18"/>
              </w:rPr>
              <w:t>(0.030)</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2,407</w:t>
            </w:r>
          </w:p>
        </w:tc>
      </w:tr>
      <w:tr>
        <w:trPr>
          <w:cantSplit/>
        </w:trPr>
        <w:tc>
          <w:tcPr>
            <w:tcW w:type="dxa" w:w="3960"/>
          </w:tcPr>
          <w:p>
            <w:pPr>
              <w:keepNext/>
              <w:spacing w:after="0" w:line="240" w:lineRule="auto"/>
            </w:pPr>
            <w:r/>
            <w:r>
              <w:rPr>
                <w:b/>
                <w:sz w:val="18"/>
              </w:rPr>
              <w:t>(7) As (2), cohorts first recorded 2015 to 2020</w:t>
            </w:r>
          </w:p>
        </w:tc>
        <w:tc>
          <w:tcPr>
            <w:tcW w:type="dxa" w:w="1512"/>
          </w:tcPr>
          <w:p>
            <w:pPr>
              <w:keepNext/>
              <w:spacing w:after="0" w:line="240" w:lineRule="auto"/>
              <w:jc w:val="center"/>
            </w:pPr>
            <w:r/>
            <w:r>
              <w:rPr>
                <w:sz w:val="18"/>
              </w:rPr>
              <w:t>0.017</w:t>
            </w:r>
            <w:r>
              <w:br/>
            </w:r>
            <w:r>
              <w:rPr>
                <w:sz w:val="18"/>
              </w:rPr>
              <w:t>(0.040)</w:t>
            </w:r>
          </w:p>
        </w:tc>
        <w:tc>
          <w:tcPr>
            <w:tcW w:type="dxa" w:w="1656"/>
          </w:tcPr>
          <w:p>
            <w:pPr>
              <w:keepNext/>
              <w:spacing w:after="0" w:line="240" w:lineRule="auto"/>
              <w:jc w:val="center"/>
            </w:pPr>
            <w:r/>
            <w:r>
              <w:rPr>
                <w:sz w:val="18"/>
              </w:rPr>
              <w:t>0.076*</w:t>
            </w:r>
            <w:r>
              <w:br/>
            </w:r>
            <w:r>
              <w:rPr>
                <w:sz w:val="18"/>
              </w:rPr>
              <w:t>(0.042)</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1,952</w:t>
            </w:r>
          </w:p>
        </w:tc>
      </w:tr>
      <w:tr>
        <w:trPr>
          <w:cantSplit/>
        </w:trPr>
        <w:tc>
          <w:tcPr>
            <w:tcW w:type="dxa" w:w="3960"/>
          </w:tcPr>
          <w:p>
            <w:pPr>
              <w:keepNext/>
              <w:spacing w:after="0" w:line="240" w:lineRule="auto"/>
            </w:pPr>
            <w:r/>
            <w:r>
              <w:rPr>
                <w:b/>
                <w:sz w:val="18"/>
              </w:rPr>
              <w:t>(8) As (3), cohorts first recorded 2015 to 2020</w:t>
            </w:r>
          </w:p>
        </w:tc>
        <w:tc>
          <w:tcPr>
            <w:tcW w:type="dxa" w:w="1512"/>
          </w:tcPr>
          <w:p>
            <w:pPr>
              <w:keepNext/>
              <w:spacing w:after="0" w:line="240" w:lineRule="auto"/>
              <w:jc w:val="center"/>
            </w:pPr>
            <w:r/>
            <w:r>
              <w:rPr>
                <w:sz w:val="18"/>
              </w:rPr>
              <w:t>−0.026</w:t>
            </w:r>
            <w:r>
              <w:br/>
            </w:r>
            <w:r>
              <w:rPr>
                <w:sz w:val="18"/>
              </w:rPr>
              <w:t>(0.047)</w:t>
            </w:r>
          </w:p>
        </w:tc>
        <w:tc>
          <w:tcPr>
            <w:tcW w:type="dxa" w:w="1656"/>
          </w:tcPr>
          <w:p>
            <w:pPr>
              <w:keepNext/>
              <w:spacing w:after="0" w:line="240" w:lineRule="auto"/>
              <w:jc w:val="center"/>
            </w:pPr>
            <w:r/>
            <w:r>
              <w:rPr>
                <w:sz w:val="18"/>
              </w:rPr>
              <w:t>0.077</w:t>
            </w:r>
            <w:r>
              <w:br/>
            </w:r>
            <w:r>
              <w:rPr>
                <w:sz w:val="18"/>
              </w:rPr>
              <w:t>(0.050)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Pr>
          <w:p>
            <w:pPr>
              <w:keepNext/>
              <w:spacing w:after="0" w:line="240" w:lineRule="auto"/>
            </w:pPr>
            <w:r/>
            <w:r>
              <w:rPr>
                <w:b/>
                <w:sz w:val="18"/>
              </w:rPr>
              <w:t>(9) As (4), cohorts first recorded 2015 to 2020</w:t>
            </w:r>
          </w:p>
        </w:tc>
        <w:tc>
          <w:tcPr>
            <w:tcW w:type="dxa" w:w="1512"/>
          </w:tcPr>
          <w:p>
            <w:pPr>
              <w:keepNext/>
              <w:spacing w:after="0" w:line="240" w:lineRule="auto"/>
              <w:jc w:val="center"/>
            </w:pPr>
            <w:r/>
            <w:r>
              <w:rPr>
                <w:sz w:val="18"/>
              </w:rPr>
              <w:t>−0.124***</w:t>
            </w:r>
            <w:r>
              <w:br/>
            </w:r>
            <w:r>
              <w:rPr>
                <w:sz w:val="18"/>
              </w:rPr>
              <w:t>(0.038)</w:t>
            </w:r>
          </w:p>
        </w:tc>
        <w:tc>
          <w:tcPr>
            <w:tcW w:type="dxa" w:w="1656"/>
          </w:tcPr>
          <w:p>
            <w:pPr>
              <w:keepNext/>
              <w:spacing w:after="0" w:line="240" w:lineRule="auto"/>
              <w:jc w:val="center"/>
            </w:pPr>
            <w:r/>
            <w:r>
              <w:rPr>
                <w:sz w:val="18"/>
              </w:rPr>
              <w:t>−0.006</w:t>
            </w:r>
            <w:r>
              <w:br/>
            </w:r>
            <w:r>
              <w:rPr>
                <w:sz w:val="18"/>
              </w:rPr>
              <w:t>(0.040)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Borders>
              <w:bottom w:val="single" w:sz="6" w:color="000000"/>
            </w:tcBorders>
          </w:tcPr>
          <w:p>
            <w:pPr>
              <w:spacing w:after="0" w:line="240" w:lineRule="auto"/>
            </w:pPr>
            <w:r/>
            <w:r>
              <w:rPr>
                <w:b/>
                <w:sz w:val="18"/>
              </w:rPr>
              <w:t>(10) As (5), cohorts first recorded 2015 to 2020</w:t>
            </w:r>
          </w:p>
        </w:tc>
        <w:tc>
          <w:tcPr>
            <w:tcW w:type="dxa" w:w="1512"/>
            <w:tcBorders>
              <w:bottom w:val="single" w:sz="6" w:color="000000"/>
            </w:tcBorders>
          </w:tcPr>
          <w:p>
            <w:pPr>
              <w:spacing w:after="0" w:line="240" w:lineRule="auto"/>
              <w:jc w:val="center"/>
            </w:pPr>
            <w:r/>
            <w:r>
              <w:rPr>
                <w:sz w:val="18"/>
              </w:rPr>
              <w:t>−0.121***</w:t>
            </w:r>
            <w:r>
              <w:br/>
            </w:r>
            <w:r>
              <w:rPr>
                <w:sz w:val="18"/>
              </w:rPr>
              <w:t>(0.038)</w:t>
            </w:r>
          </w:p>
        </w:tc>
        <w:tc>
          <w:tcPr>
            <w:tcW w:type="dxa" w:w="1656"/>
            <w:tcBorders>
              <w:bottom w:val="single" w:sz="6" w:color="000000"/>
            </w:tcBorders>
          </w:tcPr>
          <w:p>
            <w:pPr>
              <w:spacing w:after="0" w:line="240" w:lineRule="auto"/>
              <w:jc w:val="center"/>
            </w:pPr>
            <w:r/>
            <w:r>
              <w:rPr>
                <w:sz w:val="18"/>
              </w:rPr>
              <w:t>−0.018</w:t>
            </w:r>
            <w:r>
              <w:br/>
            </w:r>
            <w:r>
              <w:rPr>
                <w:sz w:val="18"/>
              </w:rPr>
              <w:t>(0.042)</w:t>
            </w:r>
          </w:p>
        </w:tc>
        <w:tc>
          <w:tcPr>
            <w:tcW w:type="dxa" w:w="1152"/>
            <w:tcBorders>
              <w:bottom w:val="single" w:sz="6" w:color="000000"/>
            </w:tcBorders>
          </w:tcPr>
          <w:p>
            <w:pPr>
              <w:spacing w:after="0" w:line="240" w:lineRule="auto"/>
              <w:jc w:val="center"/>
            </w:pPr>
            <w:r/>
            <w:r>
              <w:rPr>
                <w:sz w:val="18"/>
              </w:rPr>
              <w:t>142</w:t>
            </w:r>
          </w:p>
        </w:tc>
        <w:tc>
          <w:tcPr>
            <w:tcW w:type="dxa" w:w="1080"/>
            <w:tcBorders>
              <w:bottom w:val="single" w:sz="6" w:color="000000"/>
            </w:tcBorders>
          </w:tcPr>
          <w:p>
            <w:pPr>
              <w:spacing w:after="0" w:line="240" w:lineRule="auto"/>
              <w:jc w:val="center"/>
            </w:pPr>
            <w:r/>
            <w:r>
              <w:rPr>
                <w:sz w:val="18"/>
              </w:rPr>
              <w:t>1,938</w:t>
            </w:r>
          </w:p>
        </w:tc>
      </w:tr>
    </w:tbl>
    <w:p>
      <w:pPr>
        <w:spacing w:line="240" w:lineRule="auto" w:after="40" w:before="280"/>
        <w:jc w:val="both"/>
      </w:pPr>
      <w:r>
        <w:rPr>
          <w:sz w:val="18"/>
        </w:rPr>
        <w:t>Note: Outcome regression with firm-bootstrap standard errors; each row changes one feature; firm counts for ln(MTB). *, **, ***: 10%, 5%, 1%.</w:t>
      </w:r>
    </w:p>
    <w:p>
      <w:pPr>
        <w:spacing w:line="360" w:lineRule="auto" w:after="120" w:before="0"/>
        <w:ind w:firstLine="720"/>
        <w:jc w:val="both"/>
      </w:pPr>
      <w:r>
        <w:rPr/>
        <w:t>The reference year thus drives the difference. Moving it from g − 1 to g subtracts from each later estimate the change in log MTB of the same scored firms, relative to the same never-scored firms, between g − 1 and g. The row 4 step, 0.044, is therefore each cohort's own change between g − 1 and g averaged with the weights of event years 1 to 4, which fall most on the early cohorts observed longest after entry; it is an accounting identity, not a separate estimate, and it is larger than the pooled event-year-0 estimate in Figure 1. Part of the decline under the later dating is thus the rise these cohorts had in the first recorded year itself. The cohorts observed through event year 4 (rows 7 to 10) show the same pattern more strongly.</w:t>
      </w:r>
    </w:p>
    <w:p>
      <w:pPr>
        <w:spacing w:line="360" w:lineRule="auto" w:after="120" w:before="0"/>
        <w:ind w:firstLine="720"/>
        <w:jc w:val="both"/>
      </w:pPr>
      <w:r>
        <w:rPr/>
        <w:t>The timing difference is also concentrated in the waves that had a run-up. Under the one-year-later dating, the MTB change is −0.136 for the Thai and Singaporean wave and −0.111 for the remaining cohorts, but 0.012 for the Malaysian wave (Table S6 of the supplementary material). Tested with joint firm-bootstrap draws, the Thai and Singaporean wave differs from the Malaysian wave both in the run-up (difference in the event-year −5 estimate −0.258, p = 0.010) and in the one-year-later change (−0.148, p = 0.006). The remaining cohorts differ from the Malaysian wave in the one-year-later change (−0.123, p = 0.010) but not detectably in the run-up (p = 0.307). Where no run-up was detected, neither dating detects an MTB change (95% intervals −0.053 to 0.091 and −0.055 to 0.076).</w:t>
      </w:r>
    </w:p>
    <w:p>
      <w:pPr>
        <w:spacing w:line="360" w:lineRule="auto" w:after="120" w:before="0"/>
        <w:ind w:firstLine="720"/>
        <w:jc w:val="both"/>
      </w:pPr>
      <w:r>
        <w:rPr/>
        <w:t>Two readings fit this pattern. If firms were selected at an unusually high valuation that later partly reversed, the one-year-later estimate measures that reversal and could hide a gain from coverage; if valuations would otherwise have stayed at their peak, coverage lowered them.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4.3 Sensitivity and Robustness</w:t>
      </w:r>
    </w:p>
    <w:p>
      <w:pPr>
        <w:spacing w:line="360" w:lineRule="auto" w:after="120" w:before="0"/>
        <w:ind w:firstLine="720"/>
        <w:jc w:val="both"/>
      </w:pPr>
      <w:r>
        <w:rPr/>
        <w:t>Keeping only the 7 cohorts observed through event year 3 gives −0.008 (p = 0.806), so changing cohort composition does not explain the headline estimate. Removing a linear pre-trend gives −0.052, and matching on pre-coverage growth gives 0.028; both intervals include zero. Under the relative-magnitude bounds (Table S7), with M̄ = 0.25 the interval for the MTB effect is −0.071 to 0.073, and any departure with M̄ above 0.01 admits a 5% increase. Under the one-year-later dating, the decline loses significance with M̄ = 0.25, when its interval runs from −0.138 to 0.002. Departures from parallel trends smaller than those observed before coverage are therefore enough to change the reading of either dating.</w:t>
      </w:r>
    </w:p>
    <w:p>
      <w:pPr>
        <w:spacing w:line="360" w:lineRule="auto" w:after="120" w:before="0"/>
        <w:ind w:firstLine="720"/>
        <w:jc w:val="both"/>
      </w:pPr>
      <w:r>
        <w:rPr/>
        <w:t>Table 5 varies the size adjustment and the support. Across functional forms (none, linear, quadratic, cubic, quintile indicators, or size measured at g − 3), the MTB estimate stays between −0.010 and 0.025. Keeping scored firms no larger than the 95th percentile of controls in their cell retains 487 scored firms and gives −0.021 (p = 0.426); the 90th and 99th percentile cut-offs give −0.013 and −0.006. Within this support the doubly robust estimator of Sant'Anna and Zhao (2020), with control propensity scores capped at 0.99, gives −0.010 (p = 0.715), and only 1.1% of scored firm-cells have an estimated propensity score above 0.95. The MTB result does not depend on extrapolating to the largest firms.</w:t>
      </w:r>
    </w:p>
    <w:p>
      <w:pPr>
        <w:keepNext/>
        <w:spacing w:line="240" w:lineRule="auto" w:after="120" w:before="240"/>
        <w:jc w:val="center"/>
      </w:pPr>
      <w:r>
        <w:rPr>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224"/>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744"/>
          </w:tcPr>
          <w:p>
            <w:pPr>
              <w:keepNext/>
              <w:spacing w:after="0" w:line="240" w:lineRule="auto"/>
            </w:pPr>
            <w:r/>
            <w:r>
              <w:rPr>
                <w:b/>
                <w:sz w:val="18"/>
              </w:rPr>
              <w:t>Baseline: quadratic in log total assets at g − 1</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656"/>
          </w:tcPr>
          <w:p>
            <w:pPr>
              <w:keepNext/>
              <w:spacing w:after="0" w:line="240" w:lineRule="auto"/>
              <w:jc w:val="center"/>
            </w:pPr>
            <w:r/>
            <w:r>
              <w:rPr>
                <w:sz w:val="18"/>
              </w:rPr>
              <w:t>0.016</w:t>
            </w:r>
            <w:r>
              <w:br/>
            </w:r>
            <w:r>
              <w:rPr>
                <w:sz w:val="18"/>
              </w:rPr>
              <w:t>(0.025)</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Linear in log total assets</w:t>
            </w:r>
          </w:p>
        </w:tc>
        <w:tc>
          <w:tcPr>
            <w:tcW w:type="dxa" w:w="1584"/>
          </w:tcPr>
          <w:p>
            <w:pPr>
              <w:keepNext/>
              <w:spacing w:after="0" w:line="240" w:lineRule="auto"/>
              <w:jc w:val="center"/>
            </w:pPr>
            <w:r/>
            <w:r>
              <w:rPr>
                <w:sz w:val="18"/>
              </w:rPr>
              <w:t>−0.003</w:t>
            </w:r>
            <w:r>
              <w:br/>
            </w:r>
            <w:r>
              <w:rPr>
                <w:sz w:val="18"/>
              </w:rPr>
              <w:t>(0.023)</w:t>
            </w:r>
          </w:p>
        </w:tc>
        <w:tc>
          <w:tcPr>
            <w:tcW w:type="dxa" w:w="1656"/>
          </w:tcPr>
          <w:p>
            <w:pPr>
              <w:keepNext/>
              <w:spacing w:after="0" w:line="240" w:lineRule="auto"/>
              <w:jc w:val="center"/>
            </w:pPr>
            <w:r/>
            <w:r>
              <w:rPr>
                <w:sz w:val="18"/>
              </w:rPr>
              <w:t>−0.033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Cubic in log total assets</w:t>
            </w:r>
          </w:p>
        </w:tc>
        <w:tc>
          <w:tcPr>
            <w:tcW w:type="dxa" w:w="1584"/>
          </w:tcPr>
          <w:p>
            <w:pPr>
              <w:keepNext/>
              <w:spacing w:after="0" w:line="240" w:lineRule="auto"/>
              <w:jc w:val="center"/>
            </w:pPr>
            <w:r/>
            <w:r>
              <w:rPr>
                <w:sz w:val="18"/>
              </w:rPr>
              <w:t>−0.009</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656"/>
          </w:tcPr>
          <w:p>
            <w:pPr>
              <w:keepNext/>
              <w:spacing w:after="0" w:line="240" w:lineRule="auto"/>
              <w:jc w:val="center"/>
            </w:pPr>
            <w:r/>
            <w:r>
              <w:rPr>
                <w:sz w:val="18"/>
              </w:rPr>
              <w:t>−0.053*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Quadratic, total assets at g − 3</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r>
              <w:rPr>
                <w:sz w:val="18"/>
              </w:rPr>
              <w:t>−0.059*</w:t>
            </w:r>
            <w:r>
              <w:br/>
            </w:r>
            <w:r>
              <w:rPr>
                <w:sz w:val="18"/>
              </w:rPr>
              <w:t>(0.032)</w:t>
            </w:r>
          </w:p>
        </w:tc>
        <w:tc>
          <w:tcPr>
            <w:tcW w:type="dxa" w:w="1224"/>
          </w:tcPr>
          <w:p>
            <w:pPr>
              <w:keepNext/>
              <w:spacing w:after="0" w:line="240" w:lineRule="auto"/>
              <w:jc w:val="center"/>
            </w:pPr>
            <w:r/>
            <w:r>
              <w:rPr>
                <w:sz w:val="18"/>
              </w:rPr>
              <w:t>592</w:t>
            </w:r>
          </w:p>
        </w:tc>
        <w:tc>
          <w:tcPr>
            <w:tcW w:type="dxa" w:w="1152"/>
          </w:tcPr>
          <w:p>
            <w:pPr>
              <w:keepNext/>
              <w:spacing w:after="0" w:line="240" w:lineRule="auto"/>
              <w:jc w:val="center"/>
            </w:pPr>
            <w:r/>
            <w:r>
              <w:rPr>
                <w:sz w:val="18"/>
              </w:rPr>
              <w:t>2,396</w:t>
            </w:r>
          </w:p>
        </w:tc>
      </w:tr>
      <w:tr>
        <w:trPr>
          <w:cantSplit/>
        </w:trPr>
        <w:tc>
          <w:tcPr>
            <w:tcW w:type="dxa" w:w="3744"/>
          </w:tcPr>
          <w:p>
            <w:pPr>
              <w:keepNext/>
              <w:spacing w:after="0" w:line="240" w:lineRule="auto"/>
            </w:pPr>
            <w:r/>
            <w:r>
              <w:rPr>
                <w:b/>
                <w:sz w:val="18"/>
              </w:rPr>
              <w:t>Scored firms ≤ 99th percentile of controls</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r>
              <w:rPr>
                <w:sz w:val="18"/>
              </w:rPr>
              <w:t>−0.061**</w:t>
            </w:r>
            <w:r>
              <w:br/>
            </w:r>
            <w:r>
              <w:rPr>
                <w:sz w:val="18"/>
              </w:rPr>
              <w:t>(0.031)</w:t>
            </w:r>
          </w:p>
        </w:tc>
        <w:tc>
          <w:tcPr>
            <w:tcW w:type="dxa" w:w="1224"/>
          </w:tcPr>
          <w:p>
            <w:pPr>
              <w:keepNext/>
              <w:spacing w:after="0" w:line="240" w:lineRule="auto"/>
              <w:jc w:val="center"/>
            </w:pPr>
            <w:r/>
            <w:r>
              <w:rPr>
                <w:sz w:val="18"/>
              </w:rPr>
              <w:t>586</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95th percentile of controls</w:t>
            </w:r>
          </w:p>
        </w:tc>
        <w:tc>
          <w:tcPr>
            <w:tcW w:type="dxa" w:w="1584"/>
          </w:tcPr>
          <w:p>
            <w:pPr>
              <w:keepNext/>
              <w:spacing w:after="0" w:line="240" w:lineRule="auto"/>
              <w:jc w:val="center"/>
            </w:pPr>
            <w:r/>
            <w:r>
              <w:rPr>
                <w:sz w:val="18"/>
              </w:rPr>
              <w:t>−0.021</w:t>
            </w:r>
            <w:r>
              <w:br/>
            </w:r>
            <w:r>
              <w:rPr>
                <w:sz w:val="18"/>
              </w:rPr>
              <w:t>(0.026)</w:t>
            </w:r>
          </w:p>
        </w:tc>
        <w:tc>
          <w:tcPr>
            <w:tcW w:type="dxa" w:w="1656"/>
          </w:tcPr>
          <w:p>
            <w:pPr>
              <w:keepNext/>
              <w:spacing w:after="0" w:line="240" w:lineRule="auto"/>
              <w:jc w:val="center"/>
            </w:pPr>
            <w:r/>
            <w:r>
              <w:rPr>
                <w:sz w:val="18"/>
              </w:rPr>
              <w:t>−0.096***</w:t>
            </w:r>
            <w:r>
              <w:br/>
            </w:r>
            <w:r>
              <w:rPr>
                <w:sz w:val="18"/>
              </w:rPr>
              <w:t>(0.035)</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90th percentile of controls</w:t>
            </w:r>
          </w:p>
        </w:tc>
        <w:tc>
          <w:tcPr>
            <w:tcW w:type="dxa" w:w="1584"/>
          </w:tcPr>
          <w:p>
            <w:pPr>
              <w:keepNext/>
              <w:spacing w:after="0" w:line="240" w:lineRule="auto"/>
              <w:jc w:val="center"/>
            </w:pPr>
            <w:r/>
            <w:r>
              <w:rPr>
                <w:sz w:val="18"/>
              </w:rPr>
              <w:t>−0.013</w:t>
            </w:r>
            <w:r>
              <w:br/>
            </w:r>
            <w:r>
              <w:rPr>
                <w:sz w:val="18"/>
              </w:rPr>
              <w:t>(0.028)</w:t>
            </w:r>
          </w:p>
        </w:tc>
        <w:tc>
          <w:tcPr>
            <w:tcW w:type="dxa" w:w="1656"/>
          </w:tcPr>
          <w:p>
            <w:pPr>
              <w:keepNext/>
              <w:spacing w:after="0" w:line="240" w:lineRule="auto"/>
              <w:jc w:val="center"/>
            </w:pPr>
            <w:r/>
            <w:r>
              <w:rPr>
                <w:sz w:val="18"/>
              </w:rPr>
              <w:t>−0.093**</w:t>
            </w:r>
            <w:r>
              <w:br/>
            </w:r>
            <w:r>
              <w:rPr>
                <w:sz w:val="18"/>
              </w:rPr>
              <w:t>(0.039)</w:t>
            </w:r>
          </w:p>
        </w:tc>
        <w:tc>
          <w:tcPr>
            <w:tcW w:type="dxa" w:w="1224"/>
          </w:tcPr>
          <w:p>
            <w:pPr>
              <w:keepNext/>
              <w:spacing w:after="0" w:line="240" w:lineRule="auto"/>
              <w:jc w:val="center"/>
            </w:pPr>
            <w:r/>
            <w:r>
              <w:rPr>
                <w:sz w:val="18"/>
              </w:rPr>
              <w:t>420</w:t>
            </w:r>
          </w:p>
        </w:tc>
        <w:tc>
          <w:tcPr>
            <w:tcW w:type="dxa" w:w="1152"/>
          </w:tcPr>
          <w:p>
            <w:pPr>
              <w:keepNext/>
              <w:spacing w:after="0" w:line="240" w:lineRule="auto"/>
              <w:jc w:val="center"/>
            </w:pPr>
            <w:r/>
            <w:r>
              <w:rPr>
                <w:sz w:val="18"/>
              </w:rPr>
              <w:t>2,407</w:t>
            </w:r>
          </w:p>
        </w:tc>
      </w:tr>
      <w:tr>
        <w:trPr>
          <w:cantSplit/>
        </w:trPr>
        <w:tc>
          <w:tcPr>
            <w:tcW w:type="dxa" w:w="3744"/>
          </w:tcPr>
          <w:p>
            <w:pPr>
              <w:keepNext/>
              <w:spacing w:after="0" w:line="240" w:lineRule="auto"/>
            </w:pPr>
            <w:r/>
            <w:r>
              <w:rPr>
                <w:b/>
                <w:sz w:val="18"/>
              </w:rPr>
              <w:t>Doubly robust, ≤ 95th percentile</w:t>
            </w:r>
          </w:p>
        </w:tc>
        <w:tc>
          <w:tcPr>
            <w:tcW w:type="dxa" w:w="1584"/>
          </w:tcPr>
          <w:p>
            <w:pPr>
              <w:keepNext/>
              <w:spacing w:after="0" w:line="240" w:lineRule="auto"/>
              <w:jc w:val="center"/>
            </w:pPr>
            <w:r/>
            <w:r>
              <w:rPr>
                <w:sz w:val="18"/>
              </w:rPr>
              <w:t>−0.010</w:t>
            </w:r>
            <w:r>
              <w:br/>
            </w:r>
            <w:r>
              <w:rPr>
                <w:sz w:val="18"/>
              </w:rPr>
              <w:t>(0.027)</w:t>
            </w:r>
          </w:p>
        </w:tc>
        <w:tc>
          <w:tcPr>
            <w:tcW w:type="dxa" w:w="1656"/>
          </w:tcPr>
          <w:p>
            <w:pPr>
              <w:keepNext/>
              <w:spacing w:after="0" w:line="240" w:lineRule="auto"/>
              <w:jc w:val="center"/>
            </w:pPr>
            <w:r/>
            <w:r>
              <w:rPr>
                <w:sz w:val="18"/>
              </w:rPr>
              <w:t>−0.064*</w:t>
            </w:r>
            <w:r>
              <w:br/>
            </w:r>
            <w:r>
              <w:rPr>
                <w:sz w:val="18"/>
              </w:rPr>
              <w:t>(0.034)</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Borders>
              <w:bottom w:val="single" w:sz="6" w:color="000000"/>
            </w:tcBorders>
          </w:tcPr>
          <w:p>
            <w:pPr>
              <w:spacing w:after="0" w:line="240" w:lineRule="auto"/>
            </w:pPr>
            <w:r/>
            <w:r>
              <w:rPr>
                <w:b/>
                <w:sz w:val="18"/>
              </w:rPr>
              <w:t>Doubly robust, ≤ 90th percentile</w:t>
            </w:r>
          </w:p>
        </w:tc>
        <w:tc>
          <w:tcPr>
            <w:tcW w:type="dxa" w:w="1584"/>
            <w:tcBorders>
              <w:bottom w:val="single" w:sz="6" w:color="000000"/>
            </w:tcBorders>
          </w:tcPr>
          <w:p>
            <w:pPr>
              <w:spacing w:after="0" w:line="240" w:lineRule="auto"/>
              <w:jc w:val="center"/>
            </w:pPr>
            <w:r/>
            <w:r>
              <w:rPr>
                <w:sz w:val="18"/>
              </w:rPr>
              <w:t>0.005</w:t>
            </w:r>
            <w:r>
              <w:br/>
            </w:r>
            <w:r>
              <w:rPr>
                <w:sz w:val="18"/>
              </w:rPr>
              <w:t>(0.029)</w:t>
            </w:r>
          </w:p>
        </w:tc>
        <w:tc>
          <w:tcPr>
            <w:tcW w:type="dxa" w:w="1656"/>
            <w:tcBorders>
              <w:bottom w:val="single" w:sz="6" w:color="000000"/>
            </w:tcBorders>
          </w:tcPr>
          <w:p>
            <w:pPr>
              <w:spacing w:after="0" w:line="240" w:lineRule="auto"/>
              <w:jc w:val="center"/>
            </w:pPr>
            <w:r/>
            <w:r>
              <w:rPr>
                <w:sz w:val="18"/>
              </w:rPr>
              <w:t>−0.061</w:t>
            </w:r>
            <w:r>
              <w:br/>
            </w:r>
            <w:r>
              <w:rPr>
                <w:sz w:val="18"/>
              </w:rPr>
              <w:t>(0.038)</w:t>
            </w:r>
          </w:p>
        </w:tc>
        <w:tc>
          <w:tcPr>
            <w:tcW w:type="dxa" w:w="1224"/>
            <w:tcBorders>
              <w:bottom w:val="single" w:sz="6" w:color="000000"/>
            </w:tcBorders>
          </w:tcPr>
          <w:p>
            <w:pPr>
              <w:spacing w:after="0" w:line="240" w:lineRule="auto"/>
              <w:jc w:val="center"/>
            </w:pPr>
            <w:r/>
            <w:r>
              <w:rPr>
                <w:sz w:val="18"/>
              </w:rPr>
              <w:t>420</w:t>
            </w:r>
          </w:p>
        </w:tc>
        <w:tc>
          <w:tcPr>
            <w:tcW w:type="dxa" w:w="1152"/>
            <w:tcBorders>
              <w:bottom w:val="single" w:sz="6" w:color="000000"/>
            </w:tcBorders>
          </w:tcPr>
          <w:p>
            <w:pPr>
              <w:spacing w:after="0" w:line="240" w:lineRule="auto"/>
              <w:jc w:val="center"/>
            </w:pPr>
            <w:r/>
            <w:r>
              <w:rPr>
                <w:sz w:val="18"/>
              </w:rPr>
              <w:t>2,407</w:t>
            </w:r>
          </w:p>
        </w:tc>
      </w:tr>
    </w:tbl>
    <w:p>
      <w:pPr>
        <w:spacing w:line="240" w:lineRule="auto" w:after="40" w:before="280"/>
        <w:jc w:val="both"/>
      </w:pPr>
      <w:r>
        <w:rPr>
          <w:sz w:val="18"/>
        </w:rPr>
        <w:t>Note: Outcome regression unless doubly robust, with firm-bootstrap standard errors; firm counts for ln(MTB). *, **, ***: 10%, 5%, 1%.</w:t>
      </w:r>
    </w:p>
    <w:p>
      <w:pPr>
        <w:spacing w:line="360" w:lineRule="auto" w:after="120" w:before="0"/>
        <w:ind w:firstLine="720"/>
        <w:jc w:val="both"/>
      </w:pPr>
      <w:r>
        <w:rPr/>
        <w:t>Market capitalization is more sensitive: its estimate is 0.016 without covariates, between −0.059 and −0.033 across the functional forms that adjust for size, and between −0.096 and −0.061 on the restricted supports, as expected when size enters both selection and the outcome. Table 6 describes the scored firms that the 95th percentile restriction keeps and drops. The 138 excluded firms are large (median total assets of 2,351.7 million U.S. dollars against 170.9 million) and more often Singaporean (29.0% against 1.2%), Indonesian (18.1% against 2.9%), or Thai (29.0% against 24.0%), while the retained firms are mostly Malaysian (71.5%). The restricted estimate thus describes mid-sized scored firms, largely from the Malaysian expansion.</w:t>
      </w:r>
    </w:p>
    <w:p>
      <w:pPr>
        <w:keepNext/>
        <w:spacing w:line="240" w:lineRule="auto" w:after="120" w:before="240"/>
        <w:jc w:val="center"/>
      </w:pPr>
      <w:r>
        <w:rPr>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sz w:val="18"/>
              </w:rPr>
              <w:t>Characteristic</w:t>
            </w:r>
          </w:p>
        </w:tc>
        <w:tc>
          <w:tcPr>
            <w:tcW w:type="dxa" w:w="1584"/>
            <w:tcBorders>
              <w:top w:val="single" w:sz="6" w:color="000000"/>
              <w:bottom w:val="single" w:sz="6" w:color="000000"/>
            </w:tcBorders>
          </w:tcPr>
          <w:p>
            <w:pPr>
              <w:keepNext/>
              <w:spacing w:after="0" w:line="240" w:lineRule="auto"/>
              <w:jc w:val="center"/>
            </w:pPr>
            <w:r/>
            <w:r>
              <w:rPr>
                <w:b/>
                <w:sz w:val="18"/>
              </w:rPr>
              <w:t>Retained</w:t>
            </w:r>
          </w:p>
        </w:tc>
        <w:tc>
          <w:tcPr>
            <w:tcW w:type="dxa" w:w="1584"/>
            <w:tcBorders>
              <w:top w:val="single" w:sz="6" w:color="000000"/>
              <w:bottom w:val="single" w:sz="6" w:color="000000"/>
            </w:tcBorders>
          </w:tcPr>
          <w:p>
            <w:pPr>
              <w:keepNext/>
              <w:spacing w:after="0" w:line="240" w:lineRule="auto"/>
              <w:jc w:val="center"/>
            </w:pPr>
            <w:r/>
            <w:r>
              <w:rPr>
                <w:b/>
                <w:sz w:val="18"/>
              </w:rPr>
              <w:t>Excluded</w:t>
            </w:r>
          </w:p>
        </w:tc>
        <w:tc>
          <w:tcPr>
            <w:tcW w:type="dxa" w:w="2016"/>
            <w:tcBorders>
              <w:top w:val="single" w:sz="6" w:color="000000"/>
              <w:bottom w:val="single" w:sz="6" w:color="000000"/>
            </w:tcBorders>
          </w:tcPr>
          <w:p>
            <w:pPr>
              <w:keepNext/>
              <w:spacing w:after="0" w:line="240" w:lineRule="auto"/>
              <w:jc w:val="center"/>
            </w:pPr>
            <w:r/>
            <w:r>
              <w:rPr>
                <w:b/>
                <w:sz w:val="18"/>
              </w:rPr>
              <w:t>Never-scored</w:t>
            </w:r>
            <w:r>
              <w:br/>
            </w:r>
            <w:r>
              <w:rPr>
                <w:b/>
                <w:sz w:val="18"/>
              </w:rPr>
              <w:t>(all years)</w:t>
            </w:r>
          </w:p>
        </w:tc>
      </w:tr>
      <w:tr>
        <w:trPr>
          <w:cantSplit/>
        </w:trPr>
        <w:tc>
          <w:tcPr>
            <w:tcW w:type="dxa" w:w="4032"/>
          </w:tcPr>
          <w:p>
            <w:pPr>
              <w:keepNext/>
              <w:spacing w:after="0" w:line="240" w:lineRule="auto"/>
            </w:pPr>
            <w:r/>
            <w:r>
              <w:rPr>
                <w:b/>
                <w:sz w:val="18"/>
              </w:rPr>
              <w:t>Firms</w:t>
            </w:r>
          </w:p>
        </w:tc>
        <w:tc>
          <w:tcPr>
            <w:tcW w:type="dxa" w:w="1584"/>
          </w:tcPr>
          <w:p>
            <w:pPr>
              <w:keepNext/>
              <w:spacing w:after="0" w:line="240" w:lineRule="auto"/>
              <w:jc w:val="center"/>
            </w:pPr>
            <w:r/>
            <w:r>
              <w:rPr>
                <w:sz w:val="18"/>
              </w:rPr>
              <w:t>487</w:t>
            </w:r>
          </w:p>
        </w:tc>
        <w:tc>
          <w:tcPr>
            <w:tcW w:type="dxa" w:w="1584"/>
          </w:tcPr>
          <w:p>
            <w:pPr>
              <w:keepNext/>
              <w:spacing w:after="0" w:line="240" w:lineRule="auto"/>
              <w:jc w:val="center"/>
            </w:pPr>
            <w:r/>
            <w:r>
              <w:rPr>
                <w:sz w:val="18"/>
              </w:rPr>
              <w:t>138</w:t>
            </w:r>
          </w:p>
        </w:tc>
        <w:tc>
          <w:tcPr>
            <w:tcW w:type="dxa" w:w="2016"/>
          </w:tcPr>
          <w:p>
            <w:pPr>
              <w:keepNext/>
              <w:spacing w:after="0" w:line="240" w:lineRule="auto"/>
              <w:jc w:val="center"/>
            </w:pPr>
            <w:r/>
            <w:r>
              <w:rPr>
                <w:sz w:val="18"/>
              </w:rPr>
              <w:t>2,613</w:t>
            </w:r>
          </w:p>
        </w:tc>
      </w:tr>
      <w:tr>
        <w:trPr>
          <w:cantSplit/>
        </w:trPr>
        <w:tc>
          <w:tcPr>
            <w:tcW w:type="dxa" w:w="4032"/>
          </w:tcPr>
          <w:p>
            <w:pPr>
              <w:keepNext/>
              <w:spacing w:after="0" w:line="240" w:lineRule="auto"/>
            </w:pPr>
            <w:r/>
            <w:r>
              <w:rPr>
                <w:b/>
                <w:sz w:val="18"/>
              </w:rPr>
              <w:t>Median total assets (USD million)</w:t>
            </w:r>
          </w:p>
        </w:tc>
        <w:tc>
          <w:tcPr>
            <w:tcW w:type="dxa" w:w="1584"/>
          </w:tcPr>
          <w:p>
            <w:pPr>
              <w:keepNext/>
              <w:spacing w:after="0" w:line="240" w:lineRule="auto"/>
              <w:jc w:val="center"/>
            </w:pPr>
            <w:r/>
            <w:r>
              <w:rPr>
                <w:sz w:val="18"/>
              </w:rPr>
              <w:t>170.9</w:t>
            </w:r>
          </w:p>
        </w:tc>
        <w:tc>
          <w:tcPr>
            <w:tcW w:type="dxa" w:w="1584"/>
          </w:tcPr>
          <w:p>
            <w:pPr>
              <w:keepNext/>
              <w:spacing w:after="0" w:line="240" w:lineRule="auto"/>
              <w:jc w:val="center"/>
            </w:pPr>
            <w:r/>
            <w:r>
              <w:rPr>
                <w:sz w:val="18"/>
              </w:rPr>
              <w:t>2,351.7</w:t>
            </w:r>
          </w:p>
        </w:tc>
        <w:tc>
          <w:tcPr>
            <w:tcW w:type="dxa" w:w="2016"/>
          </w:tcPr>
          <w:p>
            <w:pPr>
              <w:keepNext/>
              <w:spacing w:after="0" w:line="240" w:lineRule="auto"/>
              <w:jc w:val="center"/>
            </w:pPr>
            <w:r/>
            <w:r>
              <w:rPr>
                <w:sz w:val="18"/>
              </w:rPr>
              <w:t>68.7</w:t>
            </w:r>
          </w:p>
        </w:tc>
      </w:tr>
      <w:tr>
        <w:trPr>
          <w:cantSplit/>
        </w:trPr>
        <w:tc>
          <w:tcPr>
            <w:tcW w:type="dxa" w:w="4032"/>
          </w:tcPr>
          <w:p>
            <w:pPr>
              <w:keepNext/>
              <w:spacing w:after="0" w:line="240" w:lineRule="auto"/>
            </w:pPr>
            <w:r/>
            <w:r>
              <w:rPr>
                <w:b/>
                <w:sz w:val="18"/>
              </w:rPr>
              <w:t>Median market capitalization (USD million)</w:t>
            </w:r>
          </w:p>
        </w:tc>
        <w:tc>
          <w:tcPr>
            <w:tcW w:type="dxa" w:w="1584"/>
          </w:tcPr>
          <w:p>
            <w:pPr>
              <w:keepNext/>
              <w:spacing w:after="0" w:line="240" w:lineRule="auto"/>
              <w:jc w:val="center"/>
            </w:pPr>
            <w:r/>
            <w:r>
              <w:rPr>
                <w:sz w:val="18"/>
              </w:rPr>
              <w:t>129.5</w:t>
            </w:r>
          </w:p>
        </w:tc>
        <w:tc>
          <w:tcPr>
            <w:tcW w:type="dxa" w:w="1584"/>
          </w:tcPr>
          <w:p>
            <w:pPr>
              <w:keepNext/>
              <w:spacing w:after="0" w:line="240" w:lineRule="auto"/>
              <w:jc w:val="center"/>
            </w:pPr>
            <w:r/>
            <w:r>
              <w:rPr>
                <w:sz w:val="18"/>
              </w:rPr>
              <w:t>1,478.0</w:t>
            </w:r>
          </w:p>
        </w:tc>
        <w:tc>
          <w:tcPr>
            <w:tcW w:type="dxa" w:w="2016"/>
          </w:tcPr>
          <w:p>
            <w:pPr>
              <w:keepNext/>
              <w:spacing w:after="0" w:line="240" w:lineRule="auto"/>
              <w:jc w:val="center"/>
            </w:pPr>
            <w:r/>
            <w:r>
              <w:rPr>
                <w:sz w:val="18"/>
              </w:rPr>
              <w:t>42.2</w:t>
            </w:r>
          </w:p>
        </w:tc>
      </w:tr>
      <w:tr>
        <w:trPr>
          <w:cantSplit/>
        </w:trPr>
        <w:tc>
          <w:tcPr>
            <w:tcW w:type="dxa" w:w="4032"/>
          </w:tcPr>
          <w:p>
            <w:pPr>
              <w:keepNext/>
              <w:spacing w:after="0" w:line="240" w:lineRule="auto"/>
            </w:pPr>
            <w:r/>
            <w:r>
              <w:rPr>
                <w:b/>
                <w:sz w:val="18"/>
              </w:rPr>
              <w:t>Median market-to-book ratio</w:t>
            </w:r>
          </w:p>
        </w:tc>
        <w:tc>
          <w:tcPr>
            <w:tcW w:type="dxa" w:w="1584"/>
          </w:tcPr>
          <w:p>
            <w:pPr>
              <w:keepNext/>
              <w:spacing w:after="0" w:line="240" w:lineRule="auto"/>
              <w:jc w:val="center"/>
            </w:pPr>
            <w:r/>
            <w:r>
              <w:rPr>
                <w:sz w:val="18"/>
              </w:rPr>
              <w:t>1.34</w:t>
            </w:r>
          </w:p>
        </w:tc>
        <w:tc>
          <w:tcPr>
            <w:tcW w:type="dxa" w:w="1584"/>
          </w:tcPr>
          <w:p>
            <w:pPr>
              <w:keepNext/>
              <w:spacing w:after="0" w:line="240" w:lineRule="auto"/>
              <w:jc w:val="center"/>
            </w:pPr>
            <w:r/>
            <w:r>
              <w:rPr>
                <w:sz w:val="18"/>
              </w:rPr>
              <w:t>1.14</w:t>
            </w:r>
          </w:p>
        </w:tc>
        <w:tc>
          <w:tcPr>
            <w:tcW w:type="dxa" w:w="2016"/>
          </w:tcPr>
          <w:p>
            <w:pPr>
              <w:keepNext/>
              <w:spacing w:after="0" w:line="240" w:lineRule="auto"/>
              <w:jc w:val="center"/>
            </w:pPr>
            <w:r/>
            <w:r>
              <w:rPr>
                <w:sz w:val="18"/>
              </w:rPr>
              <w:t>0.95</w:t>
            </w:r>
          </w:p>
        </w:tc>
      </w:tr>
      <w:tr>
        <w:trPr>
          <w:cantSplit/>
        </w:trPr>
        <w:tc>
          <w:tcPr>
            <w:tcW w:type="dxa" w:w="4032"/>
          </w:tcPr>
          <w:p>
            <w:pPr>
              <w:keepNext/>
              <w:spacing w:after="0" w:line="240" w:lineRule="auto"/>
            </w:pPr>
            <w:r/>
            <w:r>
              <w:rPr>
                <w:b/>
                <w:sz w:val="18"/>
              </w:rPr>
              <w:t>Mean book leverage</w:t>
            </w:r>
          </w:p>
        </w:tc>
        <w:tc>
          <w:tcPr>
            <w:tcW w:type="dxa" w:w="1584"/>
          </w:tcPr>
          <w:p>
            <w:pPr>
              <w:keepNext/>
              <w:spacing w:after="0" w:line="240" w:lineRule="auto"/>
              <w:jc w:val="center"/>
            </w:pPr>
            <w:r/>
            <w:r>
              <w:rPr>
                <w:sz w:val="18"/>
              </w:rPr>
              <w:t>0.202</w:t>
            </w:r>
          </w:p>
        </w:tc>
        <w:tc>
          <w:tcPr>
            <w:tcW w:type="dxa" w:w="1584"/>
          </w:tcPr>
          <w:p>
            <w:pPr>
              <w:keepNext/>
              <w:spacing w:after="0" w:line="240" w:lineRule="auto"/>
              <w:jc w:val="center"/>
            </w:pPr>
            <w:r/>
            <w:r>
              <w:rPr>
                <w:sz w:val="18"/>
              </w:rPr>
              <w:t>0.330</w:t>
            </w:r>
          </w:p>
        </w:tc>
        <w:tc>
          <w:tcPr>
            <w:tcW w:type="dxa" w:w="2016"/>
          </w:tcPr>
          <w:p>
            <w:pPr>
              <w:keepNext/>
              <w:spacing w:after="0" w:line="240" w:lineRule="auto"/>
              <w:jc w:val="center"/>
            </w:pPr>
            <w:r/>
            <w:r>
              <w:rPr>
                <w:sz w:val="18"/>
              </w:rPr>
              <w:t>0.241</w:t>
            </w:r>
          </w:p>
        </w:tc>
      </w:tr>
      <w:tr>
        <w:trPr>
          <w:cantSplit/>
        </w:trPr>
        <w:tc>
          <w:tcPr>
            <w:tcW w:type="dxa" w:w="4032"/>
          </w:tcPr>
          <w:p>
            <w:pPr>
              <w:keepNext/>
              <w:spacing w:after="0" w:line="240" w:lineRule="auto"/>
            </w:pPr>
            <w:r/>
            <w:r>
              <w:rPr>
                <w:b/>
                <w:sz w:val="18"/>
              </w:rPr>
              <w:t>Mean initial ESG score</w:t>
            </w:r>
          </w:p>
        </w:tc>
        <w:tc>
          <w:tcPr>
            <w:tcW w:type="dxa" w:w="1584"/>
          </w:tcPr>
          <w:p>
            <w:pPr>
              <w:keepNext/>
              <w:spacing w:after="0" w:line="240" w:lineRule="auto"/>
              <w:jc w:val="center"/>
            </w:pPr>
            <w:r/>
            <w:r>
              <w:rPr>
                <w:sz w:val="18"/>
              </w:rPr>
              <w:t>33.4</w:t>
            </w:r>
          </w:p>
        </w:tc>
        <w:tc>
          <w:tcPr>
            <w:tcW w:type="dxa" w:w="1584"/>
          </w:tcPr>
          <w:p>
            <w:pPr>
              <w:keepNext/>
              <w:spacing w:after="0" w:line="240" w:lineRule="auto"/>
              <w:jc w:val="center"/>
            </w:pPr>
            <w:r/>
            <w:r>
              <w:rPr>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Malaysian</w:t>
            </w:r>
          </w:p>
        </w:tc>
        <w:tc>
          <w:tcPr>
            <w:tcW w:type="dxa" w:w="1584"/>
          </w:tcPr>
          <w:p>
            <w:pPr>
              <w:keepNext/>
              <w:spacing w:after="0" w:line="240" w:lineRule="auto"/>
              <w:jc w:val="center"/>
            </w:pPr>
            <w:r/>
            <w:r>
              <w:rPr>
                <w:sz w:val="18"/>
              </w:rPr>
              <w:t>0.71</w:t>
            </w:r>
          </w:p>
        </w:tc>
        <w:tc>
          <w:tcPr>
            <w:tcW w:type="dxa" w:w="1584"/>
          </w:tcPr>
          <w:p>
            <w:pPr>
              <w:keepNext/>
              <w:spacing w:after="0" w:line="240" w:lineRule="auto"/>
              <w:jc w:val="center"/>
            </w:pPr>
            <w:r/>
            <w:r>
              <w:rPr>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Thai</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Indonesian</w:t>
            </w:r>
          </w:p>
        </w:tc>
        <w:tc>
          <w:tcPr>
            <w:tcW w:type="dxa" w:w="1584"/>
          </w:tcPr>
          <w:p>
            <w:pPr>
              <w:keepNext/>
              <w:spacing w:after="0" w:line="240" w:lineRule="auto"/>
              <w:jc w:val="center"/>
            </w:pPr>
            <w:r/>
            <w:r>
              <w:rPr>
                <w:sz w:val="18"/>
              </w:rPr>
              <w:t>0.03</w:t>
            </w:r>
          </w:p>
        </w:tc>
        <w:tc>
          <w:tcPr>
            <w:tcW w:type="dxa" w:w="1584"/>
          </w:tcPr>
          <w:p>
            <w:pPr>
              <w:keepNext/>
              <w:spacing w:after="0" w:line="240" w:lineRule="auto"/>
              <w:jc w:val="center"/>
            </w:pPr>
            <w:r/>
            <w:r>
              <w:rPr>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Singaporean</w:t>
            </w:r>
          </w:p>
        </w:tc>
        <w:tc>
          <w:tcPr>
            <w:tcW w:type="dxa" w:w="1584"/>
          </w:tcPr>
          <w:p>
            <w:pPr>
              <w:keepNext/>
              <w:spacing w:after="0" w:line="240" w:lineRule="auto"/>
              <w:jc w:val="center"/>
            </w:pPr>
            <w:r/>
            <w:r>
              <w:rPr>
                <w:sz w:val="18"/>
              </w:rPr>
              <w:t>0.01</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Philippine</w:t>
            </w:r>
          </w:p>
        </w:tc>
        <w:tc>
          <w:tcPr>
            <w:tcW w:type="dxa" w:w="1584"/>
          </w:tcPr>
          <w:p>
            <w:pPr>
              <w:keepNext/>
              <w:spacing w:after="0" w:line="240" w:lineRule="auto"/>
              <w:jc w:val="center"/>
            </w:pPr>
            <w:r/>
            <w:r>
              <w:rPr>
                <w:sz w:val="18"/>
              </w:rPr>
              <w:t>0.00</w:t>
            </w:r>
          </w:p>
        </w:tc>
        <w:tc>
          <w:tcPr>
            <w:tcW w:type="dxa" w:w="1584"/>
          </w:tcPr>
          <w:p>
            <w:pPr>
              <w:keepNext/>
              <w:spacing w:after="0" w:line="240" w:lineRule="auto"/>
              <w:jc w:val="center"/>
            </w:pPr>
            <w:r/>
            <w:r>
              <w:rPr>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sz w:val="18"/>
              </w:rPr>
              <w:t>Share first recorded by 2020</w:t>
            </w:r>
          </w:p>
        </w:tc>
        <w:tc>
          <w:tcPr>
            <w:tcW w:type="dxa" w:w="1584"/>
            <w:tcBorders>
              <w:bottom w:val="single" w:sz="6" w:color="000000"/>
            </w:tcBorders>
          </w:tcPr>
          <w:p>
            <w:pPr>
              <w:spacing w:after="0" w:line="240" w:lineRule="auto"/>
              <w:jc w:val="center"/>
            </w:pPr>
            <w:r/>
            <w:r>
              <w:rPr>
                <w:sz w:val="18"/>
              </w:rPr>
              <w:t>0.12</w:t>
            </w:r>
          </w:p>
        </w:tc>
        <w:tc>
          <w:tcPr>
            <w:tcW w:type="dxa" w:w="1584"/>
            <w:tcBorders>
              <w:bottom w:val="single" w:sz="6" w:color="000000"/>
            </w:tcBorders>
          </w:tcPr>
          <w:p>
            <w:pPr>
              <w:spacing w:after="0" w:line="240" w:lineRule="auto"/>
              <w:jc w:val="center"/>
            </w:pPr>
            <w:r/>
            <w:r>
              <w:rPr>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sz w:val="18"/>
        </w:rPr>
        <w:t>Note: Scored firms in the ln(MTB) estimate, measured in base year g − 1; never-scored firms over all firm-years.</w:t>
      </w:r>
    </w:p>
    <w:p>
      <w:pPr>
        <w:spacing w:line="360" w:lineRule="auto" w:after="120" w:before="0"/>
        <w:ind w:firstLine="720"/>
        <w:jc w:val="both"/>
      </w:pPr>
      <w:r>
        <w:rPr/>
        <w:t>Missing MTB ratios are not random. Firm-years without one are more often highly levered (book leverage above 0.5 in 25.4% of never-scored firm-years without an MTB ratio, against 8.4% with one) and more often Indonesian (36.2% against 24.1%; Table S8 of the supplementary material). Only 36.7% of never-scored and 36.6% of scored firm-years without an MTB ratio have a market capitalization, so most gaps are missing market data, not negative book equity alone. 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t>Table 7 checks whether these gaps and the recording errors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using the lower threshold of twice total assets, or winsorizing within each market and year gives MTB estimates between −0.019 and 0.005. None of these checks produces an MTB gain.</w:t>
      </w:r>
    </w:p>
    <w:p>
      <w:pPr>
        <w:keepNext/>
        <w:spacing w:line="240" w:lineRule="auto" w:after="120" w:before="240"/>
        <w:jc w:val="center"/>
      </w:pPr>
      <w:r>
        <w:rPr>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888"/>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sz w:val="18"/>
              </w:rPr>
              <w:t>−0.023</w:t>
            </w:r>
            <w:r>
              <w:br/>
            </w:r>
            <w:r>
              <w:rPr>
                <w:sz w:val="18"/>
              </w:rPr>
              <w:t>(0.029)</w:t>
            </w:r>
          </w:p>
        </w:tc>
        <w:tc>
          <w:tcPr>
            <w:tcW w:type="dxa" w:w="1152"/>
          </w:tcPr>
          <w:p>
            <w:pPr>
              <w:keepNext/>
              <w:spacing w:after="0" w:line="240" w:lineRule="auto"/>
              <w:jc w:val="center"/>
            </w:pPr>
            <w:r/>
            <w:r>
              <w:rPr>
                <w:sz w:val="18"/>
              </w:rPr>
              <w:t>624</w:t>
            </w:r>
          </w:p>
        </w:tc>
        <w:tc>
          <w:tcPr>
            <w:tcW w:type="dxa" w:w="1080"/>
          </w:tcPr>
          <w:p>
            <w:pPr>
              <w:keepNext/>
              <w:spacing w:after="0" w:line="240" w:lineRule="auto"/>
              <w:jc w:val="center"/>
            </w:pPr>
            <w:r/>
            <w:r>
              <w:rPr>
                <w:sz w:val="18"/>
              </w:rPr>
              <w:t>2,409</w:t>
            </w:r>
          </w:p>
        </w:tc>
      </w:tr>
      <w:tr>
        <w:trPr>
          <w:cantSplit/>
        </w:trPr>
        <w:tc>
          <w:tcPr>
            <w:tcW w:type="dxa" w:w="3888"/>
          </w:tcPr>
          <w:p>
            <w:pPr>
              <w:keepNext/>
              <w:spacing w:after="0" w:line="240" w:lineRule="auto"/>
            </w:pPr>
            <w:r/>
            <w:r>
              <w:rPr>
                <w:b/>
                <w:sz w:val="18"/>
              </w:rPr>
              <w:t>Complete MTB series, scored and control firms</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1,152</w:t>
            </w:r>
          </w:p>
        </w:tc>
      </w:tr>
      <w:tr>
        <w:trPr>
          <w:cantSplit/>
        </w:trPr>
        <w:tc>
          <w:tcPr>
            <w:tcW w:type="dxa" w:w="3888"/>
          </w:tcPr>
          <w:p>
            <w:pPr>
              <w:keepNext/>
              <w:spacing w:after="0" w:line="240" w:lineRule="auto"/>
            </w:pPr>
            <w:r/>
            <w:r>
              <w:rPr>
                <w:b/>
                <w:sz w:val="18"/>
              </w:rPr>
              <w:t>Complete MTB series, scored firms only</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Flagged firm-years removed</w:t>
            </w:r>
          </w:p>
        </w:tc>
        <w:tc>
          <w:tcPr>
            <w:tcW w:type="dxa" w:w="1584"/>
          </w:tcPr>
          <w:p>
            <w:pPr>
              <w:keepNext/>
              <w:spacing w:after="0" w:line="240" w:lineRule="auto"/>
              <w:jc w:val="center"/>
            </w:pPr>
            <w:r/>
            <w:r>
              <w:rPr>
                <w:sz w:val="18"/>
              </w:rPr>
              <w:t>−0.007</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2,408</w:t>
            </w:r>
          </w:p>
        </w:tc>
      </w:tr>
      <w:tr>
        <w:trPr>
          <w:cantSplit/>
        </w:trPr>
        <w:tc>
          <w:tcPr>
            <w:tcW w:type="dxa" w:w="3888"/>
          </w:tcPr>
          <w:p>
            <w:pPr>
              <w:keepNext/>
              <w:spacing w:after="0" w:line="240" w:lineRule="auto"/>
            </w:pPr>
            <w:r/>
            <w:r>
              <w:rPr>
                <w:b/>
                <w:sz w:val="18"/>
              </w:rPr>
              <w:t>Firms with any flagged year removed</w:t>
            </w:r>
          </w:p>
        </w:tc>
        <w:tc>
          <w:tcPr>
            <w:tcW w:type="dxa" w:w="1584"/>
          </w:tcPr>
          <w:p>
            <w:pPr>
              <w:keepNext/>
              <w:spacing w:after="0" w:line="240" w:lineRule="auto"/>
              <w:jc w:val="center"/>
            </w:pPr>
            <w:r/>
            <w:r>
              <w:rPr>
                <w:sz w:val="18"/>
              </w:rPr>
              <w:t>−0.008</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2,385</w:t>
            </w:r>
          </w:p>
        </w:tc>
      </w:tr>
      <w:tr>
        <w:trPr>
          <w:cantSplit/>
        </w:trPr>
        <w:tc>
          <w:tcPr>
            <w:tcW w:type="dxa" w:w="3888"/>
          </w:tcPr>
          <w:p>
            <w:pPr>
              <w:keepNext/>
              <w:spacing w:after="0" w:line="240" w:lineRule="auto"/>
            </w:pPr>
            <w:r/>
            <w:r>
              <w:rPr>
                <w:b/>
                <w:sz w:val="18"/>
              </w:rPr>
              <w:t>Firm-years with implied book equity above twice total assets removed</w:t>
            </w:r>
          </w:p>
        </w:tc>
        <w:tc>
          <w:tcPr>
            <w:tcW w:type="dxa" w:w="1584"/>
          </w:tcPr>
          <w:p>
            <w:pPr>
              <w:keepNext/>
              <w:spacing w:after="0" w:line="240" w:lineRule="auto"/>
              <w:jc w:val="center"/>
            </w:pPr>
            <w:r/>
            <w:r>
              <w:rPr>
                <w:sz w:val="18"/>
              </w:rPr>
              <w:t>−0.019</w:t>
            </w:r>
            <w:r>
              <w:br/>
            </w:r>
            <w:r>
              <w:rPr>
                <w:sz w:val="18"/>
              </w:rPr>
              <w:t>(0.023)</w:t>
            </w:r>
          </w:p>
        </w:tc>
        <w:tc>
          <w:tcPr>
            <w:tcW w:type="dxa" w:w="1656"/>
          </w:tcPr>
          <w:p>
            <w:pPr>
              <w:keepNext/>
              <w:spacing w:after="0" w:line="240" w:lineRule="auto"/>
              <w:jc w:val="center"/>
            </w:pPr>
            <w:r/>
            <w:r>
              <w:rPr>
                <w:sz w:val="18"/>
              </w:rPr>
              <w:t>−0.039</w:t>
            </w:r>
            <w:r>
              <w:br/>
            </w:r>
            <w:r>
              <w:rPr>
                <w:sz w:val="18"/>
              </w:rPr>
              <w:t>(0.028)</w:t>
            </w:r>
          </w:p>
        </w:tc>
        <w:tc>
          <w:tcPr>
            <w:tcW w:type="dxa" w:w="1152"/>
          </w:tcPr>
          <w:p>
            <w:pPr>
              <w:keepNext/>
              <w:spacing w:after="0" w:line="240" w:lineRule="auto"/>
              <w:jc w:val="center"/>
            </w:pPr>
            <w:r/>
            <w:r>
              <w:rPr>
                <w:sz w:val="18"/>
              </w:rPr>
              <w:t>597</w:t>
            </w:r>
          </w:p>
        </w:tc>
        <w:tc>
          <w:tcPr>
            <w:tcW w:type="dxa" w:w="1080"/>
          </w:tcPr>
          <w:p>
            <w:pPr>
              <w:keepNext/>
              <w:spacing w:after="0" w:line="240" w:lineRule="auto"/>
              <w:jc w:val="center"/>
            </w:pPr>
            <w:r/>
            <w:r>
              <w:rPr>
                <w:sz w:val="18"/>
              </w:rPr>
              <w:t>2,393</w:t>
            </w:r>
          </w:p>
        </w:tc>
      </w:tr>
      <w:tr>
        <w:trPr>
          <w:cantSplit/>
        </w:trPr>
        <w:tc>
          <w:tcPr>
            <w:tcW w:type="dxa" w:w="3888"/>
            <w:tcBorders>
              <w:bottom w:val="single" w:sz="6" w:color="000000"/>
            </w:tcBorders>
          </w:tcPr>
          <w:p>
            <w:pPr>
              <w:spacing w:after="0" w:line="240" w:lineRule="auto"/>
            </w:pPr>
            <w:r/>
            <w:r>
              <w:rPr>
                <w:b/>
                <w:sz w:val="18"/>
              </w:rPr>
              <w:t>Winsorized within market and year</w:t>
            </w:r>
          </w:p>
        </w:tc>
        <w:tc>
          <w:tcPr>
            <w:tcW w:type="dxa" w:w="1584"/>
            <w:tcBorders>
              <w:bottom w:val="single" w:sz="6" w:color="000000"/>
            </w:tcBorders>
          </w:tcPr>
          <w:p>
            <w:pPr>
              <w:spacing w:after="0" w:line="240" w:lineRule="auto"/>
              <w:jc w:val="center"/>
            </w:pPr>
            <w:r/>
            <w:r>
              <w:rPr>
                <w:sz w:val="18"/>
              </w:rPr>
              <w:t>0.005</w:t>
            </w:r>
            <w:r>
              <w:br/>
            </w:r>
            <w:r>
              <w:rPr>
                <w:sz w:val="18"/>
              </w:rPr>
              <w:t>(0.024)</w:t>
            </w:r>
          </w:p>
        </w:tc>
        <w:tc>
          <w:tcPr>
            <w:tcW w:type="dxa" w:w="1656"/>
            <w:tcBorders>
              <w:bottom w:val="single" w:sz="6" w:color="000000"/>
            </w:tcBorders>
          </w:tcPr>
          <w:p>
            <w:pPr>
              <w:spacing w:after="0" w:line="240" w:lineRule="auto"/>
              <w:jc w:val="center"/>
            </w:pPr>
            <w:r/>
            <w:r>
              <w:rPr>
                <w:sz w:val="18"/>
              </w:rPr>
              <w:t>−0.064**</w:t>
            </w:r>
            <w:r>
              <w:br/>
            </w:r>
            <w:r>
              <w:rPr>
                <w:sz w:val="18"/>
              </w:rPr>
              <w:t>(0.031)</w:t>
            </w:r>
          </w:p>
        </w:tc>
        <w:tc>
          <w:tcPr>
            <w:tcW w:type="dxa" w:w="1152"/>
            <w:tcBorders>
              <w:bottom w:val="single" w:sz="6" w:color="000000"/>
            </w:tcBorders>
          </w:tcPr>
          <w:p>
            <w:pPr>
              <w:spacing w:after="0" w:line="240" w:lineRule="auto"/>
              <w:jc w:val="center"/>
            </w:pPr>
            <w:r/>
            <w:r>
              <w:rPr>
                <w:sz w:val="18"/>
              </w:rPr>
              <w:t>625</w:t>
            </w:r>
          </w:p>
        </w:tc>
        <w:tc>
          <w:tcPr>
            <w:tcW w:type="dxa" w:w="1080"/>
            <w:tcBorders>
              <w:bottom w:val="single" w:sz="6" w:color="000000"/>
            </w:tcBorders>
          </w:tcPr>
          <w:p>
            <w:pPr>
              <w:spacing w:after="0" w:line="240" w:lineRule="auto"/>
              <w:jc w:val="center"/>
            </w:pPr>
            <w:r/>
            <w:r>
              <w:rPr>
                <w:sz w:val="18"/>
              </w:rPr>
              <w:t>2,412</w:t>
            </w:r>
          </w:p>
        </w:tc>
      </w:tr>
    </w:tbl>
    <w:p>
      <w:pPr>
        <w:spacing w:line="240" w:lineRule="auto" w:after="40" w:before="280"/>
        <w:jc w:val="both"/>
      </w:pPr>
      <w:r>
        <w:rPr>
          <w:sz w:val="18"/>
        </w:rPr>
        <w:t>Note: Outcome regression with firm-bootstrap standard errors; flags mark implied book equity above ten times total assets. *, **, ***: 10%, 5%, 1%.</w:t>
      </w:r>
    </w:p>
    <w:p>
      <w:pPr>
        <w:spacing w:line="360" w:lineRule="auto" w:after="120" w:before="0"/>
        <w:ind w:firstLine="720"/>
        <w:jc w:val="both"/>
      </w:pPr>
      <w:r>
        <w:rPr/>
        <w:t>None of the four pre-specified robustness checks shows an MTB effect that differs from zero at the 10% level (estimates from −0.001 to 0.031), while the market capitalization and total assets results are less stable. Excluding one market at a time (Table S9) gives MTB effects from −0.007 to 0.017. The placebo yields 0.059 on log MTB (p = 0.010), restating the pre-coverage growth in Figure 1. The static TWFE regression attributes an increase of 0.064 in log MTB (p = 0.014) to coverage; comparing each cohort with its own base year accounts for about half of the gap to the headline estimate, and conditioning on base-year size for most of the rest (Table S5).</w:t>
      </w:r>
    </w:p>
    <w:p>
      <w:pPr>
        <w:pStyle w:val="Heading2"/>
        <w:keepNext/>
        <w:spacing w:line="360" w:lineRule="auto" w:after="120" w:before="160"/>
      </w:pPr>
      <w:r>
        <w:rPr>
          <w:rFonts w:ascii="Times New Roman" w:hAnsi="Times New Roman" w:eastAsia="Times New Roman"/>
          <w:b/>
          <w:i w:val="0"/>
          <w:color w:val="000000"/>
          <w:sz w:val="24"/>
        </w:rPr>
        <w:t>4.4 Initial Scores and What the Pooled Estimate Represents</w:t>
      </w:r>
    </w:p>
    <w:p>
      <w:pPr>
        <w:spacing w:line="360" w:lineRule="auto" w:after="120" w:before="0"/>
        <w:ind w:firstLine="720"/>
        <w:jc w:val="both"/>
      </w:pPr>
      <w:r>
        <w:rPr/>
        <w:t>The last three rows of Table 3 divide scored firms at the cohort median of their first recorded ESG score. The difference between high- and low-score entrants is −0.041 (standard error 0.040, p = 0.307). Because the score rises with firm size (correlation 0.35 with base-year log total assets), Table S4 repeats the split after purging the score of size, country, and cohort; the difference is then −0.027 (p = 0.491). Neither split shows the sign pattern that the preference channel predicts, but with minimum detectable differences of 0.113 and 0.111, about 12% in the MTB ratio, neither can detect a moderate difference, so the result does not show that ESG preferences are unimportant.</w:t>
      </w:r>
    </w:p>
    <w:p>
      <w:pPr>
        <w:spacing w:line="360" w:lineRule="auto" w:after="120" w:before="0"/>
        <w:ind w:firstLine="720"/>
        <w:jc w:val="both"/>
      </w:pPr>
      <w:r>
        <w:rPr/>
        <w:t>The pooled estimate weights cohorts and event years by the number of scored firms in each cell. Malaysian firms carry 55.2% of the weight in the headline MTB estimate and Thai firms 26.7%, together 81.9%; the Malaysian wave of 2021 and 2022 alone carries 44.1%, and firm-years from 2021 to 2024 carry 87.2% (Table S10). 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 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such as the partly reversed price rise at S&amp;P 500 inclusion (Harris &amp; Gurel, 1986; Shleifer, 1986), our estimates concern lasting revaluation (Chen et al., 2004). A first score also differs from the loss of analyst coverage, which lowers prices (Kelly &amp; Ljungqvist, 2012): we find no comparable valuation response to gaining coverage.</w:t>
      </w:r>
    </w:p>
    <w:p>
      <w:pPr>
        <w:pStyle w:val="Heading1"/>
        <w:keepNext/>
        <w:spacing w:line="360" w:lineRule="auto" w:after="120" w:before="360"/>
      </w:pPr>
      <w:r>
        <w:rPr>
          <w:rFonts w:ascii="Times New Roman" w:hAnsi="Times New Roman" w:eastAsia="Times New Roman"/>
          <w:b/>
          <w:i w:val="0"/>
          <w:color w:val="000000"/>
          <w:sz w:val="26"/>
        </w:rPr>
        <w:t>5. Discussion and Conclusion</w:t>
      </w:r>
    </w:p>
    <w:p>
      <w:pPr>
        <w:spacing w:line="360" w:lineRule="auto" w:after="120" w:before="0"/>
        <w:ind w:firstLine="720"/>
        <w:jc w:val="both"/>
      </w:pPr>
      <w:r>
        <w:rPr/>
        <w:t>The clearest result is an ordering of events: firms entered the scored universe after their MTB ratio and market capitalization had grown faster than those of never-scored firms, and their MTB ratio stopped gaining afterward. The provider may have added firms once they were large and visible enough to matter to its clients, or firms may have become scoreable by reporting, which mandatory disclosure rules make more likely (Krueger et al., 2024), by joining an index, or by issuing equity; the fall in leverage toward the base year fits equity issuance. This finding does not rest on parallel trends or on the dating of publication. Whether coverage then changed valuations depends on the counterfactual trend (Rambachan &amp; Roth, 2023; Roth, 2022): with parallel paths, the data show no detected effect (95% interval −0.046 to 0.048 in log MTB); with a continued run-up, coverage lowered valuations; with a partly transitory run-up, a positive effect could have offset a reversal. With annual data, a provider that chooses whom to score, and recorded scores that may precede publication, a valuation effect of coverage cannot be reliably identified without additional assumptions.</w:t>
      </w:r>
    </w:p>
    <w:p>
      <w:pPr>
        <w:spacing w:line="360" w:lineRule="auto" w:after="120" w:before="0"/>
        <w:ind w:firstLine="720"/>
        <w:jc w:val="both"/>
      </w:pPr>
      <w:r>
        <w:rPr/>
        <w:t>The absence of a detected gain fits the evidence on certification by sustainability indices (Durand et al., 2019; Hawn et al., 2018) and contrasts with the price effects of MSCI rating changes (Berg, Heeb, et al., 2022; Shanaev &amp; Ghimire, 2022). U.S. ESG fund holdings respond to MSCI ratings, not to those of other providers (Berg, Heeb, et al., 2022); ratings that investors see directly, such as Morningstar's fund sustainability ratings, redirect flows (Hartzmark &amp; Sussman, 2019); and because providers disagree about the same firm and the disagreement is priced (Avramov et al., 2022; Christensen et al., 2022; Gibson Brandon et al., 2021), entry into one provider's coverage need not change how investors who rely on other ratings value a firm. Scored firms were also large and visible before coverage, which leaves less room for recognition (Merton, 1987). Unlike U.S. evidence that coverage changes firm conduct and payout (Bikmetova &amp; Pirinsky, 2026; Tsang et al., 2024, 2025), we find no stable change in leverage or total assets. The run-up fits evidence that realized green returns reflect unexpected shifts in ESG demand (Pástor et al., 2022), but without ownership data we cannot tell whether ESG investors bought these firms before or after coverage; since ownership shapes corporate social responsibility performance in the region (Nguyen, 2025) and Thai institutional, foreign, and retail investors trade on different horizons (Sudsawasd &amp; Sakdapat, 2026), ownership and trading data by investor group are the natural next step.</w:t>
      </w:r>
    </w:p>
    <w:p>
      <w:pPr>
        <w:spacing w:line="360" w:lineRule="auto" w:after="120" w:before="0"/>
        <w:ind w:firstLine="720"/>
        <w:jc w:val="both"/>
      </w:pPr>
      <w:r>
        <w:rPr/>
        <w:t>For researchers, comparisons of scored and unscored firms, static TWFE estimates, and backtests built on the first recorded score can attribute selection to the score (Berg et al., 2020; Sahin et al., 2023), so studies of ESG ratings in Southeast Asia should model when firms enter coverage and record the download date of their rating data. For providers, publishing the date on which each firm's coverage began, with the vintages of revised scores, would separate what was known from what was filled in later. For investors, a portfolio screened on ESG scores in these markets holds firms that, on average, entered coverage after outgrowing their peers. For exchanges and regulators, broad expansions such as the Malaysian wave appear to select less on prior growth, and we detect no MTB gain within them (95% interval −0.053 to 0.091); arguments for expanding coverage should therefore rest on grounds other than an expected rise in issuer valuations.</w:t>
      </w:r>
    </w:p>
    <w:p>
      <w:pPr>
        <w:spacing w:line="360" w:lineRule="auto" w:after="120" w:before="0"/>
        <w:ind w:firstLine="720"/>
        <w:jc w:val="both"/>
      </w:pPr>
      <w:r>
        <w:rPr/>
        <w:t>The study has limitations. The post-coverage estimates rest on conditional parallel trends that the pre-coverage estimates question, and our bound is a simplified version of Rambachan and Roth (2023). We observe neither publication dates, returns, ownership, nor index membership, and only LSEG coverage. MTB ratios are missing for 18.5% of never-scored and 9.0% of scored listed firm-years, Malaysian and Thai firms make up 84.3% of scored firms, the sample includes only firms that survived to 2024, and effects smaller than the MDE of 0.067 on log MTB would be detected with less than 80% probability.</w:t>
      </w:r>
    </w:p>
    <w:p>
      <w:pPr>
        <w:spacing w:line="360" w:lineRule="auto" w:after="120" w:before="0"/>
        <w:ind w:firstLine="720"/>
        <w:jc w:val="both"/>
      </w:pPr>
      <w:r>
        <w:rPr/>
        <w:t>In conclusion, entry into LSEG ESG coverage in five Southeast Asian markets was selective. Scored firms were larger than never-scored firms, and on average their market-to-book ratio had grown 10.0% more than that of similar firms from five years to one year before entry, most in the Thai and Singaporean wave of 2019 and 2020 and not detectably in the broad Malaysian wave of 2021 and 2022 (95% interval −7.4% to 15.2%). After entry, the valuation gap stopped widening, but whether coverage itself changed valuations cannot be settled: the answer moves from no detected change to a decline of 6.6% depending on when investors are assumed to have seen the score. Research and investment screens that start from a provider's universe inherit the provider's selection, and point-in-time records of first publication, with ownership and trading data, would allow future work to test whether ESG coverage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t xml:space="preserve">Crump, R. K., Hotz, V. J., Imbens, G. W., &amp; Mitnik, O. A. (2009).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LSEG. (2023). </w:t>
      </w:r>
      <w:r>
        <w:rPr>
          <w:i/>
        </w:rPr>
        <w:t>Refinitiv Data Platform ESG bulk point in time user guide</w:t>
      </w:r>
      <w:r>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t xml:space="preserve">Nguyen, T. T. (2025). Ownership structure and corporate social responsibility: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t xml:space="preserve">Prukumpai, S., Sethapramote, Y., &amp; Luangaram, P. (2022). Political uncertainty and the Thai stock market. </w:t>
      </w:r>
      <w:r>
        <w:rPr>
          <w:i/>
        </w:rPr>
        <w:t>Southeast Asian Journal of Economics</w:t>
      </w:r>
      <w:r>
        <w:rPr/>
        <w:t xml:space="preserve">, </w:t>
      </w:r>
      <w:r>
        <w:rPr>
          <w:i/>
        </w:rPr>
        <w:t>10</w:t>
      </w:r>
      <w:r>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t xml:space="preserve">Sudsawasd, S., &amp; Sakdapat, P. (2026). Transaction costs and stock market behavior: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