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 xml:space="preserve">Most listed firms in Southeast Asia have no environmental, social, and governance (ESG) score, so investors who screen on scores cannot hold them. </w:t>
      </w:r>
      <w:r>
        <w:rPr>
          <w:color w:val="0000FF"/>
        </w:rPr>
        <w:t>We ask which firms enter the London Stock Exchange Group (LSEG) ESG database and what happens to their valuation around entry.</w:t>
      </w:r>
      <w:r>
        <w:rPr/>
        <w:t xml:space="preserve"> </w:t>
      </w:r>
      <w:r>
        <w:rPr>
          <w:color w:val="0000FF"/>
        </w:rPr>
        <w:t>We follow 675 non-financial firms in Indonesia, Malaysia, the Philippines, Singapore, and Thailand that received a first recorded score and compare them with 2,613 never-scored firms.</w:t>
      </w:r>
      <w:r>
        <w:rPr/>
        <w:t xml:space="preserve"> </w:t>
      </w:r>
      <w:r>
        <w:rPr>
          <w:color w:val="0000FF"/>
        </w:rPr>
        <w:t>Entry is selective.</w:t>
      </w:r>
      <w:r>
        <w:rPr/>
        <w:t xml:space="preserve"> </w:t>
      </w:r>
      <w:r>
        <w:rPr>
          <w:color w:val="0000FF"/>
        </w:rPr>
        <w:t>Scored firms are larger, and on average their market-to-book ratio had grown 10.0% faster than that of similar firms before the first recorded score, a run-up absent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color w:val="0000FF"/>
        </w:rPr>
        <w:t>Selection, Southeast Asia,</w:t>
      </w:r>
      <w:r>
        <w:rPr/>
        <w:t xml:space="preserve"> Sustainable finance</w:t>
      </w:r>
    </w:p>
    <w:p>
      <w:pPr>
        <w:spacing w:line="360" w:lineRule="auto" w:after="120" w:before="0"/>
      </w:pPr>
      <w:r>
        <w:rPr>
          <w:b/>
          <w:color w:val="0000FF"/>
        </w:rPr>
        <w:t>JEL Classification:</w:t>
      </w:r>
      <w:r>
        <w:rPr/>
        <w:t xml:space="preserve"> </w:t>
      </w:r>
      <w:r>
        <w:rPr>
          <w:color w:val="0000FF"/>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color w:val="0000FF"/>
        </w:rPr>
        <w:t>, and much of the academic evidence on ESG ratings uses LSEG data</w:t>
      </w:r>
      <w:r>
        <w:rPr/>
        <w:t xml:space="preserve"> (Berg, Kölbel, et al., 2022; Dobrick et al., 2023). </w:t>
      </w:r>
      <w:r>
        <w:rPr>
          <w:color w:val="0000FF"/>
        </w:rPr>
        <w:t>This paper asks two questions: which firms enter the scored universe, and what happens to their market valuation around entry?</w:t>
      </w:r>
    </w:p>
    <w:p>
      <w:pPr>
        <w:spacing w:line="360" w:lineRule="auto" w:after="120" w:before="0"/>
        <w:ind w:firstLine="720"/>
        <w:jc w:val="both"/>
      </w:pPr>
      <w:r>
        <w:rPr>
          <w:color w:val="0000FF"/>
        </w:rPr>
        <w:t xml:space="preserve">The economic intuition runs as follows. </w:t>
      </w: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w:t>
      </w:r>
      <w:r>
        <w:rPr/>
        <w:t xml:space="preserve"> Pedersen et al., 2021). </w:t>
      </w:r>
      <w:r>
        <w:rPr>
          <w:color w:val="0000FF"/>
        </w:rPr>
        <w:t>A provider, however, is likely to add a firm once it is large, liquid, and discloses enough to be scored, and its scores rise with firm size (Dobrick et al., 2023;</w:t>
      </w:r>
      <w:r>
        <w:rPr/>
        <w:t xml:space="preserve"> Drempetic et al., 2020). </w:t>
      </w:r>
      <w:r>
        <w:rPr>
          <w:color w:val="0000FF"/>
        </w:rPr>
        <w:t>If firms enter after a period of rising value, a comparison of scored and unscored firms credits the score with growth that came before it.</w:t>
      </w:r>
      <w:r>
        <w:rPr/>
        <w:t xml:space="preserve"> The paper asks how far the data can separate the effect of being scored from the selection of who is scored.</w:t>
      </w:r>
    </w:p>
    <w:p>
      <w:pPr>
        <w:spacing w:line="360" w:lineRule="auto" w:after="120" w:before="0"/>
        <w:ind w:firstLine="720"/>
        <w:jc w:val="both"/>
      </w:pPr>
      <w:r>
        <w:rPr/>
        <w:t>U.S. studies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that entered LSEG coverage between 2015 and 2024, 577 did so in 2020 to 2023, and 289 were Malaysian firms first scored in 2021 or 2022.</w:t>
      </w:r>
      <w:r>
        <w:rPr/>
        <w:t xml:space="preserve"> We compare these firms with 2,613 never-scored firms before and after each firm's </w:t>
      </w:r>
      <w:r>
        <w:rPr>
          <w:color w:val="0000FF"/>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color w:val="0000FF"/>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color w:val="0000FF"/>
        </w:rPr>
        <w:t xml:space="preserve">The evidence has three parts. </w:t>
      </w:r>
      <w:r>
        <w:rPr>
          <w:color w:val="0000FF"/>
        </w:rPr>
        <w:t>First, entry is selective.</w:t>
      </w:r>
      <w:r>
        <w:rPr/>
        <w:t xml:space="preserve"> Scored firms are larger, and they had outgrown never-scored firms of similar size, country, and industry before their first recorded score (Figure 1).</w:t>
      </w:r>
      <w:r>
        <w:rPr/>
        <w:t xml:space="preserve"> From five years before the first </w:t>
      </w:r>
      <w:r>
        <w:rPr>
          <w:color w:val="0000FF"/>
        </w:rPr>
        <w:t>recorded</w:t>
      </w:r>
      <w:r>
        <w:rPr/>
        <w:t xml:space="preserve"> score to the base year (the year before it), their market capitalization grew 14.1% more (95% interval 3.1% to 25.3%) and their market-to-book (MTB) ratio 10.0% more (1.9% to 18.2%). </w:t>
      </w:r>
      <w:r>
        <w:rPr>
          <w:color w:val="0000FF"/>
        </w:rPr>
        <w:t>The run-up is large in the 108 Thai and Singaporean firms first scored in 2019 and 2020 and absent in the 289 Malaysian firms first scored in 2021 and 2022, the largest wave in the data (Figure 2).</w:t>
      </w:r>
    </w:p>
    <w:p>
      <w:pPr>
        <w:keepNext/>
        <w:spacing w:line="240" w:lineRule="auto" w:after="120" w:before="240"/>
        <w:jc w:val="center"/>
      </w:pPr>
      <w:r>
        <w:rPr>
          <w:sz w:val="22"/>
        </w:rPr>
        <w:t xml:space="preserve">Figure 1. Event-time effects of the first </w:t>
      </w:r>
      <w:r>
        <w:rPr>
          <w:color w:val="0000FF"/>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572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5720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relative to event year −1, with bootstrap 95% intervals; open markers are pre-coverage years.</w:t>
      </w:r>
      <w:r>
        <w:rPr>
          <w:sz w:val="18"/>
        </w:rPr>
        <w:t xml:space="preserve"> </w:t>
      </w:r>
      <w:r>
        <w:rPr>
          <w:color w:val="0000FF"/>
          <w:sz w:val="18"/>
        </w:rPr>
        <w:t>Event year 4 is excluded from Eq.</w:t>
      </w:r>
      <w:r>
        <w:rPr>
          <w:sz w:val="18"/>
        </w:rPr>
        <w:t xml:space="preserve"> (6).</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48640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4864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by wave against all never-scored firms, with bootstrap 95% intervals.</w:t>
      </w:r>
      <w:r>
        <w:rPr>
          <w:sz w:val="18"/>
        </w:rPr>
        <w:t xml:space="preserve"> Other cohorts are firms first scored outside the two waves.</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Second, after entry the MTB gap stops widening, but the data do not pin down a causal effect of coverage. </w:t>
      </w:r>
      <w:r>
        <w:rPr>
          <w:color w:val="0000FF"/>
        </w:rPr>
        <w:t>Under parallel trends from the base year, the average change in log MTB over the first four years is 0.002 (95% interval −0.046 to 0.048).</w:t>
      </w:r>
      <w:r>
        <w:rPr/>
        <w:t xml:space="preserve"> </w:t>
      </w:r>
      <w:r>
        <w:rPr>
          <w:color w:val="0000FF"/>
        </w:rPr>
        <w:t>Dated one year later, when a score could first have been public, the change is −6.6%.</w:t>
      </w:r>
      <w:r>
        <w:rPr/>
        <w:t xml:space="preserve"> </w:t>
      </w:r>
      <w:r>
        <w:rPr>
          <w:color w:val="0000FF"/>
        </w:rPr>
        <w:t>Section 5.4 shows that most of this difference arises because the later dating measures valuations from the first recorded year, at the top of the run-up, and that the decline appears only in the waves that had a run-up.</w:t>
      </w:r>
      <w:r>
        <w:rPr/>
        <w:t xml:space="preserve">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color w:val="0000FF"/>
        </w:rPr>
        <w:t xml:space="preserve">The paper makes three contributions. </w:t>
      </w:r>
      <w:r>
        <w:rPr>
          <w:color w:val="0000FF"/>
        </w:rPr>
        <w:t>First, it documents selection into ESG rating coverage in Southeast Asian markets and adds valuation to the rating-coverage literature (Bikmetova &amp; Pirinsky, 2026;</w:t>
      </w:r>
      <w:r>
        <w:rPr/>
        <w:t xml:space="preserve"> </w:t>
      </w:r>
      <w:r>
        <w:rPr>
          <w:color w:val="0000FF"/>
        </w:rPr>
        <w:t>Tsang et al., 2024, 2025): outside its largest wave, one provider scored firms that had just outgrown their peers.</w:t>
      </w:r>
      <w:r>
        <w:rPr/>
        <w:t xml:space="preserve"> </w:t>
      </w:r>
      <w:r>
        <w:rPr>
          <w:color w:val="0000FF"/>
        </w:rPr>
        <w:t>Second, it shows why the valuation effect of coverage is hard to identify: entry follows growth and the recorded first score may precede publication, so the estimates depend on dating and on trend assumptions.</w:t>
      </w:r>
      <w:r>
        <w:rPr/>
        <w:t xml:space="preserve"> </w:t>
      </w:r>
      <w:r>
        <w:rPr>
          <w:color w:val="0000FF"/>
        </w:rPr>
        <w:t>None of the main specifications detects a gain, but the bounds do not exclude one.</w:t>
      </w:r>
      <w:r>
        <w:rPr/>
        <w:t xml:space="preserve"> Third, it warns that comparisons of scored and unscored firms, and regressions that pool all years around entry, can attribute selection to the score.</w:t>
      </w:r>
    </w:p>
    <w:p>
      <w:pPr>
        <w:spacing w:line="360" w:lineRule="auto" w:after="120" w:before="0"/>
        <w:ind w:firstLine="720"/>
        <w:jc w:val="both"/>
      </w:pPr>
      <w:r>
        <w:rPr>
          <w:color w:val="0000FF"/>
        </w:rPr>
        <w:t xml:space="preserve">Section 2 sets out the channels through which a score could change value and the selection that can mimic them. </w:t>
      </w:r>
      <w:r>
        <w:rPr>
          <w:color w:val="0000FF"/>
        </w:rPr>
        <w:t>Section 3 describes the markets, the data, and what the first recorded score does and does not date.</w:t>
      </w:r>
      <w:r>
        <w:rPr/>
        <w:t xml:space="preserve"> </w:t>
      </w:r>
      <w:r>
        <w:rPr>
          <w:color w:val="0000FF"/>
        </w:rPr>
        <w:t>Section 4 presents the estimator and its identifying assumption.</w:t>
      </w:r>
      <w:r>
        <w:rPr/>
        <w:t xml:space="preserve"> </w:t>
      </w:r>
      <w:r>
        <w:rPr>
          <w:color w:val="0000FF"/>
        </w:rPr>
        <w:t>Section 5 reports who gets scored, the valuation path around entry, and the checks that the timing and the sample raise.</w:t>
      </w:r>
      <w:r>
        <w:rPr/>
        <w:t xml:space="preserv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color w:val="0000FF"/>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color w:val="0000FF"/>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color w:val="0000FF"/>
        </w:rPr>
        <w:t>a difference would point toward it; the absence of a difference cannot rule it out (Section 5.9).</w:t>
      </w:r>
    </w:p>
    <w:p>
      <w:pPr>
        <w:spacing w:line="360" w:lineRule="auto" w:after="120" w:before="0"/>
        <w:ind w:firstLine="720"/>
        <w:jc w:val="both"/>
      </w:pPr>
      <w:r>
        <w:rPr>
          <w:color w:val="0000FF"/>
        </w:rPr>
        <w:t xml:space="preserve">The two channels motivate these predictions, but our data cannot observe them. </w:t>
      </w:r>
      <w:r>
        <w:rPr>
          <w:color w:val="0000FF"/>
        </w:rPr>
        <w:t>They contain no ownership, fund holdings, trading activity, or investor participation, so we cannot tell whether a missing valuation response reflects weak recognition, weak demand for ESG-rated firms, or something else.</w:t>
      </w:r>
      <w:r>
        <w:rPr/>
        <w:t xml:space="preserve"> </w:t>
      </w:r>
      <w:r>
        <w:rPr>
          <w:color w:val="0000FF"/>
        </w:rPr>
        <w:t>What the data can evaluate is narrower: whether entry follows relative growth, how the valuation gap evolves around entry, and whether that path differs with the initial score.</w:t>
      </w:r>
      <w:r>
        <w:rPr/>
        <w:t xml:space="preserv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color w:val="0000FF"/>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color w:val="0000FF"/>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 xml:space="preserve">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color w:val="0000FF"/>
        </w:rPr>
        <w:t>recorded</w:t>
      </w:r>
      <w:r>
        <w:rPr/>
        <w:t xml:space="preserve"> scores can precede publication (Section </w:t>
      </w:r>
      <w:r>
        <w:rPr>
          <w:color w:val="0000FF"/>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color w:val="0000FF"/>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FF"/>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color w:val="0000FF"/>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color w:val="0000FF"/>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color w:val="0000FF"/>
        </w:rPr>
        <w:t>; Section 5.7 examines whether these gaps change the comparison</w:t>
      </w:r>
      <w:r>
        <w:rPr/>
        <w:t xml:space="preserve">. Never-scored firms are smaller on average; </w:t>
      </w:r>
      <w:r>
        <w:rPr>
          <w:color w:val="0000FF"/>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FF"/>
          <w:sz w:val="24"/>
        </w:rPr>
        <w:t>3.3 What the first recorded score dates</w:t>
      </w:r>
    </w:p>
    <w:p>
      <w:pPr>
        <w:spacing w:line="360" w:lineRule="auto" w:after="120" w:before="0"/>
        <w:ind w:firstLine="720"/>
        <w:jc w:val="both"/>
      </w:pPr>
      <w:r>
        <w:rPr>
          <w:color w:val="0000FF"/>
        </w:rPr>
        <w:t xml:space="preserve">The event in this paper is the first recorded score: the first fiscal year for which our extract of the LSEG database holds a score. </w:t>
      </w:r>
      <w:r>
        <w:rPr>
          <w:color w:val="0000FF"/>
        </w:rPr>
        <w:t>It is not the date on which investors could first see the score.</w:t>
      </w:r>
      <w:r>
        <w:rPr/>
        <w:t xml:space="preserv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color w:val="0000FF"/>
        </w:rPr>
        <w:t>recorded score</w:t>
      </w:r>
      <w:r>
        <w:rPr/>
        <w:t xml:space="preserve"> may precede the year in which investors first see a score </w:t>
      </w:r>
      <w:r>
        <w:rPr>
          <w:color w:val="0000FF"/>
        </w:rPr>
        <w:t>for three reasons</w:t>
      </w:r>
      <w:r>
        <w:rPr/>
        <w:t xml:space="preserve">. First, the score for fiscal year g draws on reports published after </w:t>
      </w:r>
      <w:r>
        <w:rPr>
          <w:color w:val="0000FF"/>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color w:val="0000FF"/>
        </w:rPr>
        <w:t>. Third,</w:t>
      </w:r>
      <w:r>
        <w:rPr/>
        <w:t xml:space="preserve"> if the provider backfilled a firm's history at entry, the gap exceeds one year. </w:t>
      </w:r>
      <w:r>
        <w:rPr>
          <w:color w:val="0000FF"/>
        </w:rPr>
        <w:t>Publication therefore follows the end of fiscal year g, so the first recorded score dates entry too early, never too late.</w:t>
      </w:r>
    </w:p>
    <w:p>
      <w:pPr>
        <w:spacing w:line="360" w:lineRule="auto" w:after="120" w:before="0"/>
        <w:ind w:firstLine="720"/>
        <w:jc w:val="both"/>
      </w:pPr>
      <w:r>
        <w:rPr>
          <w:color w:val="0000FF"/>
        </w:rPr>
        <w:t xml:space="preserve">We could not recover the publication dates. </w:t>
      </w:r>
      <w:r>
        <w:rPr>
          <w:color w:val="0000FF"/>
        </w:rPr>
        <w:t>Our extract contains each score by fiscal year, with no publication or update date, and the scores it holds are the ones in the database at download, after any revision.</w:t>
      </w:r>
      <w:r>
        <w:rPr/>
        <w:t xml:space="preserve"> </w:t>
      </w:r>
      <w:r>
        <w:rPr>
          <w:color w:val="0000FF"/>
        </w:rPr>
        <w:t>We found no public archive of the provider's coverage lists for these markets, and the provider's methodology documents describe how scores are updated, not when each firm entered.</w:t>
      </w:r>
      <w:r>
        <w:rPr/>
        <w:t xml:space="preserve"> </w:t>
      </w:r>
      <w:r>
        <w:rPr>
          <w:color w:val="0000FF"/>
        </w:rPr>
        <w:t>LSEG also distributes a point-in-time version of its ESG data that keeps values as they were published (LSEG, n.d.),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We report the valuation path with coverage dated at g, at g + 1, and at g + 2, and we draw conclusions only where they hold across these datings.</w:t>
      </w:r>
    </w:p>
    <w:p>
      <w:pPr>
        <w:spacing w:line="360" w:lineRule="auto" w:after="120" w:before="0"/>
        <w:ind w:firstLine="720"/>
        <w:jc w:val="both"/>
      </w:pPr>
      <w:r>
        <w:rPr>
          <w:color w:val="0000FF"/>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FF"/>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color w:val="0000FF"/>
        </w:rPr>
        <w:t xml:space="preserve">A few market capitalization records are implausibly large; one Indonesian firm is recorded at 1,138.8 billion U.S. dollars. </w:t>
      </w:r>
      <w:r>
        <w:rPr>
          <w:color w:val="0000FF"/>
        </w:rPr>
        <w:t>We identify such records with an internal-consistency rule.</w:t>
      </w:r>
      <w:r>
        <w:rPr/>
        <w:t xml:space="preserve"> </w:t>
      </w:r>
      <w:r>
        <w:rPr>
          <w:color w:val="0000FF"/>
        </w:rPr>
        <w:t>Market capitalization divided by the MTB ratio gives the implied book equity, which cannot exceed total assets.</w:t>
      </w:r>
      <w:r>
        <w:rPr/>
        <w:t xml:space="preserve"> </w:t>
      </w:r>
      <w:r>
        <w:rPr>
          <w:color w:val="0000FF"/>
        </w:rPr>
        <w:t>Ratios slightly above one can arise when the two are measured on different dates, so we flag firm-years in which the implied book equity exceeds ten times total assets, an error of an order of magnitude.</w:t>
      </w:r>
      <w:r>
        <w:rPr/>
        <w:t xml:space="preserve"> </w:t>
      </w:r>
      <w:r>
        <w:rPr>
          <w:color w:val="0000FF"/>
        </w:rPr>
        <w:t>The rule flags 209 of 27,127 firm-years (0.77%), 73 of them for scored firms.</w:t>
      </w:r>
      <w:r>
        <w:rPr/>
        <w:t xml:space="preserve">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color w:val="0000FF"/>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color w:val="0000FF"/>
          <w:sz w:val="18"/>
        </w:rPr>
        <w:t>Scored firms in the base year g − 1; never-scored firms over 2014 to 2024. Norm. diff. is the mean difference over the root of the average variance.</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Assumption (2) asks that, after the base year, scored firms would have followed the valuation path of never-scored firms of the same size, market, and industry had they not been scored. </w:t>
      </w:r>
      <w:r>
        <w:rPr>
          <w:color w:val="0000FF"/>
        </w:rPr>
        <w:t>Section 5.2 shows that the pooled sample violates the analogous condition before the base year, so the pre-coverage estimates cannot be used to defend it.</w:t>
      </w:r>
      <w:r>
        <w:rPr/>
        <w:t xml:space="preserve"> </w:t>
      </w:r>
      <w:r>
        <w:rPr>
          <w:color w:val="0000FF"/>
        </w:rPr>
        <w:t>Two arguments make it plausible in parts of the sample, and one argues against it.</w:t>
      </w:r>
      <w:r>
        <w:rPr/>
        <w:t xml:space="preserve"> </w:t>
      </w:r>
      <w:r>
        <w:rPr>
          <w:color w:val="0000FF"/>
        </w:rPr>
        <w:t>First, in the large Malaysian wave the pre-coverage path is flat, so for these firms the assumption asks only that a flat relative path stays flat.</w:t>
      </w:r>
      <w:r>
        <w:rPr/>
        <w:t xml:space="preserve"> </w:t>
      </w:r>
      <w:r>
        <w:rPr>
          <w:color w:val="0000FF"/>
        </w:rPr>
        <w:t>Second, if the provider adds firms once they cross a size or visibility threshold, relative growth stops being a reason for selection once the threshold is crossed, and conditioning on base-year size compares firms on the same side of it.</w:t>
      </w:r>
      <w:r>
        <w:rPr/>
        <w:t xml:space="preserve"> </w:t>
      </w:r>
      <w:r>
        <w:rPr>
          <w:color w:val="0000FF"/>
        </w:rPr>
        <w:t>Against it, if part of the run-up was transitory, scored firms would have fallen back toward never-scored firms even without a score, and the estimates would understate any effect of coverage.</w:t>
      </w:r>
      <w:r>
        <w:rPr/>
        <w:t xml:space="preserv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 xml:space="preserve">Outcome regression does not remove this support problem; it extrapolates the relation estimated among controls to scored firms larger than most controls. </w:t>
      </w:r>
      <w:r>
        <w:rPr>
          <w:color w:val="0000FF"/>
        </w:rPr>
        <w:t>Section 5.6 therefore restricts scored firms to the size range of the controls, where the doubly robust estimator becomes usable (Crump et al., 2009;</w:t>
      </w:r>
      <w:r>
        <w:rPr/>
        <w:t xml:space="preserve">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color w:val="0000FF"/>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 xml:space="preserve">The design involves three choices. </w:t>
      </w:r>
      <w:r>
        <w:rPr>
          <w:color w:val="0000FF"/>
        </w:rPr>
        <w:t>First, baseline controls are never-scored firms; later-scored firms join them only in check R1.</w:t>
      </w:r>
      <w:r>
        <w:rPr/>
        <w:t xml:space="preserve">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color w:val="0000FF"/>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color w:val="0000FF"/>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color w:val="0000FF"/>
          <w:sz w:val="18"/>
        </w:rPr>
        <w:t xml:space="preserve">Eq. </w:t>
      </w:r>
      <w:r>
        <w:rPr>
          <w:color w:val="0000FF"/>
          <w:sz w:val="18"/>
        </w:rPr>
        <w:t>(6) with bootstrap standard errors and unadjusted 95% confidence intervals (CI); secondary p-values are Holm-adjusted.</w:t>
      </w:r>
      <w:r>
        <w:rPr>
          <w:sz w:val="18"/>
        </w:rPr>
        <w:t xml:space="preserve"> </w:t>
      </w:r>
      <w:r>
        <w:rPr>
          <w:color w:val="0000FF"/>
          <w:sz w:val="18"/>
        </w:rPr>
        <w:t>MDE is the 80%-power minimum detectable effect; pre-trend p tests Eq.</w:t>
      </w:r>
      <w:r>
        <w:rPr>
          <w:sz w:val="18"/>
        </w:rPr>
        <w:t xml:space="preserve"> (8).</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color w:val="0000FF"/>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color w:val="0000FF"/>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color w:val="0000FF"/>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656"/>
            <w:tcBorders>
              <w:top w:val="single" w:sz="6" w:color="000000"/>
              <w:bottom w:val="single" w:sz="6" w:color="000000"/>
            </w:tcBorders>
          </w:tcPr>
          <w:p>
            <w:pPr>
              <w:keepNext/>
              <w:spacing w:after="0" w:line="240" w:lineRule="auto"/>
              <w:jc w:val="center"/>
            </w:pPr>
            <w:r/>
            <w:r>
              <w:rPr>
                <w:b/>
                <w:sz w:val="18"/>
              </w:rPr>
              <w:t>Leverage (ratio)</w:t>
            </w:r>
          </w:p>
        </w:tc>
        <w:tc>
          <w:tcPr>
            <w:tcW w:type="dxa" w:w="1656"/>
            <w:tcBorders>
              <w:top w:val="single" w:sz="6" w:color="000000"/>
              <w:bottom w:val="single" w:sz="6" w:color="000000"/>
            </w:tcBorders>
          </w:tcPr>
          <w:p>
            <w:pPr>
              <w:keepNext/>
              <w:spacing w:after="0" w:line="240" w:lineRule="auto"/>
              <w:jc w:val="center"/>
            </w:pPr>
            <w:r/>
            <w:r>
              <w:rPr>
                <w:b/>
                <w:sz w:val="18"/>
              </w:rPr>
              <w:t>ln(assets)</w:t>
            </w:r>
          </w:p>
        </w:tc>
      </w:tr>
      <w:tr>
        <w:trPr>
          <w:cantSplit/>
        </w:trPr>
        <w:tc>
          <w:tcPr>
            <w:tcW w:type="dxa" w:w="2736"/>
          </w:tcPr>
          <w:p>
            <w:pPr>
              <w:keepNext/>
              <w:spacing w:after="0" w:line="240" w:lineRule="auto"/>
            </w:pPr>
            <w:r/>
            <w:r>
              <w:rPr>
                <w:sz w:val="18"/>
              </w:rPr>
              <w:t>Baseline</w:t>
            </w:r>
          </w:p>
        </w:tc>
        <w:tc>
          <w:tcPr>
            <w:tcW w:type="dxa" w:w="1656"/>
          </w:tcPr>
          <w:p>
            <w:pPr>
              <w:keepNext/>
              <w:spacing w:after="0" w:line="240" w:lineRule="auto"/>
              <w:jc w:val="center"/>
            </w:pPr>
            <w:r/>
            <w:r>
              <w:rPr>
                <w:sz w:val="18"/>
              </w:rPr>
              <w:t>0.002 (0.024)</w:t>
            </w:r>
          </w:p>
        </w:tc>
        <w:tc>
          <w:tcPr>
            <w:tcW w:type="dxa" w:w="1656"/>
          </w:tcPr>
          <w:p>
            <w:pPr>
              <w:keepNext/>
              <w:spacing w:after="0" w:line="240" w:lineRule="auto"/>
              <w:jc w:val="center"/>
            </w:pPr>
            <w:r/>
            <w:r>
              <w:rPr>
                <w:sz w:val="18"/>
              </w:rPr>
              <w:t>−0.055* (0.030)</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0.044** (0.018)</w:t>
            </w:r>
          </w:p>
        </w:tc>
      </w:tr>
      <w:tr>
        <w:trPr>
          <w:cantSplit/>
        </w:trPr>
        <w:tc>
          <w:tcPr>
            <w:tcW w:type="dxa" w:w="2736"/>
          </w:tcPr>
          <w:p>
            <w:pPr>
              <w:keepNext/>
              <w:spacing w:after="0" w:line="240" w:lineRule="auto"/>
            </w:pPr>
            <w:r/>
            <w:r>
              <w:rPr>
                <w:sz w:val="18"/>
              </w:rPr>
              <w:t>R1 Not-yet-scored in controls</w:t>
            </w:r>
          </w:p>
        </w:tc>
        <w:tc>
          <w:tcPr>
            <w:tcW w:type="dxa" w:w="1656"/>
          </w:tcPr>
          <w:p>
            <w:pPr>
              <w:keepNext/>
              <w:spacing w:after="0" w:line="240" w:lineRule="auto"/>
              <w:jc w:val="center"/>
            </w:pPr>
            <w:r/>
            <w:r>
              <w:rPr>
                <w:sz w:val="18"/>
              </w:rPr>
              <w:t>−0.001 (0.024)</w:t>
            </w:r>
          </w:p>
        </w:tc>
        <w:tc>
          <w:tcPr>
            <w:tcW w:type="dxa" w:w="1656"/>
          </w:tcPr>
          <w:p>
            <w:pPr>
              <w:keepNext/>
              <w:spacing w:after="0" w:line="240" w:lineRule="auto"/>
              <w:jc w:val="center"/>
            </w:pPr>
            <w:r/>
            <w:r>
              <w:rPr>
                <w:sz w:val="18"/>
              </w:rPr>
              <w:t>−0.053* (0.029)</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0.040** (0.017)</w:t>
            </w:r>
          </w:p>
        </w:tc>
      </w:tr>
      <w:tr>
        <w:trPr>
          <w:cantSplit/>
        </w:trPr>
        <w:tc>
          <w:tcPr>
            <w:tcW w:type="dxa" w:w="2736"/>
          </w:tcPr>
          <w:p>
            <w:pPr>
              <w:keepNext/>
              <w:spacing w:after="0" w:line="240" w:lineRule="auto"/>
            </w:pPr>
            <w:r/>
            <w:r>
              <w:rPr>
                <w:sz w:val="18"/>
              </w:rPr>
              <w:t>R2 No covariates</w:t>
            </w:r>
          </w:p>
        </w:tc>
        <w:tc>
          <w:tcPr>
            <w:tcW w:type="dxa" w:w="1656"/>
          </w:tcPr>
          <w:p>
            <w:pPr>
              <w:keepNext/>
              <w:spacing w:after="0" w:line="240" w:lineRule="auto"/>
              <w:jc w:val="center"/>
            </w:pPr>
            <w:r/>
            <w:r>
              <w:rPr>
                <w:sz w:val="18"/>
              </w:rPr>
              <w:t>0.025 (0.022)</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0.012*** (0.004)</w:t>
            </w:r>
          </w:p>
        </w:tc>
        <w:tc>
          <w:tcPr>
            <w:tcW w:type="dxa" w:w="1656"/>
          </w:tcPr>
          <w:p>
            <w:pPr>
              <w:keepNext/>
              <w:spacing w:after="0" w:line="240" w:lineRule="auto"/>
              <w:jc w:val="center"/>
            </w:pPr>
            <w:r/>
            <w:r>
              <w:rPr>
                <w:sz w:val="18"/>
              </w:rPr>
              <w:t>0.011 (0.015)</w:t>
            </w:r>
          </w:p>
        </w:tc>
      </w:tr>
      <w:tr>
        <w:trPr>
          <w:cantSplit/>
        </w:trPr>
        <w:tc>
          <w:tcPr>
            <w:tcW w:type="dxa" w:w="2736"/>
          </w:tcPr>
          <w:p>
            <w:pPr>
              <w:keepNext/>
              <w:spacing w:after="0" w:line="240" w:lineRule="auto"/>
            </w:pPr>
            <w:r/>
            <w:r>
              <w:rPr>
                <w:sz w:val="18"/>
              </w:rPr>
              <w:t>R3 No 2020–2021 cohorts</w:t>
            </w:r>
          </w:p>
        </w:tc>
        <w:tc>
          <w:tcPr>
            <w:tcW w:type="dxa" w:w="1656"/>
          </w:tcPr>
          <w:p>
            <w:pPr>
              <w:keepNext/>
              <w:spacing w:after="0" w:line="240" w:lineRule="auto"/>
              <w:jc w:val="center"/>
            </w:pPr>
            <w:r/>
            <w:r>
              <w:rPr>
                <w:sz w:val="18"/>
              </w:rPr>
              <w:t>0.031 (0.027)</w:t>
            </w:r>
          </w:p>
        </w:tc>
        <w:tc>
          <w:tcPr>
            <w:tcW w:type="dxa" w:w="1656"/>
          </w:tcPr>
          <w:p>
            <w:pPr>
              <w:keepNext/>
              <w:spacing w:after="0" w:line="240" w:lineRule="auto"/>
              <w:jc w:val="center"/>
            </w:pPr>
            <w:r/>
            <w:r>
              <w:rPr>
                <w:sz w:val="18"/>
              </w:rPr>
              <w:t>−0.029 (0.036)</w:t>
            </w:r>
          </w:p>
        </w:tc>
        <w:tc>
          <w:tcPr>
            <w:tcW w:type="dxa" w:w="1656"/>
          </w:tcPr>
          <w:p>
            <w:pPr>
              <w:keepNext/>
              <w:spacing w:after="0" w:line="240" w:lineRule="auto"/>
              <w:jc w:val="center"/>
            </w:pPr>
            <w:r/>
            <w:r>
              <w:rPr>
                <w:sz w:val="18"/>
              </w:rPr>
              <w:t>0.004 (0.005)</w:t>
            </w:r>
          </w:p>
        </w:tc>
        <w:tc>
          <w:tcPr>
            <w:tcW w:type="dxa" w:w="1656"/>
          </w:tcPr>
          <w:p>
            <w:pPr>
              <w:keepNext/>
              <w:spacing w:after="0" w:line="240" w:lineRule="auto"/>
              <w:jc w:val="center"/>
            </w:pPr>
            <w:r/>
            <w:r>
              <w:rPr>
                <w:sz w:val="18"/>
              </w:rPr>
              <w:t>0.020 (0.019)</w:t>
            </w:r>
          </w:p>
        </w:tc>
      </w:tr>
      <w:tr>
        <w:trPr>
          <w:cantSplit/>
        </w:trPr>
        <w:tc>
          <w:tcPr>
            <w:tcW w:type="dxa" w:w="2736"/>
          </w:tcPr>
          <w:p>
            <w:pPr>
              <w:keepNext/>
              <w:spacing w:after="0" w:line="240" w:lineRule="auto"/>
            </w:pPr>
            <w:r/>
            <w:r>
              <w:rPr>
                <w:sz w:val="18"/>
              </w:rPr>
              <w:t>R4 Size-trimmed controls</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−0.007 (0.031)</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0.101*** (0.017)</w:t>
            </w:r>
          </w:p>
        </w:tc>
      </w:tr>
      <w:tr>
        <w:trPr>
          <w:cantSplit/>
        </w:trPr>
        <w:tc>
          <w:tcPr>
            <w:tcW w:type="dxa" w:w="2736"/>
          </w:tcPr>
          <w:p>
            <w:pPr>
              <w:keepNext/>
              <w:spacing w:after="0" w:line="240" w:lineRule="auto"/>
            </w:pPr>
            <w:r/>
            <w:r>
              <w:rPr>
                <w:sz w:val="18"/>
              </w:rPr>
              <w:t>R5 Placebo, 3 years early</w:t>
            </w:r>
          </w:p>
        </w:tc>
        <w:tc>
          <w:tcPr>
            <w:tcW w:type="dxa" w:w="1656"/>
          </w:tcPr>
          <w:p>
            <w:pPr>
              <w:keepNext/>
              <w:spacing w:after="0" w:line="240" w:lineRule="auto"/>
              <w:jc w:val="center"/>
            </w:pPr>
            <w:r/>
            <w:r>
              <w:rPr>
                <w:sz w:val="18"/>
              </w:rPr>
              <w:t>0.059*** (0.023)</w:t>
            </w:r>
          </w:p>
        </w:tc>
        <w:tc>
          <w:tcPr>
            <w:tcW w:type="dxa" w:w="1656"/>
          </w:tcPr>
          <w:p>
            <w:pPr>
              <w:keepNext/>
              <w:spacing w:after="0" w:line="240" w:lineRule="auto"/>
              <w:jc w:val="center"/>
            </w:pPr>
            <w:r/>
            <w:r>
              <w:rPr>
                <w:sz w:val="18"/>
              </w:rPr>
              <w:t>0.134*** (0.028)</w:t>
            </w:r>
          </w:p>
        </w:tc>
        <w:tc>
          <w:tcPr>
            <w:tcW w:type="dxa" w:w="1656"/>
          </w:tcPr>
          <w:p>
            <w:pPr>
              <w:keepNext/>
              <w:spacing w:after="0" w:line="240" w:lineRule="auto"/>
              <w:jc w:val="center"/>
            </w:pPr>
            <w:r/>
            <w:r>
              <w:rPr>
                <w:sz w:val="18"/>
              </w:rPr>
              <w:t>−0.002 (0.005)</w:t>
            </w:r>
          </w:p>
        </w:tc>
        <w:tc>
          <w:tcPr>
            <w:tcW w:type="dxa" w:w="1656"/>
          </w:tcPr>
          <w:p>
            <w:pPr>
              <w:keepNext/>
              <w:spacing w:after="0" w:line="240" w:lineRule="auto"/>
              <w:jc w:val="center"/>
            </w:pPr>
            <w:r/>
            <w:r>
              <w:rPr>
                <w:sz w:val="18"/>
              </w:rPr>
              <w:t>0.115*** (0.015)</w:t>
            </w:r>
          </w:p>
        </w:tc>
      </w:tr>
      <w:tr>
        <w:trPr>
          <w:cantSplit/>
        </w:trPr>
        <w:tc>
          <w:tcPr>
            <w:tcW w:type="dxa" w:w="2736"/>
          </w:tcPr>
          <w:p>
            <w:pPr>
              <w:keepNext/>
              <w:spacing w:after="0" w:line="240" w:lineRule="auto"/>
            </w:pPr>
            <w:r/>
            <w:r>
              <w:rPr>
                <w:sz w:val="18"/>
              </w:rPr>
              <w:t>R6 Two-way fixed effects</w:t>
            </w:r>
          </w:p>
        </w:tc>
        <w:tc>
          <w:tcPr>
            <w:tcW w:type="dxa" w:w="1656"/>
          </w:tcPr>
          <w:p>
            <w:pPr>
              <w:keepNext/>
              <w:spacing w:after="0" w:line="240" w:lineRule="auto"/>
              <w:jc w:val="center"/>
            </w:pPr>
            <w:r/>
            <w:r>
              <w:rPr>
                <w:sz w:val="18"/>
              </w:rPr>
              <w:t>0.064** (0.026)</w:t>
            </w:r>
          </w:p>
        </w:tc>
        <w:tc>
          <w:tcPr>
            <w:tcW w:type="dxa" w:w="1656"/>
          </w:tcPr>
          <w:p>
            <w:pPr>
              <w:keepNext/>
              <w:spacing w:after="0" w:line="240" w:lineRule="auto"/>
              <w:jc w:val="center"/>
            </w:pPr>
            <w:r/>
            <w:r>
              <w:rPr>
                <w:sz w:val="18"/>
              </w:rPr>
              <w:t>0.185*** (0.032)</w:t>
            </w:r>
          </w:p>
        </w:tc>
        <w:tc>
          <w:tcPr>
            <w:tcW w:type="dxa" w:w="1656"/>
          </w:tcPr>
          <w:p>
            <w:pPr>
              <w:keepNext/>
              <w:spacing w:after="0" w:line="240" w:lineRule="auto"/>
              <w:jc w:val="center"/>
            </w:pPr>
            <w:r/>
            <w:r>
              <w:rPr>
                <w:sz w:val="18"/>
              </w:rPr>
              <w:t>0.005 (0.005)</w:t>
            </w:r>
          </w:p>
        </w:tc>
        <w:tc>
          <w:tcPr>
            <w:tcW w:type="dxa" w:w="1656"/>
          </w:tcPr>
          <w:p>
            <w:pPr>
              <w:keepNext/>
              <w:spacing w:after="0" w:line="240" w:lineRule="auto"/>
              <w:jc w:val="center"/>
            </w:pPr>
            <w:r/>
            <w:r>
              <w:rPr>
                <w:sz w:val="18"/>
              </w:rPr>
              <w:t>0.117*** (0.022)</w:t>
            </w:r>
          </w:p>
        </w:tc>
      </w:tr>
      <w:tr>
        <w:trPr>
          <w:cantSplit/>
        </w:trPr>
        <w:tc>
          <w:tcPr>
            <w:tcW w:type="dxa" w:w="2736"/>
          </w:tcPr>
          <w:p>
            <w:pPr>
              <w:keepNext/>
              <w:spacing w:after="0" w:line="240" w:lineRule="auto"/>
            </w:pPr>
            <w:r/>
            <w:r>
              <w:rPr>
                <w:sz w:val="18"/>
              </w:rPr>
              <w:t>R7 Pre-trend removed</w:t>
            </w:r>
          </w:p>
        </w:tc>
        <w:tc>
          <w:tcPr>
            <w:tcW w:type="dxa" w:w="1656"/>
          </w:tcPr>
          <w:p>
            <w:pPr>
              <w:keepNext/>
              <w:spacing w:after="0" w:line="240" w:lineRule="auto"/>
              <w:jc w:val="center"/>
            </w:pPr>
            <w:r/>
            <w:r>
              <w:rPr>
                <w:sz w:val="18"/>
              </w:rPr>
              <w:t>−0.052 (0.034)</w:t>
            </w:r>
          </w:p>
        </w:tc>
        <w:tc>
          <w:tcPr>
            <w:tcW w:type="dxa" w:w="1656"/>
          </w:tcPr>
          <w:p>
            <w:pPr>
              <w:keepNext/>
              <w:spacing w:after="0" w:line="240" w:lineRule="auto"/>
              <w:jc w:val="center"/>
            </w:pPr>
            <w:r/>
            <w:r>
              <w:rPr>
                <w:sz w:val="18"/>
              </w:rPr>
              <w:t>−0.134*** (0.042)</w:t>
            </w:r>
          </w:p>
        </w:tc>
        <w:tc>
          <w:tcPr>
            <w:tcW w:type="dxa" w:w="1656"/>
          </w:tcPr>
          <w:p>
            <w:pPr>
              <w:keepNext/>
              <w:spacing w:after="0" w:line="240" w:lineRule="auto"/>
              <w:jc w:val="center"/>
            </w:pPr>
            <w:r/>
            <w:r>
              <w:rPr>
                <w:sz w:val="18"/>
              </w:rPr>
              <w:t>0.023*** (0.006)</w:t>
            </w:r>
          </w:p>
        </w:tc>
        <w:tc>
          <w:tcPr>
            <w:tcW w:type="dxa" w:w="1656"/>
          </w:tcPr>
          <w:p>
            <w:pPr>
              <w:keepNext/>
              <w:spacing w:after="0" w:line="240" w:lineRule="auto"/>
              <w:jc w:val="center"/>
            </w:pPr>
            <w:r/>
            <w:r>
              <w:rPr>
                <w:sz w:val="18"/>
              </w:rPr>
              <w:t>0.011 (0.023)</w:t>
            </w:r>
          </w:p>
        </w:tc>
      </w:tr>
      <w:tr>
        <w:trPr>
          <w:cantSplit/>
        </w:trPr>
        <w:tc>
          <w:tcPr>
            <w:tcW w:type="dxa" w:w="2736"/>
          </w:tcPr>
          <w:p>
            <w:pPr>
              <w:keepNext/>
              <w:spacing w:after="0" w:line="240" w:lineRule="auto"/>
            </w:pPr>
            <w:r/>
            <w:r>
              <w:rPr>
                <w:sz w:val="18"/>
              </w:rPr>
              <w:t>R8 Pre-coverage growth</w:t>
            </w:r>
          </w:p>
        </w:tc>
        <w:tc>
          <w:tcPr>
            <w:tcW w:type="dxa" w:w="1656"/>
          </w:tcPr>
          <w:p>
            <w:pPr>
              <w:keepNext/>
              <w:spacing w:after="0" w:line="240" w:lineRule="auto"/>
              <w:jc w:val="center"/>
            </w:pPr>
            <w:r/>
            <w:r>
              <w:rPr>
                <w:sz w:val="18"/>
              </w:rPr>
              <w:t>0.028 (0.025)</w:t>
            </w:r>
          </w:p>
        </w:tc>
        <w:tc>
          <w:tcPr>
            <w:tcW w:type="dxa" w:w="1656"/>
          </w:tcPr>
          <w:p>
            <w:pPr>
              <w:keepNext/>
              <w:spacing w:after="0" w:line="240" w:lineRule="auto"/>
              <w:jc w:val="center"/>
            </w:pPr>
            <w:r/>
            <w:r>
              <w:rPr>
                <w:sz w:val="18"/>
              </w:rPr>
              <w:t>−0.034 (0.032)</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0.043** (0.018)</w:t>
            </w:r>
          </w:p>
        </w:tc>
      </w:tr>
      <w:tr>
        <w:trPr>
          <w:cantSplit/>
        </w:trPr>
        <w:tc>
          <w:tcPr>
            <w:tcW w:type="dxa" w:w="2736"/>
          </w:tcPr>
          <w:p>
            <w:pPr>
              <w:keepNext/>
              <w:spacing w:after="0" w:line="240" w:lineRule="auto"/>
            </w:pPr>
            <w:r/>
            <w:r>
              <w:rPr>
                <w:sz w:val="18"/>
              </w:rPr>
              <w:t>R9 No Malaysia</w:t>
            </w:r>
          </w:p>
        </w:tc>
        <w:tc>
          <w:tcPr>
            <w:tcW w:type="dxa" w:w="1656"/>
          </w:tcPr>
          <w:p>
            <w:pPr>
              <w:keepNext/>
              <w:spacing w:after="0" w:line="240" w:lineRule="auto"/>
              <w:jc w:val="center"/>
            </w:pPr>
            <w:r/>
            <w:r>
              <w:rPr>
                <w:sz w:val="18"/>
              </w:rPr>
              <w:t>−0.003 (0.035)</w:t>
            </w:r>
          </w:p>
        </w:tc>
        <w:tc>
          <w:tcPr>
            <w:tcW w:type="dxa" w:w="1656"/>
          </w:tcPr>
          <w:p>
            <w:pPr>
              <w:keepNext/>
              <w:spacing w:after="0" w:line="240" w:lineRule="auto"/>
              <w:jc w:val="center"/>
            </w:pPr>
            <w:r/>
            <w:r>
              <w:rPr>
                <w:sz w:val="18"/>
              </w:rPr>
              <w:t>0.037 (0.038)</w:t>
            </w:r>
          </w:p>
        </w:tc>
        <w:tc>
          <w:tcPr>
            <w:tcW w:type="dxa" w:w="1656"/>
          </w:tcPr>
          <w:p>
            <w:pPr>
              <w:keepNext/>
              <w:spacing w:after="0" w:line="240" w:lineRule="auto"/>
              <w:jc w:val="center"/>
            </w:pPr>
            <w:r/>
            <w:r>
              <w:rPr>
                <w:sz w:val="18"/>
              </w:rPr>
              <w:t>0.022*** (0.008)</w:t>
            </w:r>
          </w:p>
        </w:tc>
        <w:tc>
          <w:tcPr>
            <w:tcW w:type="dxa" w:w="1656"/>
          </w:tcPr>
          <w:p>
            <w:pPr>
              <w:keepNext/>
              <w:spacing w:after="0" w:line="240" w:lineRule="auto"/>
              <w:jc w:val="center"/>
            </w:pPr>
            <w:r/>
            <w:r>
              <w:rPr>
                <w:sz w:val="18"/>
              </w:rPr>
              <w:t>0.046 (0.029)</w:t>
            </w:r>
          </w:p>
        </w:tc>
      </w:tr>
      <w:tr>
        <w:trPr>
          <w:cantSplit/>
        </w:trPr>
        <w:tc>
          <w:tcPr>
            <w:tcW w:type="dxa" w:w="2736"/>
          </w:tcPr>
          <w:p>
            <w:pPr>
              <w:keepNext/>
              <w:spacing w:after="0" w:line="240" w:lineRule="auto"/>
            </w:pPr>
            <w:r/>
            <w:r>
              <w:rPr>
                <w:sz w:val="18"/>
              </w:rPr>
              <w:t>R10 Dated 1 year later</w:t>
            </w:r>
          </w:p>
        </w:tc>
        <w:tc>
          <w:tcPr>
            <w:tcW w:type="dxa" w:w="1656"/>
          </w:tcPr>
          <w:p>
            <w:pPr>
              <w:keepNext/>
              <w:spacing w:after="0" w:line="240" w:lineRule="auto"/>
              <w:jc w:val="center"/>
            </w:pPr>
            <w:r/>
            <w:r>
              <w:rPr>
                <w:sz w:val="18"/>
              </w:rPr>
              <w:t>−0.068*** (0.024)</w:t>
            </w:r>
          </w:p>
        </w:tc>
        <w:tc>
          <w:tcPr>
            <w:tcW w:type="dxa" w:w="1656"/>
          </w:tcPr>
          <w:p>
            <w:pPr>
              <w:keepNext/>
              <w:spacing w:after="0" w:line="240" w:lineRule="auto"/>
              <w:jc w:val="center"/>
            </w:pPr>
            <w:r/>
            <w:r>
              <w:rPr>
                <w:sz w:val="18"/>
              </w:rPr>
              <w:t>−0.073** (0.030)</w:t>
            </w:r>
          </w:p>
        </w:tc>
        <w:tc>
          <w:tcPr>
            <w:tcW w:type="dxa" w:w="1656"/>
          </w:tcPr>
          <w:p>
            <w:pPr>
              <w:keepNext/>
              <w:spacing w:after="0" w:line="240" w:lineRule="auto"/>
              <w:jc w:val="center"/>
            </w:pPr>
            <w:r/>
            <w:r>
              <w:rPr>
                <w:sz w:val="18"/>
              </w:rPr>
              <w:t>0.007 (0.005)</w:t>
            </w:r>
          </w:p>
        </w:tc>
        <w:tc>
          <w:tcPr>
            <w:tcW w:type="dxa" w:w="1656"/>
          </w:tcPr>
          <w:p>
            <w:pPr>
              <w:keepNext/>
              <w:spacing w:after="0" w:line="240" w:lineRule="auto"/>
              <w:jc w:val="center"/>
            </w:pPr>
            <w:r/>
            <w:r>
              <w:rPr>
                <w:sz w:val="18"/>
              </w:rPr>
              <w:t>−0.006 (0.017)</w:t>
            </w:r>
          </w:p>
        </w:tc>
      </w:tr>
      <w:tr>
        <w:trPr>
          <w:cantSplit/>
        </w:trPr>
        <w:tc>
          <w:tcPr>
            <w:tcW w:type="dxa" w:w="2736"/>
          </w:tcPr>
          <w:p>
            <w:pPr>
              <w:keepNext/>
              <w:spacing w:after="0" w:line="240" w:lineRule="auto"/>
            </w:pPr>
            <w:r/>
            <w:r>
              <w:rPr>
                <w:sz w:val="18"/>
              </w:rPr>
              <w:t>R11 Cohorts to 2021</w:t>
            </w:r>
          </w:p>
        </w:tc>
        <w:tc>
          <w:tcPr>
            <w:tcW w:type="dxa" w:w="1656"/>
          </w:tcPr>
          <w:p>
            <w:pPr>
              <w:keepNext/>
              <w:spacing w:after="0" w:line="240" w:lineRule="auto"/>
              <w:jc w:val="center"/>
            </w:pPr>
            <w:r/>
            <w:r>
              <w:rPr>
                <w:sz w:val="18"/>
              </w:rPr>
              <w:t>−0.008 (0.033)</w:t>
            </w:r>
          </w:p>
        </w:tc>
        <w:tc>
          <w:tcPr>
            <w:tcW w:type="dxa" w:w="1656"/>
          </w:tcPr>
          <w:p>
            <w:pPr>
              <w:keepNext/>
              <w:spacing w:after="0" w:line="240" w:lineRule="auto"/>
              <w:jc w:val="center"/>
            </w:pPr>
            <w:r/>
            <w:r>
              <w:rPr>
                <w:sz w:val="18"/>
              </w:rPr>
              <w:t>−0.030 (0.037)</w:t>
            </w:r>
          </w:p>
        </w:tc>
        <w:tc>
          <w:tcPr>
            <w:tcW w:type="dxa" w:w="1656"/>
          </w:tcPr>
          <w:p>
            <w:pPr>
              <w:keepNext/>
              <w:spacing w:after="0" w:line="240" w:lineRule="auto"/>
              <w:jc w:val="center"/>
            </w:pPr>
            <w:r/>
            <w:r>
              <w:rPr>
                <w:sz w:val="18"/>
              </w:rPr>
              <w:t>0.013* (0.007)</w:t>
            </w:r>
          </w:p>
        </w:tc>
        <w:tc>
          <w:tcPr>
            <w:tcW w:type="dxa" w:w="1656"/>
          </w:tcPr>
          <w:p>
            <w:pPr>
              <w:keepNext/>
              <w:spacing w:after="0" w:line="240" w:lineRule="auto"/>
              <w:jc w:val="center"/>
            </w:pPr>
            <w:r/>
            <w:r>
              <w:rPr>
                <w:sz w:val="18"/>
              </w:rPr>
              <w:t>0.082*** (0.027)</w:t>
            </w:r>
          </w:p>
        </w:tc>
      </w:tr>
      <w:tr>
        <w:trPr>
          <w:cantSplit/>
        </w:trPr>
        <w:tc>
          <w:tcPr>
            <w:tcW w:type="dxa" w:w="2736"/>
          </w:tcPr>
          <w:p>
            <w:pPr>
              <w:keepNext/>
              <w:spacing w:after="0" w:line="240" w:lineRule="auto"/>
            </w:pPr>
            <w:r/>
            <w:r>
              <w:rPr>
                <w:sz w:val="18"/>
              </w:rPr>
              <w:t>High initial score</w:t>
            </w:r>
          </w:p>
        </w:tc>
        <w:tc>
          <w:tcPr>
            <w:tcW w:type="dxa" w:w="1656"/>
          </w:tcPr>
          <w:p>
            <w:pPr>
              <w:keepNext/>
              <w:spacing w:after="0" w:line="240" w:lineRule="auto"/>
              <w:jc w:val="center"/>
            </w:pPr>
            <w:r/>
            <w:r>
              <w:rPr>
                <w:sz w:val="18"/>
              </w:rPr>
              <w:t>−0.019 (0.030)</w:t>
            </w:r>
          </w:p>
        </w:tc>
        <w:tc>
          <w:tcPr>
            <w:tcW w:type="dxa" w:w="1656"/>
          </w:tcPr>
          <w:p>
            <w:pPr>
              <w:keepNext/>
              <w:spacing w:after="0" w:line="240" w:lineRule="auto"/>
              <w:jc w:val="center"/>
            </w:pPr>
            <w:r/>
            <w:r>
              <w:rPr>
                <w:sz w:val="18"/>
              </w:rPr>
              <w:t>−0.029 (0.034)</w:t>
            </w:r>
          </w:p>
        </w:tc>
        <w:tc>
          <w:tcPr>
            <w:tcW w:type="dxa" w:w="1656"/>
          </w:tcPr>
          <w:p>
            <w:pPr>
              <w:keepNext/>
              <w:spacing w:after="0" w:line="240" w:lineRule="auto"/>
              <w:jc w:val="center"/>
            </w:pPr>
            <w:r/>
            <w:r>
              <w:rPr>
                <w:sz w:val="18"/>
              </w:rPr>
              <w:t>0.009 (0.006)</w:t>
            </w:r>
          </w:p>
        </w:tc>
        <w:tc>
          <w:tcPr>
            <w:tcW w:type="dxa" w:w="1656"/>
          </w:tcPr>
          <w:p>
            <w:pPr>
              <w:keepNext/>
              <w:spacing w:after="0" w:line="240" w:lineRule="auto"/>
              <w:jc w:val="center"/>
            </w:pPr>
            <w:r/>
            <w:r>
              <w:rPr>
                <w:sz w:val="18"/>
              </w:rPr>
              <w:t>0.038* (0.022)</w:t>
            </w:r>
          </w:p>
        </w:tc>
      </w:tr>
      <w:tr>
        <w:trPr>
          <w:cantSplit/>
        </w:trPr>
        <w:tc>
          <w:tcPr>
            <w:tcW w:type="dxa" w:w="2736"/>
          </w:tcPr>
          <w:p>
            <w:pPr>
              <w:keepNext/>
              <w:spacing w:after="0" w:line="240" w:lineRule="auto"/>
            </w:pPr>
            <w:r/>
            <w:r>
              <w:rPr>
                <w:sz w:val="18"/>
              </w:rPr>
              <w:t>Low initial score</w:t>
            </w:r>
          </w:p>
        </w:tc>
        <w:tc>
          <w:tcPr>
            <w:tcW w:type="dxa" w:w="1656"/>
          </w:tcPr>
          <w:p>
            <w:pPr>
              <w:keepNext/>
              <w:spacing w:after="0" w:line="240" w:lineRule="auto"/>
              <w:jc w:val="center"/>
            </w:pPr>
            <w:r/>
            <w:r>
              <w:rPr>
                <w:sz w:val="18"/>
              </w:rPr>
              <w:t>0.022 (0.033)</w:t>
            </w:r>
          </w:p>
        </w:tc>
        <w:tc>
          <w:tcPr>
            <w:tcW w:type="dxa" w:w="1656"/>
          </w:tcPr>
          <w:p>
            <w:pPr>
              <w:keepNext/>
              <w:spacing w:after="0" w:line="240" w:lineRule="auto"/>
              <w:jc w:val="center"/>
            </w:pPr>
            <w:r/>
            <w:r>
              <w:rPr>
                <w:sz w:val="18"/>
              </w:rPr>
              <w:t>−0.081* (0.042)</w:t>
            </w:r>
          </w:p>
        </w:tc>
        <w:tc>
          <w:tcPr>
            <w:tcW w:type="dxa" w:w="1656"/>
          </w:tcPr>
          <w:p>
            <w:pPr>
              <w:keepNext/>
              <w:spacing w:after="0" w:line="240" w:lineRule="auto"/>
              <w:jc w:val="center"/>
            </w:pPr>
            <w:r/>
            <w:r>
              <w:rPr>
                <w:sz w:val="18"/>
              </w:rPr>
              <w:t>0.007 (0.006)</w:t>
            </w:r>
          </w:p>
        </w:tc>
        <w:tc>
          <w:tcPr>
            <w:tcW w:type="dxa" w:w="1656"/>
          </w:tcPr>
          <w:p>
            <w:pPr>
              <w:keepNext/>
              <w:spacing w:after="0" w:line="240" w:lineRule="auto"/>
              <w:jc w:val="center"/>
            </w:pPr>
            <w:r/>
            <w:r>
              <w:rPr>
                <w:sz w:val="18"/>
              </w:rPr>
              <w:t>0.049** (0.022)</w:t>
            </w:r>
          </w:p>
        </w:tc>
      </w:tr>
      <w:tr>
        <w:trPr>
          <w:cantSplit/>
        </w:trP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80"/>
        <w:jc w:val="both"/>
      </w:pPr>
      <w:r>
        <w:rPr>
          <w:sz w:val="18"/>
        </w:rPr>
        <w:t xml:space="preserve">Note: </w:t>
      </w:r>
      <w:r>
        <w:rPr>
          <w:color w:val="0000FF"/>
          <w:sz w:val="18"/>
        </w:rPr>
        <w:t xml:space="preserve">Effects over event years 0 to 3 (R5: </w:t>
      </w:r>
      <w:r>
        <w:rPr>
          <w:color w:val="0000FF"/>
          <w:sz w:val="18"/>
        </w:rPr>
        <w:t>0 to 2;</w:t>
      </w:r>
      <w:r>
        <w:rPr>
          <w:sz w:val="18"/>
        </w:rPr>
        <w:t xml:space="preserve"> </w:t>
      </w:r>
      <w:r>
        <w:rPr>
          <w:color w:val="0000FF"/>
          <w:sz w:val="18"/>
        </w:rPr>
        <w:t>R6:</w:t>
      </w:r>
      <w:r>
        <w:rPr>
          <w:sz w:val="18"/>
        </w:rPr>
        <w:t xml:space="preserve"> </w:t>
      </w:r>
      <w:r>
        <w:rPr>
          <w:color w:val="0000FF"/>
          <w:sz w:val="18"/>
        </w:rPr>
        <w:t>Eq.</w:t>
      </w:r>
      <w:r>
        <w:rPr>
          <w:sz w:val="18"/>
        </w:rPr>
        <w:t xml:space="preserve"> </w:t>
      </w:r>
      <w:r>
        <w:rPr>
          <w:color w:val="0000FF"/>
          <w:sz w:val="18"/>
        </w:rPr>
        <w:t>11, firm-clustered) with bootstrap standard errors in parentheses. *, **, ***:</w:t>
      </w:r>
      <w:r>
        <w:rPr>
          <w:sz w:val="18"/>
        </w:rPr>
        <w:t xml:space="preserve"> 10%, 5%, 1% significance (unadjusted).</w:t>
      </w:r>
    </w:p>
    <w:p>
      <w:pPr>
        <w:spacing w:line="240" w:lineRule="auto" w:after="240" w:before="0"/>
      </w:pPr>
      <w:r>
        <w:rPr>
          <w:sz w:val="18"/>
        </w:rPr>
        <w:t xml:space="preserve">Source: </w:t>
      </w:r>
      <w:r>
        <w:rPr>
          <w:color w:val="0000FF"/>
          <w:sz w:val="18"/>
        </w:rPr>
        <w:t>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 xml:space="preserve">Table 1 compares scored firms in the base year with never-scored firm-years in the sample.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Because scored firms are concentrated in the base years 2019 to 2022, these level differences mix calendar effects with selection.</w:t>
      </w:r>
      <w:r>
        <w:rPr/>
        <w:t xml:space="preserve"> </w:t>
      </w:r>
      <w:r>
        <w:rPr>
          <w:color w:val="0000FF"/>
        </w:rPr>
        <w:t>In Malaysia, where the expansion was broadest, the median total assets of scored firms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FF"/>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color w:val="0000FF"/>
        </w:rPr>
        <w:t>recorded</w:t>
      </w:r>
      <w:r>
        <w:rPr/>
        <w:t xml:space="preserve"> score, the estimates for market capitalization and MTB are negative and rise toward zero; in event years −5 and −4, the MTB estimates are −0.095 and −0.082 (p = 0.015 and p = 0.015). </w:t>
      </w:r>
      <w:r>
        <w:rPr>
          <w:color w:val="0000FF"/>
        </w:rPr>
        <w:t>From event year −5 to the base year, scored firms' market capitalization grew 14.1% more than that of never-scored firms, and their MTB ratio 10.0% more; we call this relative growth the run-up.</w:t>
      </w:r>
      <w:r>
        <w:rPr/>
        <w:t xml:space="preserve"> The joint test of Eq. (8) rejects parallel pre-coverage trends for market capitalization (p = 0.022) but not at the 5% level for MTB (p = 0.074). </w:t>
      </w:r>
      <w:r>
        <w:rPr>
          <w:color w:val="0000FF"/>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color w:val="0000FF"/>
        </w:rPr>
        <w:t>recorded</w:t>
      </w:r>
      <w:r>
        <w:rPr/>
        <w:t xml:space="preserve"> score, the MTB estimates for event years 0 to 3 lie between −0.044 and 0.017, and none differs from zero at the 5% level. </w:t>
      </w:r>
      <w:r>
        <w:rPr>
          <w:color w:val="0000FF"/>
        </w:rPr>
        <w:t>Event year 4 rests on only 141 scored firms, so we plot it but exclude it from Eq.</w:t>
      </w:r>
      <w:r>
        <w:rPr/>
        <w:t xml:space="preserve"> (6). The MTB gap between scored and never-scored firms thus widens before coverage and stops widening afterward. </w:t>
      </w:r>
      <w:r>
        <w:rPr>
          <w:color w:val="0000FF"/>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from event year −5 to the base year, their MTB ratio grew 33.1% more than that of never-scored firms (pre-trend p = 0.006).</w:t>
      </w:r>
      <w:r>
        <w:rPr/>
        <w:t xml:space="preserve"> </w:t>
      </w:r>
      <w:r>
        <w:rPr>
          <w:color w:val="0000FF"/>
        </w:rPr>
        <w:t>The 289 Malaysian firms first scored in 2021 and 2022 show no run-up (pre-trend p = 0.549), and the 278 firms in the remaining cohorts fall in between.</w:t>
      </w:r>
      <w:r>
        <w:rPr/>
        <w:t xml:space="preserve"> </w:t>
      </w:r>
      <w:r>
        <w:rPr>
          <w:color w:val="0000FF"/>
        </w:rPr>
        <w:t>After the first recorded score, no wave shows an MTB gain (Table S10), while market capitalization fell in the Malaysian wave (−0.146, p = 0.005), which accounts for the negative pooled market capitalization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FF"/>
          <w:sz w:val="24"/>
        </w:rPr>
        <w:t>Average change after entry under assumption (2)</w:t>
      </w:r>
    </w:p>
    <w:p>
      <w:pPr>
        <w:spacing w:line="360" w:lineRule="auto" w:after="120" w:before="0"/>
        <w:ind w:firstLine="720"/>
        <w:jc w:val="both"/>
      </w:pPr>
      <w:r>
        <w:rPr/>
        <w:t xml:space="preserve">Table 2 reports the headline estimates of Eq. (6). </w:t>
      </w:r>
      <w:r>
        <w:rPr>
          <w:color w:val="0000FF"/>
        </w:rPr>
        <w:t>The change in log MTB is 0.002, with a 95% confidence interval of −0.046 to 0.048.</w:t>
      </w:r>
      <w:r>
        <w:rPr/>
        <w:t xml:space="preserve"> </w:t>
      </w:r>
      <w:r>
        <w:rPr>
          <w:color w:val="0000FF"/>
        </w:rPr>
        <w:t>Under assumption (2), the data are compatible with changes in the MTB ratio from −4.5% to 4.9%, so increases of a few percent remain possible; the MDE from Eq.</w:t>
      </w:r>
      <w:r>
        <w:rPr/>
        <w:t xml:space="preserve"> </w:t>
      </w:r>
      <w:r>
        <w:rPr>
          <w:color w:val="0000FF"/>
        </w:rPr>
        <w:t>(7) is about 7.0%.</w:t>
      </w:r>
      <w:r>
        <w:rPr/>
        <w:t xml:space="preserve"> With the cluster bootstrap, the interval is −0.050 to 0.053.</w:t>
      </w:r>
    </w:p>
    <w:p>
      <w:pPr>
        <w:spacing w:line="360" w:lineRule="auto" w:after="120" w:before="0"/>
        <w:ind w:firstLine="720"/>
        <w:jc w:val="both"/>
      </w:pPr>
      <w:r>
        <w:rPr>
          <w:color w:val="0000FF"/>
        </w:rPr>
        <w:t>After Holm adjustment, no secondary outcome changes significantly at the 5% level: log market capitalization changes by −0.055 (p = 0.134), leverage by 0.8 percentage points (p = 0.134), and log total assets by 0.044 (p = 0.053).</w:t>
      </w:r>
      <w:r>
        <w:rPr/>
        <w:t xml:space="preserve"> Under assumption (2), the MTB estimate shows no sign of the gain that the recognition channel predicts (Merton, 1987).</w:t>
      </w:r>
    </w:p>
    <w:p>
      <w:pPr>
        <w:spacing w:line="360" w:lineRule="auto" w:after="120" w:before="0"/>
        <w:ind w:firstLine="720"/>
        <w:jc w:val="both"/>
      </w:pPr>
      <w:r>
        <w:rPr>
          <w:color w:val="0000FF"/>
        </w:rPr>
        <w:t xml:space="preserve">Table 3 presents the robustness checks; rows R1 to R6 were pre-specified, and rows R7 to R11 are exploratory. </w:t>
      </w:r>
      <w:r>
        <w:rPr>
          <w:color w:val="0000FF"/>
        </w:rPr>
        <w:t>Row R10 dates coverage one year after the first recorded score, the earliest year in which a score could have been public.</w:t>
      </w:r>
      <w:r>
        <w:rPr/>
        <w:t xml:space="preserve"> </w:t>
      </w:r>
      <w:r>
        <w:rPr>
          <w:color w:val="0000FF"/>
        </w:rPr>
        <w:t>Its MTB change is −0.068, about −6.6% (95% interval −0.116 to −0.020; p = 0.004), and its joint pre-trend test gives p = 0.072.</w:t>
      </w:r>
      <w:r>
        <w:rPr/>
        <w:t xml:space="preserve"> </w:t>
      </w:r>
      <w:r>
        <w:rPr>
          <w:color w:val="0000FF"/>
        </w:rPr>
        <w:t>We do not give the first-recorded-year estimate more weight because it was pre-specified: pre-specification guards against choosing a dating after seeing results, but it does not make the recorded year the date on which investors learned of coverage.</w:t>
      </w:r>
      <w:r>
        <w:rPr/>
        <w:t xml:space="preserve"> </w:t>
      </w:r>
      <w:r>
        <w:rPr>
          <w:color w:val="0000FF"/>
        </w:rPr>
        <w:t>The later dating is closer to that date on economic grounds, while the first recorded year is the date we observe;</w:t>
      </w:r>
      <w:r>
        <w:rPr/>
        <w:t xml:space="pre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FF"/>
          <w:sz w:val="24"/>
        </w:rPr>
        <w:t>Reconciling the two datings</w:t>
      </w:r>
    </w:p>
    <w:p>
      <w:pPr>
        <w:spacing w:line="360" w:lineRule="auto" w:after="120" w:before="0"/>
        <w:ind w:firstLine="720"/>
        <w:jc w:val="both"/>
      </w:pPr>
      <w:r>
        <w:rPr>
          <w:color w:val="0000FF"/>
        </w:rPr>
        <w:t xml:space="preserve">Table 4 moves from the first-recorded-year estimate to the one-year-later estimate one step at a time, so that each step changes one feature. </w:t>
      </w:r>
      <w:r>
        <w:rPr>
          <w:color w:val="0000FF"/>
        </w:rPr>
        <w:t>Row 2 keeps only firms observed in both g − 1 and g, so that the same firms enter every later row; this changes the MTB estimate by −0.005.</w:t>
      </w:r>
      <w:r>
        <w:rPr/>
        <w:t xml:space="preserve"> </w:t>
      </w:r>
      <w:r>
        <w:rPr>
          <w:color w:val="0000FF"/>
        </w:rPr>
        <w:t>Row 3 averages event years 1 to 4 instead of 0 to 3, with the same reference year g − 1;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Measuring size in g instead of g − 1 (row 5) and returning to all firms (row 6) change little.</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Specification</w:t>
            </w:r>
          </w:p>
        </w:tc>
        <w:tc>
          <w:tcPr>
            <w:tcW w:type="dxa" w:w="1656"/>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752"/>
          </w:tcPr>
          <w:p>
            <w:pPr>
              <w:keepNext/>
              <w:spacing w:after="0" w:line="240" w:lineRule="auto"/>
            </w:pPr>
            <w:r/>
            <w:r>
              <w:rPr>
                <w:color w:val="0000FF"/>
                <w:sz w:val="18"/>
              </w:rPr>
              <w:t>(1) First recorded year g, reference g − 1, event years 0 to 3, all firms</w:t>
            </w:r>
          </w:p>
        </w:tc>
        <w:tc>
          <w:tcPr>
            <w:tcW w:type="dxa" w:w="1656"/>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752"/>
          </w:tcPr>
          <w:p>
            <w:pPr>
              <w:keepNext/>
              <w:spacing w:after="0" w:line="240" w:lineRule="auto"/>
            </w:pPr>
            <w:r/>
            <w:r>
              <w:rPr>
                <w:color w:val="0000FF"/>
                <w:sz w:val="18"/>
              </w:rPr>
              <w:t>(2) As (1), firms observed in both g − 1 and g</w:t>
            </w:r>
          </w:p>
        </w:tc>
        <w:tc>
          <w:tcPr>
            <w:tcW w:type="dxa" w:w="1656"/>
          </w:tcPr>
          <w:p>
            <w:pPr>
              <w:keepNext/>
              <w:spacing w:after="0" w:line="240" w:lineRule="auto"/>
              <w:jc w:val="center"/>
            </w:pPr>
            <w:r/>
            <w:r>
              <w:rPr>
                <w:color w:val="0000FF"/>
                <w:sz w:val="18"/>
              </w:rPr>
              <w:t>−0.003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615</w:t>
            </w:r>
          </w:p>
        </w:tc>
      </w:tr>
      <w:tr>
        <w:trPr>
          <w:cantSplit/>
        </w:trPr>
        <w:tc>
          <w:tcPr>
            <w:tcW w:type="dxa" w:w="4752"/>
          </w:tcPr>
          <w:p>
            <w:pPr>
              <w:keepNext/>
              <w:spacing w:after="0" w:line="240" w:lineRule="auto"/>
            </w:pPr>
            <w:r/>
            <w:r>
              <w:rPr>
                <w:color w:val="0000FF"/>
                <w:sz w:val="18"/>
              </w:rPr>
              <w:t>(3) As (2), event years 1 to 4</w:t>
            </w:r>
          </w:p>
        </w:tc>
        <w:tc>
          <w:tcPr>
            <w:tcW w:type="dxa" w:w="1656"/>
          </w:tcPr>
          <w:p>
            <w:pPr>
              <w:keepNext/>
              <w:spacing w:after="0" w:line="240" w:lineRule="auto"/>
              <w:jc w:val="center"/>
            </w:pPr>
            <w:r/>
            <w:r>
              <w:rPr>
                <w:color w:val="0000FF"/>
                <w:sz w:val="18"/>
              </w:rPr>
              <w:t>−0.019 (0.030)</w:t>
            </w:r>
          </w:p>
        </w:tc>
        <w:tc>
          <w:tcPr>
            <w:tcW w:type="dxa" w:w="1800"/>
          </w:tcPr>
          <w:p>
            <w:pPr>
              <w:keepNext/>
              <w:spacing w:after="0" w:line="240" w:lineRule="auto"/>
              <w:jc w:val="center"/>
            </w:pPr>
            <w:r/>
            <w:r>
              <w:rPr>
                <w:color w:val="0000FF"/>
                <w:sz w:val="18"/>
              </w:rPr>
              <w:t>−0.053 (0.037)</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(4) As (3), reference year g</w:t>
            </w:r>
          </w:p>
        </w:tc>
        <w:tc>
          <w:tcPr>
            <w:tcW w:type="dxa" w:w="1656"/>
          </w:tcPr>
          <w:p>
            <w:pPr>
              <w:keepNext/>
              <w:spacing w:after="0" w:line="240" w:lineRule="auto"/>
              <w:jc w:val="center"/>
            </w:pPr>
            <w:r/>
            <w:r>
              <w:rPr>
                <w:color w:val="0000FF"/>
                <w:sz w:val="18"/>
              </w:rPr>
              <w:t>−0.063*** (0.024)</w:t>
            </w:r>
          </w:p>
        </w:tc>
        <w:tc>
          <w:tcPr>
            <w:tcW w:type="dxa" w:w="1800"/>
          </w:tcPr>
          <w:p>
            <w:pPr>
              <w:keepNext/>
              <w:spacing w:after="0" w:line="240" w:lineRule="auto"/>
              <w:jc w:val="center"/>
            </w:pPr>
            <w:r/>
            <w:r>
              <w:rPr>
                <w:color w:val="0000FF"/>
                <w:sz w:val="18"/>
              </w:rPr>
              <w:t>−0.051* (0.029)</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(5) As (4), size measured in g (one year later, same firms)</w:t>
            </w:r>
          </w:p>
        </w:tc>
        <w:tc>
          <w:tcPr>
            <w:tcW w:type="dxa" w:w="1656"/>
          </w:tcPr>
          <w:p>
            <w:pPr>
              <w:keepNext/>
              <w:spacing w:after="0" w:line="240" w:lineRule="auto"/>
              <w:jc w:val="center"/>
            </w:pPr>
            <w:r/>
            <w:r>
              <w:rPr>
                <w:color w:val="0000FF"/>
                <w:sz w:val="18"/>
              </w:rPr>
              <w:t>−0.060** (0.024)</w:t>
            </w:r>
          </w:p>
        </w:tc>
        <w:tc>
          <w:tcPr>
            <w:tcW w:type="dxa" w:w="1800"/>
          </w:tcPr>
          <w:p>
            <w:pPr>
              <w:keepNext/>
              <w:spacing w:after="0" w:line="240" w:lineRule="auto"/>
              <w:jc w:val="center"/>
            </w:pPr>
            <w:r/>
            <w:r>
              <w:rPr>
                <w:color w:val="0000FF"/>
                <w:sz w:val="18"/>
              </w:rPr>
              <w:t>−0.063** (0.031)</w:t>
            </w:r>
          </w:p>
        </w:tc>
        <w:tc>
          <w:tcPr>
            <w:tcW w:type="dxa" w:w="1152"/>
          </w:tcPr>
          <w:p>
            <w:pPr>
              <w:keepNext/>
              <w:spacing w:after="0" w:line="240" w:lineRule="auto"/>
              <w:jc w:val="center"/>
            </w:pPr>
            <w:r/>
            <w:r>
              <w:rPr>
                <w:color w:val="0000FF"/>
                <w:sz w:val="18"/>
              </w:rPr>
              <w:t>583</w:t>
            </w:r>
          </w:p>
        </w:tc>
      </w:tr>
      <w:tr>
        <w:trPr>
          <w:cantSplit/>
        </w:trPr>
        <w:tc>
          <w:tcPr>
            <w:tcW w:type="dxa" w:w="4752"/>
          </w:tcPr>
          <w:p>
            <w:pPr>
              <w:keepNext/>
              <w:spacing w:after="0" w:line="240" w:lineRule="auto"/>
            </w:pPr>
            <w:r/>
            <w:r>
              <w:rPr>
                <w:color w:val="0000FF"/>
                <w:sz w:val="18"/>
              </w:rPr>
              <w:t>(6) One year later, all firms (R10)</w:t>
            </w:r>
          </w:p>
        </w:tc>
        <w:tc>
          <w:tcPr>
            <w:tcW w:type="dxa" w:w="1656"/>
          </w:tcPr>
          <w:p>
            <w:pPr>
              <w:keepNext/>
              <w:spacing w:after="0" w:line="240" w:lineRule="auto"/>
              <w:jc w:val="center"/>
            </w:pPr>
            <w:r/>
            <w:r>
              <w:rPr>
                <w:color w:val="0000FF"/>
                <w:sz w:val="18"/>
              </w:rPr>
              <w:t>−0.068*** (0.024)</w:t>
            </w:r>
          </w:p>
        </w:tc>
        <w:tc>
          <w:tcPr>
            <w:tcW w:type="dxa" w:w="1800"/>
          </w:tcPr>
          <w:p>
            <w:pPr>
              <w:keepNext/>
              <w:spacing w:after="0" w:line="240" w:lineRule="auto"/>
              <w:jc w:val="center"/>
            </w:pPr>
            <w:r/>
            <w:r>
              <w:rPr>
                <w:color w:val="0000FF"/>
                <w:sz w:val="18"/>
              </w:rPr>
              <w:t>−0.073** (0.030)</w:t>
            </w:r>
          </w:p>
        </w:tc>
        <w:tc>
          <w:tcPr>
            <w:tcW w:type="dxa" w:w="1152"/>
          </w:tcPr>
          <w:p>
            <w:pPr>
              <w:keepNext/>
              <w:spacing w:after="0" w:line="240" w:lineRule="auto"/>
              <w:jc w:val="center"/>
            </w:pPr>
            <w:r/>
            <w:r>
              <w:rPr>
                <w:color w:val="0000FF"/>
                <w:sz w:val="18"/>
              </w:rPr>
              <w:t>613</w:t>
            </w:r>
          </w:p>
        </w:tc>
      </w:tr>
      <w:tr>
        <w:trPr>
          <w:cantSplit/>
        </w:trPr>
        <w:tc>
          <w:tcPr>
            <w:tcW w:type="dxa" w:w="4752"/>
          </w:tcPr>
          <w:p>
            <w:pPr>
              <w:keepNext/>
              <w:spacing w:after="0" w:line="240" w:lineRule="auto"/>
            </w:pPr>
            <w:r/>
            <w:r>
              <w:rPr>
                <w:color w:val="0000FF"/>
                <w:sz w:val="18"/>
              </w:rPr>
              <w:t>(7) As (2), cohorts first recorded 2015 to 2020</w:t>
            </w:r>
          </w:p>
        </w:tc>
        <w:tc>
          <w:tcPr>
            <w:tcW w:type="dxa" w:w="1656"/>
          </w:tcPr>
          <w:p>
            <w:pPr>
              <w:keepNext/>
              <w:spacing w:after="0" w:line="240" w:lineRule="auto"/>
              <w:jc w:val="center"/>
            </w:pPr>
            <w:r/>
            <w:r>
              <w:rPr>
                <w:color w:val="0000FF"/>
                <w:sz w:val="18"/>
              </w:rPr>
              <w:t>0.017 (0.040)</w:t>
            </w:r>
          </w:p>
        </w:tc>
        <w:tc>
          <w:tcPr>
            <w:tcW w:type="dxa" w:w="1800"/>
          </w:tcPr>
          <w:p>
            <w:pPr>
              <w:keepNext/>
              <w:spacing w:after="0" w:line="240" w:lineRule="auto"/>
              <w:jc w:val="center"/>
            </w:pPr>
            <w:r/>
            <w:r>
              <w:rPr>
                <w:color w:val="0000FF"/>
                <w:sz w:val="18"/>
              </w:rPr>
              <w:t>0.076* (0.042)</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(8) As (3), cohorts first recorded 2015 to 2020</w:t>
            </w:r>
          </w:p>
        </w:tc>
        <w:tc>
          <w:tcPr>
            <w:tcW w:type="dxa" w:w="1656"/>
          </w:tcPr>
          <w:p>
            <w:pPr>
              <w:keepNext/>
              <w:spacing w:after="0" w:line="240" w:lineRule="auto"/>
              <w:jc w:val="center"/>
            </w:pPr>
            <w:r/>
            <w:r>
              <w:rPr>
                <w:color w:val="0000FF"/>
                <w:sz w:val="18"/>
              </w:rPr>
              <w:t>−0.026 (0.047)</w:t>
            </w:r>
          </w:p>
        </w:tc>
        <w:tc>
          <w:tcPr>
            <w:tcW w:type="dxa" w:w="1800"/>
          </w:tcPr>
          <w:p>
            <w:pPr>
              <w:keepNext/>
              <w:spacing w:after="0" w:line="240" w:lineRule="auto"/>
              <w:jc w:val="center"/>
            </w:pPr>
            <w:r/>
            <w:r>
              <w:rPr>
                <w:color w:val="0000FF"/>
                <w:sz w:val="18"/>
              </w:rPr>
              <w:t>0.077 (0.050)</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(9) As (4), cohorts first recorded 2015 to 2020</w:t>
            </w:r>
          </w:p>
        </w:tc>
        <w:tc>
          <w:tcPr>
            <w:tcW w:type="dxa" w:w="1656"/>
          </w:tcPr>
          <w:p>
            <w:pPr>
              <w:keepNext/>
              <w:spacing w:after="0" w:line="240" w:lineRule="auto"/>
              <w:jc w:val="center"/>
            </w:pPr>
            <w:r/>
            <w:r>
              <w:rPr>
                <w:color w:val="0000FF"/>
                <w:sz w:val="18"/>
              </w:rPr>
              <w:t>−0.124*** (0.038)</w:t>
            </w:r>
          </w:p>
        </w:tc>
        <w:tc>
          <w:tcPr>
            <w:tcW w:type="dxa" w:w="1800"/>
          </w:tcPr>
          <w:p>
            <w:pPr>
              <w:keepNext/>
              <w:spacing w:after="0" w:line="240" w:lineRule="auto"/>
              <w:jc w:val="center"/>
            </w:pPr>
            <w:r/>
            <w:r>
              <w:rPr>
                <w:color w:val="0000FF"/>
                <w:sz w:val="18"/>
              </w:rPr>
              <w:t>−0.006 (0.040)</w:t>
            </w:r>
          </w:p>
        </w:tc>
        <w:tc>
          <w:tcPr>
            <w:tcW w:type="dxa" w:w="1152"/>
          </w:tcPr>
          <w:p>
            <w:pPr>
              <w:keepNext/>
              <w:spacing w:after="0" w:line="240" w:lineRule="auto"/>
              <w:jc w:val="center"/>
            </w:pPr>
            <w:r/>
            <w:r>
              <w:rPr>
                <w:color w:val="0000FF"/>
                <w:sz w:val="18"/>
              </w:rPr>
              <w:t>142</w:t>
            </w:r>
          </w:p>
        </w:tc>
      </w:tr>
      <w:tr>
        <w:trPr>
          <w:cantSplit/>
        </w:trPr>
        <w:tc>
          <w:tcPr>
            <w:tcW w:type="dxa" w:w="4752"/>
            <w:tcBorders>
              <w:bottom w:val="single" w:sz="6" w:color="000000"/>
            </w:tcBorders>
          </w:tcPr>
          <w:p>
            <w:pPr>
              <w:spacing w:after="0" w:line="240" w:lineRule="auto"/>
            </w:pPr>
            <w:r/>
            <w:r>
              <w:rPr>
                <w:color w:val="0000FF"/>
                <w:sz w:val="18"/>
              </w:rPr>
              <w:t>(10) As (5), cohorts first recorded 2015 to 2020</w:t>
            </w:r>
          </w:p>
        </w:tc>
        <w:tc>
          <w:tcPr>
            <w:tcW w:type="dxa" w:w="1656"/>
            <w:tcBorders>
              <w:bottom w:val="single" w:sz="6" w:color="000000"/>
            </w:tcBorders>
          </w:tcPr>
          <w:p>
            <w:pPr>
              <w:spacing w:after="0" w:line="240" w:lineRule="auto"/>
              <w:jc w:val="center"/>
            </w:pPr>
            <w:r/>
            <w:r>
              <w:rPr>
                <w:color w:val="0000FF"/>
                <w:sz w:val="18"/>
              </w:rPr>
              <w:t>−0.121*** (0.038)</w:t>
            </w:r>
          </w:p>
        </w:tc>
        <w:tc>
          <w:tcPr>
            <w:tcW w:type="dxa" w:w="1800"/>
            <w:tcBorders>
              <w:bottom w:val="single" w:sz="6" w:color="000000"/>
            </w:tcBorders>
          </w:tcPr>
          <w:p>
            <w:pPr>
              <w:spacing w:after="0" w:line="240" w:lineRule="auto"/>
              <w:jc w:val="center"/>
            </w:pPr>
            <w:r/>
            <w:r>
              <w:rPr>
                <w:color w:val="0000FF"/>
                <w:sz w:val="18"/>
              </w:rPr>
              <w:t>−0.018 (0.042)</w:t>
            </w:r>
          </w:p>
        </w:tc>
        <w:tc>
          <w:tcPr>
            <w:tcW w:type="dxa" w:w="1152"/>
            <w:tcBorders>
              <w:bottom w:val="single" w:sz="6" w:color="000000"/>
            </w:tcBorders>
          </w:tcPr>
          <w:p>
            <w:pPr>
              <w:spacing w:after="0" w:line="240" w:lineRule="auto"/>
              <w:jc w:val="center"/>
            </w:pPr>
            <w:r/>
            <w:r>
              <w:rPr>
                <w:color w:val="0000FF"/>
                <w:sz w:val="18"/>
              </w:rPr>
              <w:t>142</w:t>
            </w:r>
          </w:p>
        </w:tc>
      </w:tr>
    </w:tbl>
    <w:p>
      <w:pPr>
        <w:spacing w:line="240" w:lineRule="auto" w:after="40" w:before="80"/>
        <w:jc w:val="both"/>
      </w:pPr>
      <w:r>
        <w:rPr>
          <w:color w:val="0000FF"/>
          <w:sz w:val="18"/>
        </w:rPr>
        <w:t>Note: Outcome-regression effects with bootstrap standard errors in parentheses; each row changes one feature of the row it names.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The reference year thus drives the difference. </w:t>
      </w:r>
      <w:r>
        <w:rPr>
          <w:color w:val="0000FF"/>
        </w:rPr>
        <w:t>Dated one year later, every later valuation is compared with the first recorded year, the last year of the run-up.</w:t>
      </w:r>
      <w:r>
        <w:rPr/>
        <w:t xml:space="preserve"> </w:t>
      </w:r>
      <w:r>
        <w:rPr>
          <w:color w:val="0000FF"/>
        </w:rPr>
        <w:t>In the cohorts that contribute to event years 1 to 4, the MTB ratio of scored firms rose by 0.044 relative to never-scored firms between g − 1 and g, and row 4 subtracts exactly this rise, so a later dating starts from a higher point.</w:t>
      </w:r>
      <w:r>
        <w:rPr/>
        <w:t xml:space="preserve"> </w:t>
      </w:r>
      <w:r>
        <w:rPr>
          <w:color w:val="0000FF"/>
        </w:rPr>
        <w:t>The cohorts observed through event year 4 (rows 7 to 10) show the same pattern more strongly.</w:t>
      </w:r>
      <w:r>
        <w:rPr/>
        <w:t xml:space="preserve"> </w:t>
      </w:r>
      <w:r>
        <w:rPr>
          <w:color w:val="0000FF"/>
        </w:rPr>
        <w:t>Composition matters as well: the timing difference is concentrated in the waves that had a run-up.</w:t>
      </w:r>
      <w:r>
        <w:rPr/>
        <w:t xml:space="preserve"> </w:t>
      </w:r>
      <w:r>
        <w:rPr>
          <w:color w:val="0000FF"/>
        </w:rPr>
        <w:t>Table S10 of the supplementary material shows that under the one-year-later dating the MTB change is −0.136 for the Thai and Singaporean wave and −0.111 for the remaining cohorts, but 0.012 for the Malaysian wave, whose estimate under the first recorded year is 0.021.</w:t>
      </w:r>
      <w:r>
        <w:rPr/>
        <w:t xml:space="preserve"> Where valuations did not run up before entry, neither dating detects an MTB change (95% intervals −0.053 to 0.091 and −0.055 to 0.076).</w:t>
      </w:r>
    </w:p>
    <w:p>
      <w:pPr>
        <w:spacing w:line="360" w:lineRule="auto" w:after="120" w:before="0"/>
        <w:ind w:firstLine="720"/>
        <w:jc w:val="both"/>
      </w:pPr>
      <w:r>
        <w:rPr>
          <w:color w:val="0000FF"/>
        </w:rPr>
        <w:t xml:space="preserve">Two readings fit this pattern, and the data cannot separate them.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What the datings share is that neither shows a gain and that the decline appears only where a run-up preceded entry.</w:t>
      </w:r>
      <w:r>
        <w:rPr/>
        <w:t xml:space="preserve">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FF"/>
          <w:sz w:val="24"/>
        </w:rPr>
        <w:t>Sensitivity to departures from parallel trends</w:t>
      </w:r>
    </w:p>
    <w:p>
      <w:pPr>
        <w:spacing w:line="360" w:lineRule="auto" w:after="120" w:before="0"/>
        <w:ind w:firstLine="720"/>
        <w:jc w:val="both"/>
      </w:pPr>
      <w:r>
        <w:rPr>
          <w:color w:val="0000FF"/>
        </w:rPr>
        <w:t>Row R11 keeps the 7 cohorts observed through event year 3 and gives −0.008 (p = 0.806), so changing cohort composition does not explain the headline estimate.</w:t>
      </w:r>
      <w:r>
        <w:rPr/>
        <w:t xml:space="preserve"> </w:t>
      </w:r>
      <w:r>
        <w:rPr>
          <w:color w:val="0000FF"/>
        </w:rPr>
        <w:t>Removing a linear pre-trend with Eq.</w:t>
      </w:r>
      <w:r>
        <w:rPr/>
        <w:t xml:space="preserve"> </w:t>
      </w:r>
      <w:r>
        <w:rPr>
          <w:color w:val="0000FF"/>
        </w:rPr>
        <w:t>(9) (row R7) gives −0.052, and matching on pre-coverage growth (row R8) gives 0.028; both intervals include zero, and Appendix A.11 of the supplementary material discusses them.</w:t>
      </w:r>
    </w:p>
    <w:p>
      <w:pPr>
        <w:spacing w:line="360" w:lineRule="auto" w:after="120" w:before="0"/>
        <w:ind w:firstLine="720"/>
        <w:jc w:val="both"/>
      </w:pPr>
      <w:r>
        <w:rPr/>
        <w:t xml:space="preserve">Table S5 reports the bounds of Eq. (10). </w:t>
      </w:r>
      <w:r>
        <w:rPr>
          <w:color w:val="0000FF"/>
        </w:rPr>
        <w:t>With M̄ = 0.25, the interval for the MTB effect is −0.071 to 0.073, and any departure at all admits a positive effect.</w:t>
      </w:r>
      <w:r>
        <w:rPr/>
        <w:t xml:space="preserve"> </w:t>
      </w:r>
      <w:r>
        <w:rPr>
          <w:color w:val="0000FF"/>
        </w:rPr>
        <w:t>Under the one-year-later dating, the decline loses significance with M̄ = 0.25, when its interval runs from −0.138 to 0.002.</w:t>
      </w:r>
      <w:r>
        <w:rPr/>
        <w:t xml:space="preserve"> </w:t>
      </w:r>
      <w:r>
        <w:rPr>
          <w:color w:val="0000FF"/>
        </w:rPr>
        <w:t>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FF"/>
          <w:sz w:val="24"/>
        </w:rPr>
        <w:t>Firm size and common support</w:t>
      </w:r>
    </w:p>
    <w:p>
      <w:pPr>
        <w:spacing w:line="360" w:lineRule="auto" w:after="120" w:before="0"/>
        <w:ind w:firstLine="720"/>
        <w:jc w:val="both"/>
      </w:pPr>
      <w:r>
        <w:rPr>
          <w:color w:val="0000FF"/>
        </w:rPr>
        <w:t xml:space="preserve">Scored firms are much larger than most controls, so the outcome regression extrapolates for the largest firms. </w:t>
      </w: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Restricting scored firms to the size range of the controls changes the estimand to the effect on scored firms that have comparable controls.</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gives −0.010 (p = 0.715), and only 1.1% of scored firm-cells have an estimated propensity score above 0.95.</w:t>
      </w:r>
      <w:r>
        <w:rPr/>
        <w:t xml:space="preserve"> The MTB result therefore does not depend on extrapolating the size adjustment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color w:val="0000FF"/>
                <w:sz w:val="18"/>
              </w:rPr>
              <w:t>Specification</w:t>
            </w:r>
          </w:p>
        </w:tc>
        <w:tc>
          <w:tcPr>
            <w:tcW w:type="dxa" w:w="1800"/>
            <w:tcBorders>
              <w:top w:val="single" w:sz="6" w:color="000000"/>
              <w:bottom w:val="single" w:sz="6" w:color="000000"/>
            </w:tcBorders>
          </w:tcPr>
          <w:p>
            <w:pPr>
              <w:keepNext/>
              <w:spacing w:after="0" w:line="240" w:lineRule="auto"/>
              <w:jc w:val="center"/>
            </w:pPr>
            <w:r/>
            <w:r>
              <w:rPr>
                <w:b/>
                <w:color w:val="0000FF"/>
                <w:sz w:val="18"/>
              </w:rPr>
              <w:t>ln(MTB)</w:t>
            </w:r>
          </w:p>
        </w:tc>
        <w:tc>
          <w:tcPr>
            <w:tcW w:type="dxa" w:w="1872"/>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96"/>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320"/>
          </w:tcPr>
          <w:p>
            <w:pPr>
              <w:keepNext/>
              <w:spacing w:after="0" w:line="240" w:lineRule="auto"/>
            </w:pPr>
            <w:r/>
            <w:r>
              <w:rPr>
                <w:color w:val="0000FF"/>
                <w:sz w:val="18"/>
              </w:rPr>
              <w:t>Baseline: quadratic in log total assets at g − 1</w:t>
            </w:r>
          </w:p>
        </w:tc>
        <w:tc>
          <w:tcPr>
            <w:tcW w:type="dxa" w:w="1800"/>
          </w:tcPr>
          <w:p>
            <w:pPr>
              <w:keepNext/>
              <w:spacing w:after="0" w:line="240" w:lineRule="auto"/>
              <w:jc w:val="center"/>
            </w:pPr>
            <w:r/>
            <w:r>
              <w:rPr>
                <w:color w:val="0000FF"/>
                <w:sz w:val="18"/>
              </w:rPr>
              <w:t>0.002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No covariates</w:t>
            </w:r>
          </w:p>
        </w:tc>
        <w:tc>
          <w:tcPr>
            <w:tcW w:type="dxa" w:w="1800"/>
          </w:tcPr>
          <w:p>
            <w:pPr>
              <w:keepNext/>
              <w:spacing w:after="0" w:line="240" w:lineRule="auto"/>
              <w:jc w:val="center"/>
            </w:pPr>
            <w:r/>
            <w:r>
              <w:rPr>
                <w:color w:val="0000FF"/>
                <w:sz w:val="18"/>
              </w:rPr>
              <w:t>0.025 (0.022)</w:t>
            </w:r>
          </w:p>
        </w:tc>
        <w:tc>
          <w:tcPr>
            <w:tcW w:type="dxa" w:w="1872"/>
          </w:tcPr>
          <w:p>
            <w:pPr>
              <w:keepNext/>
              <w:spacing w:after="0" w:line="240" w:lineRule="auto"/>
              <w:jc w:val="center"/>
            </w:pPr>
            <w:r/>
            <w:r>
              <w:rPr>
                <w:color w:val="0000FF"/>
                <w:sz w:val="18"/>
              </w:rPr>
              <w:t>0.016 (0.025)</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Linear in log total assets</w:t>
            </w:r>
          </w:p>
        </w:tc>
        <w:tc>
          <w:tcPr>
            <w:tcW w:type="dxa" w:w="1800"/>
          </w:tcPr>
          <w:p>
            <w:pPr>
              <w:keepNext/>
              <w:spacing w:after="0" w:line="240" w:lineRule="auto"/>
              <w:jc w:val="center"/>
            </w:pPr>
            <w:r/>
            <w:r>
              <w:rPr>
                <w:color w:val="0000FF"/>
                <w:sz w:val="18"/>
              </w:rPr>
              <w:t>−0.003 (0.023)</w:t>
            </w:r>
          </w:p>
        </w:tc>
        <w:tc>
          <w:tcPr>
            <w:tcW w:type="dxa" w:w="1872"/>
          </w:tcPr>
          <w:p>
            <w:pPr>
              <w:keepNext/>
              <w:spacing w:after="0" w:line="240" w:lineRule="auto"/>
              <w:jc w:val="center"/>
            </w:pPr>
            <w:r/>
            <w:r>
              <w:rPr>
                <w:color w:val="0000FF"/>
                <w:sz w:val="18"/>
              </w:rPr>
              <w:t>−0.033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Cubic in log total assets</w:t>
            </w:r>
          </w:p>
        </w:tc>
        <w:tc>
          <w:tcPr>
            <w:tcW w:type="dxa" w:w="1800"/>
          </w:tcPr>
          <w:p>
            <w:pPr>
              <w:keepNext/>
              <w:spacing w:after="0" w:line="240" w:lineRule="auto"/>
              <w:jc w:val="center"/>
            </w:pPr>
            <w:r/>
            <w:r>
              <w:rPr>
                <w:color w:val="0000FF"/>
                <w:sz w:val="18"/>
              </w:rPr>
              <w:t>−0.009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Size quintile indicators</w:t>
            </w:r>
          </w:p>
        </w:tc>
        <w:tc>
          <w:tcPr>
            <w:tcW w:type="dxa" w:w="1800"/>
          </w:tcPr>
          <w:p>
            <w:pPr>
              <w:keepNext/>
              <w:spacing w:after="0" w:line="240" w:lineRule="auto"/>
              <w:jc w:val="center"/>
            </w:pPr>
            <w:r/>
            <w:r>
              <w:rPr>
                <w:color w:val="0000FF"/>
                <w:sz w:val="18"/>
              </w:rPr>
              <w:t>−0.010 (0.023)</w:t>
            </w:r>
          </w:p>
        </w:tc>
        <w:tc>
          <w:tcPr>
            <w:tcW w:type="dxa" w:w="1872"/>
          </w:tcPr>
          <w:p>
            <w:pPr>
              <w:keepNext/>
              <w:spacing w:after="0" w:line="240" w:lineRule="auto"/>
              <w:jc w:val="center"/>
            </w:pPr>
            <w:r/>
            <w:r>
              <w:rPr>
                <w:color w:val="0000FF"/>
                <w:sz w:val="18"/>
              </w:rPr>
              <w:t>−0.053*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Quadratic, total assets at g − 3</w:t>
            </w:r>
          </w:p>
        </w:tc>
        <w:tc>
          <w:tcPr>
            <w:tcW w:type="dxa" w:w="1800"/>
          </w:tcPr>
          <w:p>
            <w:pPr>
              <w:keepNext/>
              <w:spacing w:after="0" w:line="240" w:lineRule="auto"/>
              <w:jc w:val="center"/>
            </w:pPr>
            <w:r/>
            <w:r>
              <w:rPr>
                <w:color w:val="0000FF"/>
                <w:sz w:val="18"/>
              </w:rPr>
              <w:t>−0.008 (0.025)</w:t>
            </w:r>
          </w:p>
        </w:tc>
        <w:tc>
          <w:tcPr>
            <w:tcW w:type="dxa" w:w="1872"/>
          </w:tcPr>
          <w:p>
            <w:pPr>
              <w:keepNext/>
              <w:spacing w:after="0" w:line="240" w:lineRule="auto"/>
              <w:jc w:val="center"/>
            </w:pPr>
            <w:r/>
            <w:r>
              <w:rPr>
                <w:color w:val="0000FF"/>
                <w:sz w:val="18"/>
              </w:rPr>
              <w:t>−0.059* (0.032)</w:t>
            </w:r>
          </w:p>
        </w:tc>
        <w:tc>
          <w:tcPr>
            <w:tcW w:type="dxa" w:w="1296"/>
          </w:tcPr>
          <w:p>
            <w:pPr>
              <w:keepNext/>
              <w:spacing w:after="0" w:line="240" w:lineRule="auto"/>
              <w:jc w:val="center"/>
            </w:pPr>
            <w:r/>
            <w:r>
              <w:rPr>
                <w:color w:val="0000FF"/>
                <w:sz w:val="18"/>
              </w:rPr>
              <w:t>592</w:t>
            </w:r>
          </w:p>
        </w:tc>
      </w:tr>
      <w:tr>
        <w:trPr>
          <w:cantSplit/>
        </w:trPr>
        <w:tc>
          <w:tcPr>
            <w:tcW w:type="dxa" w:w="4320"/>
          </w:tcPr>
          <w:p>
            <w:pPr>
              <w:keepNext/>
              <w:spacing w:after="0" w:line="240" w:lineRule="auto"/>
            </w:pPr>
            <w:r/>
            <w:r>
              <w:rPr>
                <w:color w:val="0000FF"/>
                <w:sz w:val="18"/>
              </w:rPr>
              <w:t>Scored firms ≤ 99th percentile of controls</w:t>
            </w:r>
          </w:p>
        </w:tc>
        <w:tc>
          <w:tcPr>
            <w:tcW w:type="dxa" w:w="1800"/>
          </w:tcPr>
          <w:p>
            <w:pPr>
              <w:keepNext/>
              <w:spacing w:after="0" w:line="240" w:lineRule="auto"/>
              <w:jc w:val="center"/>
            </w:pPr>
            <w:r/>
            <w:r>
              <w:rPr>
                <w:color w:val="0000FF"/>
                <w:sz w:val="18"/>
              </w:rPr>
              <w:t>−0.006 (0.024)</w:t>
            </w:r>
          </w:p>
        </w:tc>
        <w:tc>
          <w:tcPr>
            <w:tcW w:type="dxa" w:w="1872"/>
          </w:tcPr>
          <w:p>
            <w:pPr>
              <w:keepNext/>
              <w:spacing w:after="0" w:line="240" w:lineRule="auto"/>
              <w:jc w:val="center"/>
            </w:pPr>
            <w:r/>
            <w:r>
              <w:rPr>
                <w:color w:val="0000FF"/>
                <w:sz w:val="18"/>
              </w:rPr>
              <w:t>−0.061** (0.031)</w:t>
            </w:r>
          </w:p>
        </w:tc>
        <w:tc>
          <w:tcPr>
            <w:tcW w:type="dxa" w:w="1296"/>
          </w:tcPr>
          <w:p>
            <w:pPr>
              <w:keepNext/>
              <w:spacing w:after="0" w:line="240" w:lineRule="auto"/>
              <w:jc w:val="center"/>
            </w:pPr>
            <w:r/>
            <w:r>
              <w:rPr>
                <w:color w:val="0000FF"/>
                <w:sz w:val="18"/>
              </w:rPr>
              <w:t>586</w:t>
            </w:r>
          </w:p>
        </w:tc>
      </w:tr>
      <w:tr>
        <w:trPr>
          <w:cantSplit/>
        </w:trPr>
        <w:tc>
          <w:tcPr>
            <w:tcW w:type="dxa" w:w="4320"/>
          </w:tcPr>
          <w:p>
            <w:pPr>
              <w:keepNext/>
              <w:spacing w:after="0" w:line="240" w:lineRule="auto"/>
            </w:pPr>
            <w:r/>
            <w:r>
              <w:rPr>
                <w:color w:val="0000FF"/>
                <w:sz w:val="18"/>
              </w:rPr>
              <w:t>Scored firms ≤ 95th percentile of controls</w:t>
            </w:r>
          </w:p>
        </w:tc>
        <w:tc>
          <w:tcPr>
            <w:tcW w:type="dxa" w:w="1800"/>
          </w:tcPr>
          <w:p>
            <w:pPr>
              <w:keepNext/>
              <w:spacing w:after="0" w:line="240" w:lineRule="auto"/>
              <w:jc w:val="center"/>
            </w:pPr>
            <w:r/>
            <w:r>
              <w:rPr>
                <w:color w:val="0000FF"/>
                <w:sz w:val="18"/>
              </w:rPr>
              <w:t>−0.021 (0.026)</w:t>
            </w:r>
          </w:p>
        </w:tc>
        <w:tc>
          <w:tcPr>
            <w:tcW w:type="dxa" w:w="1872"/>
          </w:tcPr>
          <w:p>
            <w:pPr>
              <w:keepNext/>
              <w:spacing w:after="0" w:line="240" w:lineRule="auto"/>
              <w:jc w:val="center"/>
            </w:pPr>
            <w:r/>
            <w:r>
              <w:rPr>
                <w:color w:val="0000FF"/>
                <w:sz w:val="18"/>
              </w:rPr>
              <w:t>−0.096*** (0.035)</w:t>
            </w:r>
          </w:p>
        </w:tc>
        <w:tc>
          <w:tcPr>
            <w:tcW w:type="dxa" w:w="1296"/>
          </w:tcPr>
          <w:p>
            <w:pPr>
              <w:keepNext/>
              <w:spacing w:after="0" w:line="240" w:lineRule="auto"/>
              <w:jc w:val="center"/>
            </w:pPr>
            <w:r/>
            <w:r>
              <w:rPr>
                <w:color w:val="0000FF"/>
                <w:sz w:val="18"/>
              </w:rPr>
              <w:t>487</w:t>
            </w:r>
          </w:p>
        </w:tc>
      </w:tr>
      <w:tr>
        <w:trPr>
          <w:cantSplit/>
        </w:trPr>
        <w:tc>
          <w:tcPr>
            <w:tcW w:type="dxa" w:w="4320"/>
          </w:tcPr>
          <w:p>
            <w:pPr>
              <w:keepNext/>
              <w:spacing w:after="0" w:line="240" w:lineRule="auto"/>
            </w:pPr>
            <w:r/>
            <w:r>
              <w:rPr>
                <w:color w:val="0000FF"/>
                <w:sz w:val="18"/>
              </w:rPr>
              <w:t>Scored firms ≤ 90th percentile of controls</w:t>
            </w:r>
          </w:p>
        </w:tc>
        <w:tc>
          <w:tcPr>
            <w:tcW w:type="dxa" w:w="1800"/>
          </w:tcPr>
          <w:p>
            <w:pPr>
              <w:keepNext/>
              <w:spacing w:after="0" w:line="240" w:lineRule="auto"/>
              <w:jc w:val="center"/>
            </w:pPr>
            <w:r/>
            <w:r>
              <w:rPr>
                <w:color w:val="0000FF"/>
                <w:sz w:val="18"/>
              </w:rPr>
              <w:t>−0.013 (0.028)</w:t>
            </w:r>
          </w:p>
        </w:tc>
        <w:tc>
          <w:tcPr>
            <w:tcW w:type="dxa" w:w="1872"/>
          </w:tcPr>
          <w:p>
            <w:pPr>
              <w:keepNext/>
              <w:spacing w:after="0" w:line="240" w:lineRule="auto"/>
              <w:jc w:val="center"/>
            </w:pPr>
            <w:r/>
            <w:r>
              <w:rPr>
                <w:color w:val="0000FF"/>
                <w:sz w:val="18"/>
              </w:rPr>
              <w:t>−0.093** (0.039)</w:t>
            </w:r>
          </w:p>
        </w:tc>
        <w:tc>
          <w:tcPr>
            <w:tcW w:type="dxa" w:w="1296"/>
          </w:tcPr>
          <w:p>
            <w:pPr>
              <w:keepNext/>
              <w:spacing w:after="0" w:line="240" w:lineRule="auto"/>
              <w:jc w:val="center"/>
            </w:pPr>
            <w:r/>
            <w:r>
              <w:rPr>
                <w:color w:val="0000FF"/>
                <w:sz w:val="18"/>
              </w:rPr>
              <w:t>420</w:t>
            </w:r>
          </w:p>
        </w:tc>
      </w:tr>
      <w:tr>
        <w:trPr>
          <w:cantSplit/>
        </w:trPr>
        <w:tc>
          <w:tcPr>
            <w:tcW w:type="dxa" w:w="4320"/>
          </w:tcPr>
          <w:p>
            <w:pPr>
              <w:keepNext/>
              <w:spacing w:after="0" w:line="240" w:lineRule="auto"/>
            </w:pPr>
            <w:r/>
            <w:r>
              <w:rPr>
                <w:color w:val="0000FF"/>
                <w:sz w:val="18"/>
              </w:rPr>
              <w:t>Doubly robust, ≤ 95th percentile</w:t>
            </w:r>
          </w:p>
        </w:tc>
        <w:tc>
          <w:tcPr>
            <w:tcW w:type="dxa" w:w="1800"/>
          </w:tcPr>
          <w:p>
            <w:pPr>
              <w:keepNext/>
              <w:spacing w:after="0" w:line="240" w:lineRule="auto"/>
              <w:jc w:val="center"/>
            </w:pPr>
            <w:r/>
            <w:r>
              <w:rPr>
                <w:color w:val="0000FF"/>
                <w:sz w:val="18"/>
              </w:rPr>
              <w:t>−0.010 (0.027)</w:t>
            </w:r>
          </w:p>
        </w:tc>
        <w:tc>
          <w:tcPr>
            <w:tcW w:type="dxa" w:w="1872"/>
          </w:tcPr>
          <w:p>
            <w:pPr>
              <w:keepNext/>
              <w:spacing w:after="0" w:line="240" w:lineRule="auto"/>
              <w:jc w:val="center"/>
            </w:pPr>
            <w:r/>
            <w:r>
              <w:rPr>
                <w:color w:val="0000FF"/>
                <w:sz w:val="18"/>
              </w:rPr>
              <w:t>−0.064* (0.034)</w:t>
            </w:r>
          </w:p>
        </w:tc>
        <w:tc>
          <w:tcPr>
            <w:tcW w:type="dxa" w:w="1296"/>
          </w:tcPr>
          <w:p>
            <w:pPr>
              <w:keepNext/>
              <w:spacing w:after="0" w:line="240" w:lineRule="auto"/>
              <w:jc w:val="center"/>
            </w:pPr>
            <w:r/>
            <w:r>
              <w:rPr>
                <w:color w:val="0000FF"/>
                <w:sz w:val="18"/>
              </w:rPr>
              <w:t>487</w:t>
            </w:r>
          </w:p>
        </w:tc>
      </w:tr>
      <w:tr>
        <w:trPr>
          <w:cantSplit/>
        </w:trPr>
        <w:tc>
          <w:tcPr>
            <w:tcW w:type="dxa" w:w="4320"/>
            <w:tcBorders>
              <w:bottom w:val="single" w:sz="6" w:color="000000"/>
            </w:tcBorders>
          </w:tcPr>
          <w:p>
            <w:pPr>
              <w:spacing w:after="0" w:line="240" w:lineRule="auto"/>
            </w:pPr>
            <w:r/>
            <w:r>
              <w:rPr>
                <w:color w:val="0000FF"/>
                <w:sz w:val="18"/>
              </w:rPr>
              <w:t>Doubly robust, ≤ 90th percentile</w:t>
            </w:r>
          </w:p>
        </w:tc>
        <w:tc>
          <w:tcPr>
            <w:tcW w:type="dxa" w:w="1800"/>
            <w:tcBorders>
              <w:bottom w:val="single" w:sz="6" w:color="000000"/>
            </w:tcBorders>
          </w:tcPr>
          <w:p>
            <w:pPr>
              <w:spacing w:after="0" w:line="240" w:lineRule="auto"/>
              <w:jc w:val="center"/>
            </w:pPr>
            <w:r/>
            <w:r>
              <w:rPr>
                <w:color w:val="0000FF"/>
                <w:sz w:val="18"/>
              </w:rPr>
              <w:t>0.005 (0.029)</w:t>
            </w:r>
          </w:p>
        </w:tc>
        <w:tc>
          <w:tcPr>
            <w:tcW w:type="dxa" w:w="1872"/>
            <w:tcBorders>
              <w:bottom w:val="single" w:sz="6" w:color="000000"/>
            </w:tcBorders>
          </w:tcPr>
          <w:p>
            <w:pPr>
              <w:spacing w:after="0" w:line="240" w:lineRule="auto"/>
              <w:jc w:val="center"/>
            </w:pPr>
            <w:r/>
            <w:r>
              <w:rPr>
                <w:color w:val="0000FF"/>
                <w:sz w:val="18"/>
              </w:rPr>
              <w:t>−0.061 (0.038)</w:t>
            </w:r>
          </w:p>
        </w:tc>
        <w:tc>
          <w:tcPr>
            <w:tcW w:type="dxa" w:w="1296"/>
            <w:tcBorders>
              <w:bottom w:val="single" w:sz="6" w:color="000000"/>
            </w:tcBorders>
          </w:tcPr>
          <w:p>
            <w:pPr>
              <w:spacing w:after="0" w:line="240" w:lineRule="auto"/>
              <w:jc w:val="center"/>
            </w:pPr>
            <w:r/>
            <w:r>
              <w:rPr>
                <w:color w:val="0000FF"/>
                <w:sz w:val="18"/>
              </w:rPr>
              <w:t>420</w:t>
            </w:r>
          </w:p>
        </w:tc>
      </w:tr>
    </w:tbl>
    <w:p>
      <w:pPr>
        <w:spacing w:line="240" w:lineRule="auto" w:after="40" w:before="80"/>
        <w:jc w:val="both"/>
      </w:pPr>
      <w:r>
        <w:rPr>
          <w:color w:val="0000FF"/>
          <w:sz w:val="18"/>
        </w:rPr>
        <w:t>Note: Bootstrap standard errors in parentheses; percentile rows cap scored firms' base-year assets at that control percentile.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Market capitalization is more sensitive. </w:t>
      </w:r>
      <w:r>
        <w:rPr>
          <w:color w:val="0000FF"/>
        </w:rPr>
        <w:t>Its estimate is 0.016 without covariates and between −0.096 and −0.033 with them, so the negative market capitalization change depends on how size is modeled.</w:t>
      </w:r>
      <w:r>
        <w:rPr/>
        <w:t xml:space="preserve"> </w:t>
      </w:r>
      <w:r>
        <w:rPr>
          <w:color w:val="0000FF"/>
        </w:rPr>
        <w:t>This is expected, because size enters both the selection into coverage and market capitalization itself.</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w:t>
      </w:r>
      <w:r>
        <w:rPr/>
        <w:t xml:space="preserve"> </w:t>
      </w:r>
      <w:r>
        <w:rPr>
          <w:color w:val="0000FF"/>
        </w:rPr>
        <w:t>Because the restriction uses the controls' percentile within each cell, it drops fewer firms than the pooled comparison in Section 4.2 suggests.</w:t>
      </w:r>
      <w:r>
        <w:rPr/>
        <w:t xml:space="preserve"> </w:t>
      </w:r>
      <w:r>
        <w:rPr>
          <w:color w:val="0000FF"/>
        </w:rPr>
        <w:t>The retained firms are mostly Malaysian (71.5%).</w:t>
      </w:r>
      <w:r>
        <w:rPr/>
        <w:t xml:space="preserve"> The restricted estimate thus describes mid-sized scored firms, largely from the Malaysian expansion, and says little about the largest firms in each market.</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 (all years)</w:t>
            </w:r>
          </w:p>
        </w:tc>
      </w:tr>
      <w:tr>
        <w:trPr>
          <w:cantSplit/>
        </w:trPr>
        <w:tc>
          <w:tcPr>
            <w:tcW w:type="dxa" w:w="4032"/>
          </w:tcPr>
          <w:p>
            <w:pPr>
              <w:keepNext/>
              <w:spacing w:after="0" w:line="240" w:lineRule="auto"/>
            </w:pPr>
            <w:r/>
            <w:r>
              <w:rPr>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color w:val="0000FF"/>
          <w:sz w:val="18"/>
        </w:rPr>
        <w:t>Note: Scored firms in the ln(MTB) estimate, measured in the base year g − 1; never-scored firms are summarized over all firm-years. Shares are fractions of firms.</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FF"/>
          <w:sz w:val="24"/>
        </w:rPr>
        <w:t>Missing valuation data and recording errors</w:t>
      </w:r>
    </w:p>
    <w:p>
      <w:pPr>
        <w:spacing w:line="360" w:lineRule="auto" w:after="120" w:before="0"/>
        <w:ind w:firstLine="720"/>
        <w:jc w:val="both"/>
      </w:pPr>
      <w:r>
        <w:rPr>
          <w:color w:val="0000FF"/>
        </w:rPr>
        <w:t xml:space="preserve">Missing MTB ratios are not random. </w:t>
      </w:r>
      <w:r>
        <w:rPr>
          <w:color w:val="0000FF"/>
        </w:rPr>
        <w:t>Table S11 of the supplementary material compares firm-years with and without an MTB ratio.</w:t>
      </w:r>
      <w:r>
        <w:rPr/>
        <w:t xml:space="preserve"> </w:t>
      </w:r>
      <w:r>
        <w:rPr>
          <w:color w:val="0000FF"/>
        </w:rPr>
        <w:t>Firm-years without one are more often highly levered (book leverage above 0.5 in 25.4% of never-scored firm-years without an MTB ratio, against 8.4% with one) and more often Indonesian (38.9% against 24.1%), consistent with financial distress and with gaps in market data.</w:t>
      </w:r>
      <w:r>
        <w:rPr/>
        <w:t xml:space="preserve"> </w:t>
      </w:r>
      <w:r>
        <w:rPr>
          <w:color w:val="0000FF"/>
        </w:rPr>
        <w:t>Only 21.5% of never-scored and 24.8% of scored firm-years without an MTB ratio have a market capitalization, so most gaps are missing market data, not negative book equity alone.</w:t>
      </w:r>
      <w:r>
        <w:rPr/>
        <w:t xml:space="preserve"> Among scored firms, the 50 firms that do not enter the MTB estimate have median base-year total assets similar to those that do (280.3 against 294.3 million U.S. dollars).</w:t>
      </w:r>
    </w:p>
    <w:p>
      <w:pPr>
        <w:spacing w:line="360" w:lineRule="auto" w:after="120" w:before="0"/>
        <w:ind w:firstLine="720"/>
        <w:jc w:val="both"/>
      </w:pPr>
      <w:r>
        <w:rPr>
          <w:color w:val="0000FF"/>
        </w:rPr>
        <w:t xml:space="preserve">Table 7 checks whether these gaps and the recording errors of Section 3.4 change the estimates.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w:t>
      </w:r>
      <w:r>
        <w:rPr/>
        <w:t xml:space="preserve"> 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color w:val="0000FF"/>
                <w:sz w:val="18"/>
              </w:rPr>
              <w:t>Specification</w:t>
            </w:r>
          </w:p>
        </w:tc>
        <w:tc>
          <w:tcPr>
            <w:tcW w:type="dxa" w:w="1728"/>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608"/>
          </w:tcPr>
          <w:p>
            <w:pPr>
              <w:keepNext/>
              <w:spacing w:after="0" w:line="240" w:lineRule="auto"/>
            </w:pPr>
            <w:r/>
            <w:r>
              <w:rPr>
                <w:color w:val="0000FF"/>
                <w:sz w:val="18"/>
              </w:rPr>
              <w:t>Baseline</w:t>
            </w:r>
          </w:p>
        </w:tc>
        <w:tc>
          <w:tcPr>
            <w:tcW w:type="dxa" w:w="1728"/>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608"/>
          </w:tcPr>
          <w:p>
            <w:pPr>
              <w:keepNext/>
              <w:spacing w:after="0" w:line="240" w:lineRule="auto"/>
            </w:pPr>
            <w:r/>
            <w:r>
              <w:rPr>
                <w:color w:val="0000FF"/>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color w:val="0000FF"/>
                <w:sz w:val="18"/>
              </w:rPr>
              <w:t>−0.023 (0.029)</w:t>
            </w:r>
          </w:p>
        </w:tc>
        <w:tc>
          <w:tcPr>
            <w:tcW w:type="dxa" w:w="1152"/>
          </w:tcPr>
          <w:p>
            <w:pPr>
              <w:keepNext/>
              <w:spacing w:after="0" w:line="240" w:lineRule="auto"/>
              <w:jc w:val="center"/>
            </w:pPr>
            <w:r/>
            <w:r>
              <w:rPr>
                <w:color w:val="0000FF"/>
                <w:sz w:val="18"/>
              </w:rPr>
              <w:t>624</w:t>
            </w:r>
          </w:p>
        </w:tc>
      </w:tr>
      <w:tr>
        <w:trPr>
          <w:cantSplit/>
        </w:trPr>
        <w:tc>
          <w:tcPr>
            <w:tcW w:type="dxa" w:w="4608"/>
          </w:tcPr>
          <w:p>
            <w:pPr>
              <w:keepNext/>
              <w:spacing w:after="0" w:line="240" w:lineRule="auto"/>
            </w:pPr>
            <w:r/>
            <w:r>
              <w:rPr>
                <w:color w:val="0000FF"/>
                <w:sz w:val="18"/>
              </w:rPr>
              <w:t>Complete MTB series, scored and control firms</w:t>
            </w:r>
          </w:p>
        </w:tc>
        <w:tc>
          <w:tcPr>
            <w:tcW w:type="dxa" w:w="1728"/>
          </w:tcPr>
          <w:p>
            <w:pPr>
              <w:keepNext/>
              <w:spacing w:after="0" w:line="240" w:lineRule="auto"/>
              <w:jc w:val="center"/>
            </w:pPr>
            <w:r/>
            <w:r>
              <w:rPr>
                <w:color w:val="0000FF"/>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Complete MTB series, scored firms only</w:t>
            </w:r>
          </w:p>
        </w:tc>
        <w:tc>
          <w:tcPr>
            <w:tcW w:type="dxa" w:w="1728"/>
          </w:tcPr>
          <w:p>
            <w:pPr>
              <w:keepNext/>
              <w:spacing w:after="0" w:line="240" w:lineRule="auto"/>
              <w:jc w:val="center"/>
            </w:pPr>
            <w:r/>
            <w:r>
              <w:rPr>
                <w:color w:val="0000FF"/>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Flagged firm-years removed</w:t>
            </w:r>
          </w:p>
        </w:tc>
        <w:tc>
          <w:tcPr>
            <w:tcW w:type="dxa" w:w="1728"/>
          </w:tcPr>
          <w:p>
            <w:pPr>
              <w:keepNext/>
              <w:spacing w:after="0" w:line="240" w:lineRule="auto"/>
              <w:jc w:val="center"/>
            </w:pPr>
            <w:r/>
            <w:r>
              <w:rPr>
                <w:color w:val="0000FF"/>
                <w:sz w:val="18"/>
              </w:rPr>
              <w:t>−0.007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615</w:t>
            </w:r>
          </w:p>
        </w:tc>
      </w:tr>
      <w:tr>
        <w:trPr>
          <w:cantSplit/>
        </w:trPr>
        <w:tc>
          <w:tcPr>
            <w:tcW w:type="dxa" w:w="4608"/>
          </w:tcPr>
          <w:p>
            <w:pPr>
              <w:keepNext/>
              <w:spacing w:after="0" w:line="240" w:lineRule="auto"/>
            </w:pPr>
            <w:r/>
            <w:r>
              <w:rPr>
                <w:color w:val="0000FF"/>
                <w:sz w:val="18"/>
              </w:rPr>
              <w:t>Firms with any flagged year removed</w:t>
            </w:r>
          </w:p>
        </w:tc>
        <w:tc>
          <w:tcPr>
            <w:tcW w:type="dxa" w:w="1728"/>
          </w:tcPr>
          <w:p>
            <w:pPr>
              <w:keepNext/>
              <w:spacing w:after="0" w:line="240" w:lineRule="auto"/>
              <w:jc w:val="center"/>
            </w:pPr>
            <w:r/>
            <w:r>
              <w:rPr>
                <w:color w:val="0000FF"/>
                <w:sz w:val="18"/>
              </w:rPr>
              <w:t>−0.008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613</w:t>
            </w:r>
          </w:p>
        </w:tc>
      </w:tr>
      <w:tr>
        <w:trPr>
          <w:cantSplit/>
        </w:trPr>
        <w:tc>
          <w:tcPr>
            <w:tcW w:type="dxa" w:w="4608"/>
          </w:tcPr>
          <w:p>
            <w:pPr>
              <w:keepNext/>
              <w:spacing w:after="0" w:line="240" w:lineRule="auto"/>
            </w:pPr>
            <w:r/>
            <w:r>
              <w:rPr>
                <w:color w:val="0000FF"/>
                <w:sz w:val="18"/>
              </w:rPr>
              <w:t>Firm-years with implied book equity above twice total assets removed</w:t>
            </w:r>
          </w:p>
        </w:tc>
        <w:tc>
          <w:tcPr>
            <w:tcW w:type="dxa" w:w="1728"/>
          </w:tcPr>
          <w:p>
            <w:pPr>
              <w:keepNext/>
              <w:spacing w:after="0" w:line="240" w:lineRule="auto"/>
              <w:jc w:val="center"/>
            </w:pPr>
            <w:r/>
            <w:r>
              <w:rPr>
                <w:color w:val="0000FF"/>
                <w:sz w:val="18"/>
              </w:rPr>
              <w:t>−0.019 (0.023)</w:t>
            </w:r>
          </w:p>
        </w:tc>
        <w:tc>
          <w:tcPr>
            <w:tcW w:type="dxa" w:w="1800"/>
          </w:tcPr>
          <w:p>
            <w:pPr>
              <w:keepNext/>
              <w:spacing w:after="0" w:line="240" w:lineRule="auto"/>
              <w:jc w:val="center"/>
            </w:pPr>
            <w:r/>
            <w:r>
              <w:rPr>
                <w:color w:val="0000FF"/>
                <w:sz w:val="18"/>
              </w:rPr>
              <w:t>−0.039 (0.028)</w:t>
            </w:r>
          </w:p>
        </w:tc>
        <w:tc>
          <w:tcPr>
            <w:tcW w:type="dxa" w:w="1152"/>
          </w:tcPr>
          <w:p>
            <w:pPr>
              <w:keepNext/>
              <w:spacing w:after="0" w:line="240" w:lineRule="auto"/>
              <w:jc w:val="center"/>
            </w:pPr>
            <w:r/>
            <w:r>
              <w:rPr>
                <w:color w:val="0000FF"/>
                <w:sz w:val="18"/>
              </w:rPr>
              <w:t>597</w:t>
            </w:r>
          </w:p>
        </w:tc>
      </w:tr>
      <w:tr>
        <w:trPr>
          <w:cantSplit/>
        </w:trPr>
        <w:tc>
          <w:tcPr>
            <w:tcW w:type="dxa" w:w="4608"/>
            <w:tcBorders>
              <w:bottom w:val="single" w:sz="6" w:color="000000"/>
            </w:tcBorders>
          </w:tcPr>
          <w:p>
            <w:pPr>
              <w:spacing w:after="0" w:line="240" w:lineRule="auto"/>
            </w:pPr>
            <w:r/>
            <w:r>
              <w:rPr>
                <w:color w:val="0000FF"/>
                <w:sz w:val="18"/>
              </w:rPr>
              <w:t>Winsorized within market and year</w:t>
            </w:r>
          </w:p>
        </w:tc>
        <w:tc>
          <w:tcPr>
            <w:tcW w:type="dxa" w:w="1728"/>
            <w:tcBorders>
              <w:bottom w:val="single" w:sz="6" w:color="000000"/>
            </w:tcBorders>
          </w:tcPr>
          <w:p>
            <w:pPr>
              <w:spacing w:after="0" w:line="240" w:lineRule="auto"/>
              <w:jc w:val="center"/>
            </w:pPr>
            <w:r/>
            <w:r>
              <w:rPr>
                <w:color w:val="0000FF"/>
                <w:sz w:val="18"/>
              </w:rPr>
              <w:t>0.005 (0.024)</w:t>
            </w:r>
          </w:p>
        </w:tc>
        <w:tc>
          <w:tcPr>
            <w:tcW w:type="dxa" w:w="1800"/>
            <w:tcBorders>
              <w:bottom w:val="single" w:sz="6" w:color="000000"/>
            </w:tcBorders>
          </w:tcPr>
          <w:p>
            <w:pPr>
              <w:spacing w:after="0" w:line="240" w:lineRule="auto"/>
              <w:jc w:val="center"/>
            </w:pPr>
            <w:r/>
            <w:r>
              <w:rPr>
                <w:color w:val="0000FF"/>
                <w:sz w:val="18"/>
              </w:rPr>
              <w:t>−0.064** (0.031)</w:t>
            </w:r>
          </w:p>
        </w:tc>
        <w:tc>
          <w:tcPr>
            <w:tcW w:type="dxa" w:w="1152"/>
            <w:tcBorders>
              <w:bottom w:val="single" w:sz="6" w:color="000000"/>
            </w:tcBorders>
          </w:tcPr>
          <w:p>
            <w:pPr>
              <w:spacing w:after="0" w:line="240" w:lineRule="auto"/>
              <w:jc w:val="center"/>
            </w:pPr>
            <w:r/>
            <w:r>
              <w:rPr>
                <w:color w:val="0000FF"/>
                <w:sz w:val="18"/>
              </w:rPr>
              <w:t>625</w:t>
            </w:r>
          </w:p>
        </w:tc>
      </w:tr>
    </w:tbl>
    <w:p>
      <w:pPr>
        <w:spacing w:line="240" w:lineRule="auto" w:after="40" w:before="80"/>
        <w:jc w:val="both"/>
      </w:pPr>
      <w:r>
        <w:rPr>
          <w:color w:val="0000FF"/>
          <w:sz w:val="18"/>
        </w:rPr>
        <w:t>Note: Bootstrap standard errors in parentheses; flags mark implied book equity above ten times assets (Section 3.4). *, **, ***: 10%, 5%, 1% significance.</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FF"/>
          <w:sz w:val="24"/>
        </w:rPr>
        <w:t>Other robustness checks</w:t>
      </w:r>
    </w:p>
    <w:p>
      <w:pPr>
        <w:spacing w:line="360" w:lineRule="auto" w:after="120" w:before="0"/>
        <w:ind w:firstLine="720"/>
        <w:jc w:val="both"/>
      </w:pPr>
      <w:r>
        <w:rPr>
          <w:color w:val="0000FF"/>
        </w:rPr>
        <w:t xml:space="preserve">None of the pre-specified rows R1 to R4 shows an MTB effect that differs from zero at the 10% level (estimates from −0.001 to 0.031; </w:t>
      </w:r>
      <w:r>
        <w:rPr>
          <w:color w:val="0000FF"/>
        </w:rPr>
        <w:t>Appendix A.11 of the supplementary material).</w:t>
      </w:r>
      <w:r>
        <w:rPr/>
        <w:t xml:space="preserve"> </w:t>
      </w:r>
      <w:r>
        <w:rPr>
          <w:color w:val="0000FF"/>
        </w:rPr>
        <w:t>The market capitalization and total assets results are less stable, so we do not read the total assets estimate in Table 2 as evidence that coverage causes growth.</w:t>
      </w:r>
      <w:r>
        <w:rPr/>
        <w:t xml:space="preserve">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color w:val="0000FF"/>
        </w:rPr>
        <w:t>recorded</w:t>
      </w:r>
      <w:r>
        <w:rPr/>
        <w:t xml:space="preserve"> score within pre-score years, yields 0.059 on log MTB (p = 0.010). This failure restates the pre-coverage growth in Figure 1 </w:t>
      </w:r>
      <w:r>
        <w:rPr>
          <w:color w:val="0000FF"/>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color w:val="0000FF"/>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FF"/>
          <w:sz w:val="24"/>
        </w:rPr>
        <w:t>5.9 Does the initial score matter?</w:t>
      </w:r>
    </w:p>
    <w:p>
      <w:pPr>
        <w:spacing w:line="360" w:lineRule="auto" w:after="120" w:before="0"/>
        <w:ind w:firstLine="720"/>
        <w:jc w:val="both"/>
      </w:pPr>
      <w:r>
        <w:rPr/>
        <w:t xml:space="preserve">The last three rows of Table 3 divide scored firms at the cohort median of their first ESG score. </w:t>
      </w:r>
      <w:r>
        <w:rPr>
          <w:color w:val="0000FF"/>
        </w:rPr>
        <w:t>The difference between high- and low-score entrants is −0.041 (standard error 0.040, p = 0.307).</w:t>
      </w:r>
      <w:r>
        <w:rPr/>
        <w:t xml:space="preserve"> Because the score rises with firm size (correlation 0.35 with base-year log total assets), Table S7 repeats the split after purging the score of size, country, and cohort; the difference is then −0.027 (p = 0.491). </w:t>
      </w:r>
      <w:r>
        <w:rPr>
          <w:color w:val="0000FF"/>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FF"/>
          <w:sz w:val="24"/>
        </w:rPr>
        <w:t>5.10 What the pooled estimate represents, and its magnitude</w:t>
      </w:r>
    </w:p>
    <w:p>
      <w:pPr>
        <w:spacing w:line="360" w:lineRule="auto" w:after="120" w:before="0"/>
        <w:ind w:firstLine="720"/>
        <w:jc w:val="both"/>
      </w:pPr>
      <w:r>
        <w:rPr>
          <w:color w:val="0000FF"/>
        </w:rPr>
        <w:t xml:space="preserve">The pooled estimate is a weighted average over cohorts and event years, with weights equal to the number of scored firms in each cell (Eq. </w:t>
      </w:r>
      <w:r>
        <w:rPr>
          <w:color w:val="0000FF"/>
        </w:rPr>
        <w:t>6).</w:t>
      </w:r>
      <w:r>
        <w:rPr/>
        <w:t xml:space="preserve"> </w:t>
      </w:r>
      <w:r>
        <w:rPr>
          <w:color w:val="0000FF"/>
        </w:rPr>
        <w:t>Table S9 of the supplementary material shows that Malaysian firms carry 55.2% of the weight in the headline MTB estimate and Thai firms 26.7%, so the two markets account for 81.9%;</w:t>
      </w:r>
      <w:r>
        <w:rPr/>
        <w:t xml:space="preserve"> </w:t>
      </w:r>
      <w:r>
        <w:rPr>
          <w:color w:val="0000FF"/>
        </w:rPr>
        <w:t>Indonesia, the Philippines, and Singapore together carry the rest.</w:t>
      </w:r>
      <w:r>
        <w:rPr/>
        <w:t xml:space="preserve"> </w:t>
      </w:r>
      <w:r>
        <w:rPr>
          <w:color w:val="0000FF"/>
        </w:rPr>
        <w:t>The Malaysian wave of 2021 and 2022 alone carries 44.1%, and firm-years from 2021 to 2024 carry 87.2%.</w:t>
      </w:r>
      <w:r>
        <w:rPr/>
        <w:t xml:space="preserve"> </w:t>
      </w:r>
      <w:r>
        <w:rPr>
          <w:color w:val="0000FF"/>
        </w:rPr>
        <w:t>The pooled estimate therefore describes mainly the Malaysian expansion and the Thai cohorts in the years after the COVID-19 pandemic.</w:t>
      </w:r>
      <w:r>
        <w:rPr/>
        <w:t xml:space="preserve">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color w:val="0000FF"/>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color w:val="0000FF"/>
        </w:rPr>
        <w:t xml:space="preserve">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w:t>
      </w:r>
      <w:r>
        <w:rPr>
          <w:color w:val="0000FF"/>
        </w:rPr>
        <w:t>Either way, entry marks the end of a period of relative growth, not a random draw.</w:t>
      </w:r>
      <w:r>
        <w:rPr/>
        <w:t xml:space="preserve">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FF"/>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w:t>
      </w:r>
      <w:r>
        <w:rPr/>
        <w:t xml:space="preserve"> With a continued run-up, coverage lowered valuations relative to the trend. With a partly transitory run-up, the flat path is consistent with a positive coverage effect that offset a reversal. </w:t>
      </w:r>
      <w:r>
        <w:rPr>
          <w:color w:val="0000FF"/>
        </w:rPr>
        <w:t xml:space="preserve">The comparison of datings in Section 5.4 fits a reversal, but a negative effect of coverage confined to the waves with a run-up would look the same. </w:t>
      </w:r>
      <w:r>
        <w:rPr>
          <w:color w:val="0000FF"/>
        </w:rPr>
        <w:t>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w:t>
      </w:r>
      <w:r>
        <w:rPr/>
        <w:t xml:space="preserv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FF"/>
          <w:sz w:val="24"/>
        </w:rPr>
        <w:t>Mechanisms that the data can and cannot evaluate</w:t>
      </w:r>
    </w:p>
    <w:p>
      <w:pPr>
        <w:spacing w:line="360" w:lineRule="auto" w:after="120" w:before="0"/>
        <w:ind w:firstLine="720"/>
        <w:jc w:val="both"/>
      </w:pPr>
      <w:r>
        <w:rPr>
          <w:color w:val="0000FF"/>
        </w:rPr>
        <w:t xml:space="preserve">The recognition and preference channels motivate the hypotheses, but the evidence speaks to them only indirectly. </w:t>
      </w:r>
      <w:r>
        <w:rPr>
          <w:color w:val="0000FF"/>
        </w:rPr>
        <w:t>Recognition predicts a lasting gain for every newly scored firm; we detect none under assumption (2), but without ownership, trading, or fund-holding data we cannot tell whether recognition did not increase or whether it increased without moving prices.</w:t>
      </w:r>
      <w:r>
        <w:rPr/>
        <w:t xml:space="preserve"> </w:t>
      </w:r>
      <w:r>
        <w:rPr>
          <w:color w:val="0000FF"/>
        </w:rPr>
        <w:t>Investor participation is a natural place to look, since investor groups in the region respond differently to trading conditions (Sudsawasd &amp; Sakdapat, 2026).</w:t>
      </w:r>
      <w:r>
        <w:rPr/>
        <w:t xml:space="preserve"> </w:t>
      </w:r>
      <w:r>
        <w:rPr>
          <w:color w:val="0000FF"/>
        </w:rPr>
        <w:t>Preferences predict opposite signs for high- and low-score entrants; the split in Section 5.9 cannot detect a moderate difference.</w:t>
      </w:r>
      <w:r>
        <w:rPr/>
        <w:t xml:space="preserv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color w:val="0000FF"/>
        </w:rPr>
        <w:t xml:space="preserve">Two features of our setting may explain the contrast: </w:t>
      </w:r>
      <w:r>
        <w:rPr>
          <w:color w:val="0000FF"/>
        </w:rPr>
        <w:t>ESG fund holdings respond to MSCI ratings, not to those of other providers (Berg, Heeb, et al., 2022), and scored firms were large and visible before coverage (Table 1), which leaves less room for recognition (Merton, 1987).</w:t>
      </w:r>
      <w:r>
        <w:rPr/>
        <w:t xml:space="preserve"> </w:t>
      </w:r>
      <w:r>
        <w:rPr>
          <w:color w:val="0000FF"/>
        </w:rPr>
        <w:t>U.S. studies find that coverage changes firm conduct and payout (Bikmetova &amp; Pirinsky, 2026;</w:t>
      </w:r>
      <w:r>
        <w:rPr/>
        <w:t xml:space="preserve"> Tsang et al., 2024, 2025); we find no stable change in leverage or total assets.</w:t>
      </w:r>
    </w:p>
    <w:p>
      <w:pPr>
        <w:spacing w:line="360" w:lineRule="auto" w:after="120" w:before="0"/>
        <w:ind w:firstLine="720"/>
        <w:jc w:val="both"/>
      </w:pPr>
      <w:r>
        <w:rPr>
          <w:color w:val="0000FF"/>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FF"/>
          <w:sz w:val="24"/>
        </w:rPr>
        <w:t>6.4 Implications</w:t>
      </w:r>
    </w:p>
    <w:p>
      <w:pPr>
        <w:spacing w:line="360" w:lineRule="auto" w:after="120" w:before="0"/>
        <w:ind w:firstLine="720"/>
        <w:jc w:val="both"/>
      </w:pPr>
      <w:r>
        <w:rPr>
          <w:color w:val="0000FF"/>
        </w:rPr>
        <w:t xml:space="preserve">These implications are bounded by the design: one provider, annual data, five markets, and no data on ownership, returns, or publication dates. </w:t>
      </w:r>
      <w:r>
        <w:rPr>
          <w:color w:val="0000FF"/>
        </w:rPr>
        <w:t>For researchers, comparisons of scored and unscored firms, static TWFE estimates, and backtests built on the first recorded score can attribute selection to the score (Table S8;</w:t>
      </w:r>
      <w:r>
        <w:rPr/>
        <w:t xml:space="preserve"> </w:t>
      </w:r>
      <w:r>
        <w:rPr>
          <w:color w:val="0000FF"/>
        </w:rPr>
        <w:t>Berg et al., 2020;</w:t>
      </w:r>
      <w:r>
        <w:rPr/>
        <w:t xml:space="preserve">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color w:val="0000FF"/>
        </w:rPr>
        <w:t>For rating providers and data users, the scored universe in these markets tilts toward large firms and, outside the Malaysian wave, toward firms that had just outgrown their peers. Publishing the date on which each firm's coverage began, and keeping the vintages of revised scores, would separate what was known from what was filled in later.</w:t>
      </w:r>
    </w:p>
    <w:p>
      <w:pPr>
        <w:spacing w:line="360" w:lineRule="auto" w:after="120" w:before="0"/>
        <w:ind w:firstLine="720"/>
        <w:jc w:val="both"/>
      </w:pPr>
      <w:r>
        <w:rPr>
          <w:color w:val="0000FF"/>
        </w:rPr>
        <w:t xml:space="preserve">For exchanges, regulators, and listed firms, broad expansions such as the Malaysian wave appear to select less on prior growth, and we detect no MTB gain within it.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r>
        <w:rPr/>
        <w:t xml:space="preserve">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color w:val="0000FF"/>
        </w:rPr>
        <w:t xml:space="preserve">The study has seven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 and the unrecorded download date leaves the vintage of revisable recent scores uncertain.</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shares outstanding, ownership, index membership, or firm-level report dates.</w:t>
      </w:r>
      <w:r>
        <w:rPr/>
        <w:t xml:space="preserve"> </w:t>
      </w:r>
      <w:r>
        <w:rPr>
          <w:color w:val="0000FF"/>
        </w:rPr>
        <w:t>Fifth, MTB ratios are missing for about a quarter of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color w:val="0000FF"/>
        </w:rPr>
        <w:t xml:space="preserve">Entry into LSEG ESG coverage in five Southeast Asian markets was selective. </w:t>
      </w:r>
      <w:r>
        <w:rPr>
          <w:color w:val="0000FF"/>
        </w:rPr>
        <w:t>The firms that received a first recorded score were larger than never-scored firms, and outside the broad Malaysian wave of 2021 and 2022 their market-to-book ratio had grown faster than that of similar firms before entry, by 10.0% over five years.</w:t>
      </w:r>
      <w:r>
        <w:rPr/>
        <w:t xml:space="preserve"> </w:t>
      </w:r>
      <w:r>
        <w:rPr>
          <w:color w:val="0000FF"/>
        </w:rPr>
        <w:t>After entry, the valuation gap stopped widening.</w:t>
      </w:r>
      <w:r>
        <w:rPr/>
        <w:t xml:space="preserve">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 xml:space="preserve">A rated firm is not a random firm, and research and investment screens that start from a provider's universe inherit the provider's selection. </w:t>
      </w:r>
      <w:r>
        <w:rPr>
          <w:color w:val="0000FF"/>
        </w:rPr>
        <w:t>Two kinds of data would move the question forward: point-in-time records of when each firm's score was first published, which would date the event as investors saw it, and ownership and trading data, which would show whether new coverage brings new investors.</w:t>
      </w:r>
      <w:r>
        <w:rPr/>
        <w:t xml:space="preserve">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w:t>
      </w:r>
      <w:r>
        <w:rPr>
          <w:color w:val="0000FF"/>
        </w:rPr>
        <w:t xml:space="preserve">Sustainable investing with ESG rating uncertainty. </w:t>
      </w:r>
      <w:r>
        <w:rPr>
          <w:i/>
          <w:color w:val="0000FF"/>
        </w:rPr>
        <w:t>Journal of Financial Economics</w:t>
      </w:r>
      <w:r>
        <w:rPr>
          <w:color w:val="0000FF"/>
        </w:rPr>
        <w:t xml:space="preserve">, </w:t>
      </w:r>
      <w:r>
        <w:rPr>
          <w:i/>
          <w:color w:val="0000FF"/>
        </w:rPr>
        <w:t>145</w:t>
      </w:r>
      <w:r>
        <w:rPr>
          <w:color w:val="0000FF"/>
        </w:rPr>
        <w:t>(2), 642–664. https://doi.org/10.1016/j.jfineco.2021.09.009</w:t>
      </w:r>
    </w:p>
    <w:p>
      <w:pPr>
        <w:spacing w:line="360" w:lineRule="auto" w:after="80" w:before="0"/>
        <w:ind w:left="720" w:hanging="720"/>
      </w:pPr>
      <w:r>
        <w:rPr/>
        <w:t xml:space="preserve">Baker, A. C., Larcker, D. F., &amp; Wang, C. C. Y. (2022). </w:t>
      </w:r>
      <w:r>
        <w:rPr>
          <w:color w:val="0000FF"/>
        </w:rPr>
        <w:t xml:space="preserve">How much should we trust staggered difference-in-differences estimates? </w:t>
      </w:r>
      <w:r>
        <w:rPr>
          <w:i/>
          <w:color w:val="0000FF"/>
        </w:rPr>
        <w:t>Journal of Financial Economics</w:t>
      </w:r>
      <w:r>
        <w:rPr>
          <w:color w:val="0000FF"/>
        </w:rPr>
        <w:t xml:space="preserve">, </w:t>
      </w:r>
      <w:r>
        <w:rPr>
          <w:i/>
          <w:color w:val="0000FF"/>
        </w:rPr>
        <w:t>144</w:t>
      </w:r>
      <w:r>
        <w:rPr>
          <w:color w:val="0000FF"/>
        </w:rPr>
        <w:t>(2), 370–395. https://doi.org/10.1016/j.jfineco.2022.01.004</w:t>
      </w:r>
    </w:p>
    <w:p>
      <w:pPr>
        <w:spacing w:line="360" w:lineRule="auto" w:after="80" w:before="0"/>
        <w:ind w:left="720" w:hanging="720"/>
      </w:pPr>
      <w:r>
        <w:rPr/>
        <w:t xml:space="preserve">Berg, F., Fabisik, K., &amp; Sautner, Z. </w:t>
      </w:r>
      <w:r>
        <w:rPr>
          <w:color w:val="0000FF"/>
        </w:rPr>
        <w:t>(2020). *Is history repeating itself?</w:t>
      </w:r>
      <w:r>
        <w:rPr/>
        <w:t xml:space="preserve"> The (un)predictable past of ESG ratings* (Finance Working Paper No. 708/2020). European Corporate Governance Institute. https://ssrn.com/abstract=3722087</w:t>
      </w:r>
    </w:p>
    <w:p>
      <w:pPr>
        <w:spacing w:line="360" w:lineRule="auto" w:after="80" w:before="0"/>
        <w:ind w:left="720" w:hanging="720"/>
      </w:pPr>
      <w:r>
        <w:rPr/>
        <w:t xml:space="preserve">Berg, F., Heeb, F., &amp; Kölbel, J. F. </w:t>
      </w:r>
      <w:r>
        <w:rPr>
          <w:color w:val="0000FF"/>
        </w:rPr>
        <w:t xml:space="preserve">(2022). </w:t>
      </w:r>
      <w:r>
        <w:rPr>
          <w:i/>
          <w:color w:val="0000FF"/>
        </w:rPr>
        <w:t>The economic impact of ESG ratings</w:t>
      </w:r>
      <w:r>
        <w:rPr>
          <w:color w:val="0000FF"/>
        </w:rPr>
        <w:t xml:space="preserve"> (SAFE Working Paper No.</w:t>
      </w:r>
      <w:r>
        <w:rPr/>
        <w:t xml:space="preserve"> 439). Leibniz Institute for Financial Research SAFE. https://ssrn.com/abstract=4088545</w:t>
      </w:r>
    </w:p>
    <w:p>
      <w:pPr>
        <w:spacing w:line="360" w:lineRule="auto" w:after="80" w:before="0"/>
        <w:ind w:left="720" w:hanging="720"/>
      </w:pPr>
      <w:r>
        <w:rPr/>
        <w:t xml:space="preserve">Berg, F., Kölbel, J. F., &amp; Rigobon, R. (2022). Aggregate confusion: </w:t>
      </w:r>
      <w:r>
        <w:rPr>
          <w:color w:val="0000FF"/>
        </w:rPr>
        <w:t xml:space="preserve">The divergence of ESG ratings. </w:t>
      </w:r>
      <w:r>
        <w:rPr>
          <w:i/>
          <w:color w:val="0000FF"/>
        </w:rPr>
        <w:t>Review of Finance</w:t>
      </w:r>
      <w:r>
        <w:rPr>
          <w:color w:val="0000FF"/>
        </w:rPr>
        <w:t xml:space="preserve">, </w:t>
      </w:r>
      <w:r>
        <w:rPr>
          <w:i/>
          <w:color w:val="0000FF"/>
        </w:rPr>
        <w:t>26</w:t>
      </w:r>
      <w:r>
        <w:rPr>
          <w:color w:val="0000FF"/>
        </w:rPr>
        <w:t>(6), 1315–1344. https://doi.org/10.1093/rof/rfac033</w:t>
      </w:r>
    </w:p>
    <w:p>
      <w:pPr>
        <w:spacing w:line="360" w:lineRule="auto" w:after="80" w:before="0"/>
        <w:ind w:left="720" w:hanging="720"/>
      </w:pPr>
      <w:r>
        <w:rPr/>
        <w:t xml:space="preserve">Bernama. </w:t>
      </w:r>
      <w:r>
        <w:rPr>
          <w:color w:val="0000FF"/>
        </w:rPr>
        <w:t xml:space="preserve">(2022, November 2). </w:t>
      </w:r>
      <w:r>
        <w:rPr>
          <w:i/>
          <w:color w:val="0000FF"/>
        </w:rPr>
        <w:t>Bursa Malaysia signs sustainability MoU with London Stock Exchange Group</w:t>
      </w:r>
      <w:r>
        <w:rPr>
          <w:color w:val="0000FF"/>
        </w:rPr>
        <w:t>. https://www.bernama.com/en/news.php?id=2134522</w:t>
      </w:r>
    </w:p>
    <w:p>
      <w:pPr>
        <w:spacing w:line="360" w:lineRule="auto" w:after="80" w:before="0"/>
        <w:ind w:left="720" w:hanging="720"/>
      </w:pPr>
      <w:r>
        <w:rPr/>
        <w:t xml:space="preserve">Bikmetova, N., &amp; Pirinsky, C. A. (2026). </w:t>
      </w:r>
      <w:r>
        <w:rPr>
          <w:color w:val="0000FF"/>
        </w:rPr>
        <w:t xml:space="preserve">Do ESG rating agencies improve ESG performance? </w:t>
      </w:r>
      <w:r>
        <w:rPr>
          <w:i/>
          <w:color w:val="0000FF"/>
        </w:rPr>
        <w:t>Journal of Business Ethics</w:t>
      </w:r>
      <w:r>
        <w:rPr>
          <w:color w:val="0000FF"/>
        </w:rPr>
        <w:t xml:space="preserve">, </w:t>
      </w:r>
      <w:r>
        <w:rPr>
          <w:i/>
          <w:color w:val="0000FF"/>
        </w:rPr>
        <w:t>204</w:t>
      </w:r>
      <w:r>
        <w:rPr>
          <w:color w:val="0000FF"/>
        </w:rPr>
        <w:t>(2), 335–365. https://doi.org/10.1007/s10551-025-06063-0</w:t>
      </w:r>
    </w:p>
    <w:p>
      <w:pPr>
        <w:spacing w:line="360" w:lineRule="auto" w:after="80" w:before="0"/>
        <w:ind w:left="720" w:hanging="720"/>
      </w:pPr>
      <w:r>
        <w:rPr/>
        <w:t xml:space="preserve">Bursa Malaysia. </w:t>
      </w:r>
      <w:r>
        <w:rPr>
          <w:color w:val="0000FF"/>
        </w:rPr>
        <w:t xml:space="preserve">(2015). </w:t>
      </w:r>
      <w:r>
        <w:rPr>
          <w:i/>
          <w:color w:val="0000FF"/>
        </w:rPr>
        <w:t>Sustainability reporting guide</w:t>
      </w:r>
      <w:r>
        <w:rPr>
          <w:color w:val="0000FF"/>
        </w:rPr>
        <w:t>.</w:t>
      </w:r>
      <w:r>
        <w:rPr/>
        <w:t xml:space="preserve"> Bursa Malaysia Berhad.</w:t>
      </w:r>
    </w:p>
    <w:p>
      <w:pPr>
        <w:spacing w:line="360" w:lineRule="auto" w:after="80" w:before="0"/>
        <w:ind w:left="720" w:hanging="720"/>
      </w:pPr>
      <w:r>
        <w:rPr/>
        <w:t xml:space="preserve">Callaway, B., &amp; Sant'Anna, P. H. C. (2021). </w:t>
      </w:r>
      <w:r>
        <w:rPr>
          <w:color w:val="0000FF"/>
        </w:rPr>
        <w:t xml:space="preserve">Difference-in-differences with multiple time periods. </w:t>
      </w:r>
      <w:r>
        <w:rPr>
          <w:i/>
          <w:color w:val="0000FF"/>
        </w:rPr>
        <w:t>Journal of Econometrics</w:t>
      </w:r>
      <w:r>
        <w:rPr>
          <w:color w:val="0000FF"/>
        </w:rPr>
        <w:t xml:space="preserve">, </w:t>
      </w:r>
      <w:r>
        <w:rPr>
          <w:i/>
          <w:color w:val="0000FF"/>
        </w:rPr>
        <w:t>225</w:t>
      </w:r>
      <w:r>
        <w:rPr>
          <w:color w:val="0000FF"/>
        </w:rPr>
        <w:t>(2), 200–230. https://doi.org/10.1016/j.jeconom.2020.12.001</w:t>
      </w:r>
    </w:p>
    <w:p>
      <w:pPr>
        <w:spacing w:line="360" w:lineRule="auto" w:after="80" w:before="0"/>
        <w:ind w:left="720" w:hanging="720"/>
      </w:pPr>
      <w:r>
        <w:rPr/>
        <w:t xml:space="preserve">Chen, H., Noronha, G., &amp; Singal, V. (2004). The price response to S&amp;P 500 index additions and deletions: </w:t>
      </w:r>
      <w:r>
        <w:rPr>
          <w:color w:val="0000FF"/>
        </w:rPr>
        <w:t xml:space="preserve">Evidence of asymmetry and a new explanation. </w:t>
      </w:r>
      <w:r>
        <w:rPr>
          <w:i/>
          <w:color w:val="0000FF"/>
        </w:rPr>
        <w:t>The Journal of Finance</w:t>
      </w:r>
      <w:r>
        <w:rPr>
          <w:color w:val="0000FF"/>
        </w:rPr>
        <w:t xml:space="preserve">, </w:t>
      </w:r>
      <w:r>
        <w:rPr>
          <w:i/>
          <w:color w:val="0000FF"/>
        </w:rPr>
        <w:t>59</w:t>
      </w:r>
      <w:r>
        <w:rPr>
          <w:color w:val="0000FF"/>
        </w:rPr>
        <w:t>(4), 1901–1929. https://doi.org/10.1111/j.1540-6261.2004.00683.x</w:t>
      </w:r>
    </w:p>
    <w:p>
      <w:pPr>
        <w:spacing w:line="360" w:lineRule="auto" w:after="80" w:before="0"/>
        <w:ind w:left="720" w:hanging="720"/>
      </w:pPr>
      <w:r>
        <w:rPr/>
        <w:t xml:space="preserve">Christensen, D. M., Serafeim, G., &amp; Sikochi, A. (2022). Why is corporate virtue in the eye of the beholder? </w:t>
      </w:r>
      <w:r>
        <w:rPr>
          <w:color w:val="0000FF"/>
        </w:rPr>
        <w:t xml:space="preserve">The case of ESG ratings. </w:t>
      </w:r>
      <w:r>
        <w:rPr>
          <w:i/>
          <w:color w:val="0000FF"/>
        </w:rPr>
        <w:t>The Accounting Review</w:t>
      </w:r>
      <w:r>
        <w:rPr>
          <w:color w:val="0000FF"/>
        </w:rPr>
        <w:t xml:space="preserve">, </w:t>
      </w:r>
      <w:r>
        <w:rPr>
          <w:i/>
          <w:color w:val="0000FF"/>
        </w:rPr>
        <w:t>97</w:t>
      </w:r>
      <w:r>
        <w:rPr>
          <w:color w:val="0000FF"/>
        </w:rPr>
        <w:t>(1), 147–175. https://doi.org/10.2308/TAR-2019-0506</w:t>
      </w:r>
    </w:p>
    <w:p>
      <w:pPr>
        <w:spacing w:line="360" w:lineRule="auto" w:after="80" w:before="0"/>
        <w:ind w:left="720" w:hanging="720"/>
      </w:pPr>
      <w:r>
        <w:rPr>
          <w:color w:val="0000FF"/>
        </w:rPr>
        <w:t xml:space="preserve">Crump, R.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w:t>
      </w:r>
      <w:r>
        <w:rPr>
          <w:color w:val="0000FF"/>
        </w:rPr>
        <w:t xml:space="preserve">The first analyst coverage of neglected stocks. </w:t>
      </w:r>
      <w:r>
        <w:rPr>
          <w:i/>
          <w:color w:val="0000FF"/>
        </w:rPr>
        <w:t>Financial Management</w:t>
      </w:r>
      <w:r>
        <w:rPr>
          <w:color w:val="0000FF"/>
        </w:rPr>
        <w:t xml:space="preserve">, </w:t>
      </w:r>
      <w:r>
        <w:rPr>
          <w:i/>
          <w:color w:val="0000FF"/>
        </w:rPr>
        <w:t>39</w:t>
      </w:r>
      <w:r>
        <w:rPr>
          <w:color w:val="0000FF"/>
        </w:rPr>
        <w:t>(2), 555–584. https://doi.org/10.1111/j.1755-053X.2010.01084.x</w:t>
      </w:r>
    </w:p>
    <w:p>
      <w:pPr>
        <w:spacing w:line="360" w:lineRule="auto" w:after="80" w:before="0"/>
        <w:ind w:left="720" w:hanging="720"/>
      </w:pPr>
      <w:r>
        <w:rPr/>
        <w:t xml:space="preserve">Dobrick, J., Klein, C., &amp; Zwergel, B. (2023). </w:t>
      </w:r>
      <w:r>
        <w:rPr>
          <w:color w:val="0000FF"/>
        </w:rPr>
        <w:t xml:space="preserve">Size bias in Refinitiv ESG data. </w:t>
      </w:r>
      <w:r>
        <w:rPr>
          <w:i/>
          <w:color w:val="0000FF"/>
        </w:rPr>
        <w:t>Finance Research Letters</w:t>
      </w:r>
      <w:r>
        <w:rPr>
          <w:color w:val="0000FF"/>
        </w:rPr>
        <w:t xml:space="preserve">, </w:t>
      </w:r>
      <w:r>
        <w:rPr>
          <w:i/>
          <w:color w:val="0000FF"/>
        </w:rPr>
        <w:t>55</w:t>
      </w:r>
      <w:r>
        <w:rPr>
          <w:color w:val="0000FF"/>
        </w:rPr>
        <w:t>, Article 104014. https://doi.org/10.1016/j.frl.2023.104014</w:t>
      </w:r>
    </w:p>
    <w:p>
      <w:pPr>
        <w:spacing w:line="360" w:lineRule="auto" w:after="80" w:before="0"/>
        <w:ind w:left="720" w:hanging="720"/>
      </w:pPr>
      <w:r>
        <w:rPr/>
        <w:t xml:space="preserve">Drempetic, S., Klein, C., &amp; Zwergel, B. (2020). The influence of firm size on the ESG score: </w:t>
      </w:r>
      <w:r>
        <w:rPr>
          <w:color w:val="0000FF"/>
        </w:rPr>
        <w:t xml:space="preserve">Corporate sustainability ratings under review. </w:t>
      </w:r>
      <w:r>
        <w:rPr>
          <w:i/>
          <w:color w:val="0000FF"/>
        </w:rPr>
        <w:t>Journal of Business Ethics</w:t>
      </w:r>
      <w:r>
        <w:rPr>
          <w:color w:val="0000FF"/>
        </w:rPr>
        <w:t xml:space="preserve">, </w:t>
      </w:r>
      <w:r>
        <w:rPr>
          <w:i/>
          <w:color w:val="0000FF"/>
        </w:rPr>
        <w:t>167</w:t>
      </w:r>
      <w:r>
        <w:rPr>
          <w:color w:val="0000FF"/>
        </w:rPr>
        <w:t>(2), 333–360. https://doi.org/10.1007/s10551-019-04164-1</w:t>
      </w:r>
    </w:p>
    <w:p>
      <w:pPr>
        <w:spacing w:line="360" w:lineRule="auto" w:after="80" w:before="0"/>
        <w:ind w:left="720" w:hanging="720"/>
      </w:pPr>
      <w:r>
        <w:rPr/>
        <w:t xml:space="preserve">Durand, R., Paugam, L., &amp; Stolowy, H. (2019). Do investors actually value sustainability indices? </w:t>
      </w:r>
      <w:r>
        <w:rPr>
          <w:color w:val="0000FF"/>
        </w:rPr>
        <w:t xml:space="preserve">Replication, development, and new evidence on CSR visibility. </w:t>
      </w:r>
      <w:r>
        <w:rPr>
          <w:i/>
          <w:color w:val="0000FF"/>
        </w:rPr>
        <w:t>Strategic Management Journal</w:t>
      </w:r>
      <w:r>
        <w:rPr>
          <w:color w:val="0000FF"/>
        </w:rPr>
        <w:t xml:space="preserve">, </w:t>
      </w:r>
      <w:r>
        <w:rPr>
          <w:i/>
          <w:color w:val="0000FF"/>
        </w:rPr>
        <w:t>40</w:t>
      </w:r>
      <w:r>
        <w:rPr>
          <w:color w:val="0000FF"/>
        </w:rPr>
        <w:t>(9), 1471–1490. https://doi.org/10.1002/smj.3035</w:t>
      </w:r>
    </w:p>
    <w:p>
      <w:pPr>
        <w:spacing w:line="360" w:lineRule="auto" w:after="80" w:before="0"/>
        <w:ind w:left="720" w:hanging="720"/>
      </w:pPr>
      <w:r>
        <w:rPr/>
        <w:t xml:space="preserve">Gibson Brandon, R., Krueger, P., &amp; Schmidt, P. S. (2021). </w:t>
      </w:r>
      <w:r>
        <w:rPr>
          <w:color w:val="0000FF"/>
        </w:rPr>
        <w:t xml:space="preserve">ESG rating disagreement and stock returns. </w:t>
      </w:r>
      <w:r>
        <w:rPr>
          <w:i/>
          <w:color w:val="0000FF"/>
        </w:rPr>
        <w:t>Financial Analysts Journal</w:t>
      </w:r>
      <w:r>
        <w:rPr>
          <w:color w:val="0000FF"/>
        </w:rPr>
        <w:t xml:space="preserve">, </w:t>
      </w:r>
      <w:r>
        <w:rPr>
          <w:i/>
          <w:color w:val="0000FF"/>
        </w:rPr>
        <w:t>77</w:t>
      </w:r>
      <w:r>
        <w:rPr>
          <w:color w:val="0000FF"/>
        </w:rPr>
        <w:t>(4), 104–127. https://doi.org/10.1080/0015198X.2021.1963186</w:t>
      </w:r>
    </w:p>
    <w:p>
      <w:pPr>
        <w:spacing w:line="360" w:lineRule="auto" w:after="80" w:before="0"/>
        <w:ind w:left="720" w:hanging="720"/>
      </w:pPr>
      <w:r>
        <w:rPr/>
        <w:t xml:space="preserve">Goodman-Bacon, A. (2021). </w:t>
      </w:r>
      <w:r>
        <w:rPr>
          <w:color w:val="0000FF"/>
        </w:rPr>
        <w:t xml:space="preserve">Difference-in-differences with variation in treatment timing. </w:t>
      </w:r>
      <w:r>
        <w:rPr>
          <w:i/>
          <w:color w:val="0000FF"/>
        </w:rPr>
        <w:t>Journal of Econometrics</w:t>
      </w:r>
      <w:r>
        <w:rPr>
          <w:color w:val="0000FF"/>
        </w:rPr>
        <w:t xml:space="preserve">, </w:t>
      </w:r>
      <w:r>
        <w:rPr>
          <w:i/>
          <w:color w:val="0000FF"/>
        </w:rPr>
        <w:t>225</w:t>
      </w:r>
      <w:r>
        <w:rPr>
          <w:color w:val="0000FF"/>
        </w:rPr>
        <w:t>(2), 254–277. https://doi.org/10.1016/j.jeconom.2021.03.014</w:t>
      </w:r>
    </w:p>
    <w:p>
      <w:pPr>
        <w:spacing w:line="360" w:lineRule="auto" w:after="80" w:before="0"/>
        <w:ind w:left="720" w:hanging="720"/>
      </w:pPr>
      <w:r>
        <w:rPr/>
        <w:t xml:space="preserve">Harris, L., &amp; Gurel, E. (1986). Price and volume effects associated with changes in the S&amp;P 500 list: </w:t>
      </w:r>
      <w:r>
        <w:rPr>
          <w:color w:val="0000FF"/>
        </w:rPr>
        <w:t xml:space="preserve">New evidence for the existence of price pressures. </w:t>
      </w:r>
      <w:r>
        <w:rPr>
          <w:i/>
          <w:color w:val="0000FF"/>
        </w:rPr>
        <w:t>The Journal of Finance</w:t>
      </w:r>
      <w:r>
        <w:rPr>
          <w:color w:val="0000FF"/>
        </w:rPr>
        <w:t xml:space="preserve">, </w:t>
      </w:r>
      <w:r>
        <w:rPr>
          <w:i/>
          <w:color w:val="0000FF"/>
        </w:rPr>
        <w:t>41</w:t>
      </w:r>
      <w:r>
        <w:rPr>
          <w:color w:val="0000FF"/>
        </w:rPr>
        <w:t>(4), 815–829. https://doi.org/10.1111/j.1540-6261.1986.tb04550.x</w:t>
      </w:r>
    </w:p>
    <w:p>
      <w:pPr>
        <w:spacing w:line="360" w:lineRule="auto" w:after="80" w:before="0"/>
        <w:ind w:left="720" w:hanging="720"/>
      </w:pPr>
      <w:r>
        <w:rPr/>
        <w:t xml:space="preserve">Hartzmark, S. M., &amp; Sussman, A. B. (2019). Do investors value sustainability? </w:t>
      </w:r>
      <w:r>
        <w:rPr>
          <w:color w:val="0000FF"/>
        </w:rPr>
        <w:t xml:space="preserve">A natural experiment examining ranking and fund flows. </w:t>
      </w:r>
      <w:r>
        <w:rPr>
          <w:i/>
          <w:color w:val="0000FF"/>
        </w:rPr>
        <w:t>The Journal of Finance</w:t>
      </w:r>
      <w:r>
        <w:rPr>
          <w:color w:val="0000FF"/>
        </w:rPr>
        <w:t xml:space="preserve">, </w:t>
      </w:r>
      <w:r>
        <w:rPr>
          <w:i/>
          <w:color w:val="0000FF"/>
        </w:rPr>
        <w:t>74</w:t>
      </w:r>
      <w:r>
        <w:rPr>
          <w:color w:val="0000FF"/>
        </w:rPr>
        <w:t>(6), 2789–2837. https://doi.org/10.1111/jofi.12841</w:t>
      </w:r>
    </w:p>
    <w:p>
      <w:pPr>
        <w:spacing w:line="360" w:lineRule="auto" w:after="80" w:before="0"/>
        <w:ind w:left="720" w:hanging="720"/>
      </w:pPr>
      <w:r>
        <w:rPr/>
        <w:t xml:space="preserve">Hawn, O., Chatterji, A. K., &amp; Mitchell, W. (2018). Do investors actually value sustainability? </w:t>
      </w:r>
      <w:r>
        <w:rPr>
          <w:color w:val="0000FF"/>
        </w:rPr>
        <w:t xml:space="preserve">New evidence from investor reactions to the Dow Jones Sustainability Index (DJSI). </w:t>
      </w:r>
      <w:r>
        <w:rPr>
          <w:i/>
          <w:color w:val="0000FF"/>
        </w:rPr>
        <w:t>Strategic Management Journal</w:t>
      </w:r>
      <w:r>
        <w:rPr>
          <w:color w:val="0000FF"/>
        </w:rPr>
        <w:t xml:space="preserve">, </w:t>
      </w:r>
      <w:r>
        <w:rPr>
          <w:i/>
          <w:color w:val="0000FF"/>
        </w:rPr>
        <w:t>39</w:t>
      </w:r>
      <w:r>
        <w:rPr>
          <w:color w:val="0000FF"/>
        </w:rPr>
        <w:t>(4), 949–976. https://doi.org/10.1002/smj.2752</w:t>
      </w:r>
    </w:p>
    <w:p>
      <w:pPr>
        <w:spacing w:line="360" w:lineRule="auto" w:after="80" w:before="0"/>
        <w:ind w:left="720" w:hanging="720"/>
      </w:pPr>
      <w:r>
        <w:rPr/>
        <w:t xml:space="preserve">Kelly, B., &amp; Ljungqvist, A. (2012). </w:t>
      </w:r>
      <w:r>
        <w:rPr>
          <w:color w:val="0000FF"/>
        </w:rPr>
        <w:t xml:space="preserve">Testing asymmetric-information asset pricing models. </w:t>
      </w:r>
      <w:r>
        <w:rPr>
          <w:i/>
          <w:color w:val="0000FF"/>
        </w:rPr>
        <w:t>The Review of Financial Studies</w:t>
      </w:r>
      <w:r>
        <w:rPr>
          <w:color w:val="0000FF"/>
        </w:rPr>
        <w:t xml:space="preserve">, </w:t>
      </w:r>
      <w:r>
        <w:rPr>
          <w:i/>
          <w:color w:val="0000FF"/>
        </w:rPr>
        <w:t>25</w:t>
      </w:r>
      <w:r>
        <w:rPr>
          <w:color w:val="0000FF"/>
        </w:rPr>
        <w:t>(5), 1366–1413. https://doi.org/10.1093/rfs/hhr134</w:t>
      </w:r>
    </w:p>
    <w:p>
      <w:pPr>
        <w:spacing w:line="360" w:lineRule="auto" w:after="80" w:before="0"/>
        <w:ind w:left="720" w:hanging="720"/>
      </w:pPr>
      <w:r>
        <w:rPr/>
        <w:t xml:space="preserve">Krueger, P., Sautner, Z., Tang, D. Y., &amp; Zhong, R. (2024). </w:t>
      </w:r>
      <w:r>
        <w:rPr>
          <w:color w:val="0000FF"/>
        </w:rPr>
        <w:t xml:space="preserve">The effects of mandatory ESG disclosure around the world. </w:t>
      </w:r>
      <w:r>
        <w:rPr>
          <w:i/>
          <w:color w:val="0000FF"/>
        </w:rPr>
        <w:t>Journal of Accounting Research</w:t>
      </w:r>
      <w:r>
        <w:rPr>
          <w:color w:val="0000FF"/>
        </w:rPr>
        <w:t xml:space="preserve">, </w:t>
      </w:r>
      <w:r>
        <w:rPr>
          <w:i/>
          <w:color w:val="0000FF"/>
        </w:rPr>
        <w:t>62</w:t>
      </w:r>
      <w:r>
        <w:rPr>
          <w:color w:val="0000FF"/>
        </w:rPr>
        <w:t>(5), 1795–1847. https://doi.org/10.1111/1475-679X.12548</w:t>
      </w:r>
    </w:p>
    <w:p>
      <w:pPr>
        <w:spacing w:line="360" w:lineRule="auto" w:after="80" w:before="0"/>
        <w:ind w:left="720" w:hanging="720"/>
      </w:pPr>
      <w:r>
        <w:rPr/>
        <w:t xml:space="preserve">LSEG. </w:t>
      </w:r>
      <w:r>
        <w:rPr>
          <w:color w:val="0000FF"/>
        </w:rPr>
        <w:t xml:space="preserve">(2025). </w:t>
      </w:r>
      <w:r>
        <w:rPr>
          <w:i/>
          <w:color w:val="0000FF"/>
        </w:rPr>
        <w:t>LSEG ESG scores (ESG score field), annual, 2014–2024</w:t>
      </w:r>
      <w:r>
        <w:rPr>
          <w:color w:val="0000FF"/>
        </w:rPr>
        <w:t xml:space="preserve"> [Data set].</w:t>
      </w:r>
      <w:r>
        <w:rPr/>
        <w:t xml:space="preserve"> LSEG Workspace.</w:t>
      </w:r>
    </w:p>
    <w:p>
      <w:pPr>
        <w:spacing w:line="360" w:lineRule="auto" w:after="80" w:before="0"/>
        <w:ind w:left="720" w:hanging="720"/>
      </w:pPr>
      <w:r>
        <w:rPr>
          <w:color w:val="0000FF"/>
        </w:rPr>
        <w:t xml:space="preserve">LSEG. (n.d.). </w:t>
      </w:r>
      <w:r>
        <w:rPr>
          <w:i/>
          <w:color w:val="0000FF"/>
        </w:rPr>
        <w:t>Refinitiv Data Platform ESG bulk point in time user guide</w:t>
      </w:r>
      <w:r>
        <w:rPr>
          <w:color w:val="0000FF"/>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w:t>
      </w:r>
      <w:r>
        <w:rPr>
          <w:color w:val="0000FF"/>
        </w:rPr>
        <w:t xml:space="preserve">A simple model of capital market equilibrium with incomplete information. </w:t>
      </w:r>
      <w:r>
        <w:rPr>
          <w:i/>
          <w:color w:val="0000FF"/>
        </w:rPr>
        <w:t>The Journal of Finance</w:t>
      </w:r>
      <w:r>
        <w:rPr>
          <w:color w:val="0000FF"/>
        </w:rPr>
        <w:t xml:space="preserve">, </w:t>
      </w:r>
      <w:r>
        <w:rPr>
          <w:i/>
          <w:color w:val="0000FF"/>
        </w:rPr>
        <w:t>42</w:t>
      </w:r>
      <w:r>
        <w:rPr>
          <w:color w:val="0000FF"/>
        </w:rPr>
        <w:t>(3), 483–510. https://doi.org/10.1111/j.1540-6261.1987.tb04565.x</w:t>
      </w:r>
    </w:p>
    <w:p>
      <w:pPr>
        <w:spacing w:line="360" w:lineRule="auto" w:after="80" w:before="0"/>
        <w:ind w:left="720" w:hanging="720"/>
      </w:pPr>
      <w:r>
        <w:rPr>
          <w:color w:val="0000FF"/>
        </w:rPr>
        <w:t xml:space="preserve">Nguyen, T. </w:t>
      </w:r>
      <w:r>
        <w:rPr>
          <w:color w:val="0000FF"/>
        </w:rPr>
        <w:t>T.</w:t>
      </w:r>
      <w:r>
        <w:rPr/>
        <w:t xml:space="preserve"> (2025). </w:t>
      </w:r>
      <w:r>
        <w:rPr>
          <w:color w:val="0000FF"/>
        </w:rPr>
        <w:t>Ownership structure and corporate social responsibility:</w:t>
      </w:r>
      <w:r>
        <w:rPr/>
        <w:t xml:space="preserve">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w:t>
      </w:r>
      <w:r>
        <w:rPr>
          <w:color w:val="0000FF"/>
        </w:rPr>
        <w:t xml:space="preserve">Sustainable investing in equilibrium. </w:t>
      </w:r>
      <w:r>
        <w:rPr>
          <w:i/>
          <w:color w:val="0000FF"/>
        </w:rPr>
        <w:t>Journal of Financial Economics</w:t>
      </w:r>
      <w:r>
        <w:rPr>
          <w:color w:val="0000FF"/>
        </w:rPr>
        <w:t xml:space="preserve">, </w:t>
      </w:r>
      <w:r>
        <w:rPr>
          <w:i/>
          <w:color w:val="0000FF"/>
        </w:rPr>
        <w:t>142</w:t>
      </w:r>
      <w:r>
        <w:rPr>
          <w:color w:val="0000FF"/>
        </w:rPr>
        <w:t>(2), 550–571. https://doi.org/10.1016/j.jfineco.2020.12.011</w:t>
      </w:r>
    </w:p>
    <w:p>
      <w:pPr>
        <w:spacing w:line="360" w:lineRule="auto" w:after="80" w:before="0"/>
        <w:ind w:left="720" w:hanging="720"/>
      </w:pPr>
      <w:r>
        <w:rPr/>
        <w:t xml:space="preserve">Pástor, Ľ., Stambaugh, R. F., &amp; Taylor, L. A. (2022). </w:t>
      </w:r>
      <w:r>
        <w:rPr>
          <w:color w:val="0000FF"/>
        </w:rPr>
        <w:t xml:space="preserve">Dissecting green returns. </w:t>
      </w:r>
      <w:r>
        <w:rPr>
          <w:i/>
          <w:color w:val="0000FF"/>
        </w:rPr>
        <w:t>Journal of Financial Economics</w:t>
      </w:r>
      <w:r>
        <w:rPr>
          <w:color w:val="0000FF"/>
        </w:rPr>
        <w:t xml:space="preserve">, </w:t>
      </w:r>
      <w:r>
        <w:rPr>
          <w:i/>
          <w:color w:val="0000FF"/>
        </w:rPr>
        <w:t>146</w:t>
      </w:r>
      <w:r>
        <w:rPr>
          <w:color w:val="0000FF"/>
        </w:rPr>
        <w:t>(2), 403–424. https://doi.org/10.1016/j.jfineco.2022.07.007</w:t>
      </w:r>
    </w:p>
    <w:p>
      <w:pPr>
        <w:spacing w:line="360" w:lineRule="auto" w:after="80" w:before="0"/>
        <w:ind w:left="720" w:hanging="720"/>
      </w:pPr>
      <w:r>
        <w:rPr/>
        <w:t xml:space="preserve">Pedersen, L. H., Fitzgibbons, S., &amp; Pomorski, L. (2021). Responsible investing: </w:t>
      </w:r>
      <w:r>
        <w:rPr>
          <w:color w:val="0000FF"/>
        </w:rPr>
        <w:t xml:space="preserve">The ESG-efficient frontier. </w:t>
      </w:r>
      <w:r>
        <w:rPr>
          <w:i/>
          <w:color w:val="0000FF"/>
        </w:rPr>
        <w:t>Journal of Financial Economics</w:t>
      </w:r>
      <w:r>
        <w:rPr>
          <w:color w:val="0000FF"/>
        </w:rPr>
        <w:t xml:space="preserve">, </w:t>
      </w:r>
      <w:r>
        <w:rPr>
          <w:i/>
          <w:color w:val="0000FF"/>
        </w:rPr>
        <w:t>142</w:t>
      </w:r>
      <w:r>
        <w:rPr>
          <w:color w:val="0000FF"/>
        </w:rPr>
        <w:t>(2), 572–597. https://doi.org/10.1016/j.jfineco.2020.11.001</w:t>
      </w:r>
    </w:p>
    <w:p>
      <w:pPr>
        <w:spacing w:line="360" w:lineRule="auto" w:after="80" w:before="0"/>
        <w:ind w:left="720" w:hanging="720"/>
      </w:pPr>
      <w:r>
        <w:rPr>
          <w:color w:val="0000FF"/>
        </w:rPr>
        <w:t xml:space="preserve">Prukumpai, S., Sethapramote, Y., &amp; Luangaram, P. (2022). 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w:t>
      </w:r>
      <w:r>
        <w:rPr>
          <w:color w:val="0000FF"/>
        </w:rPr>
        <w:t xml:space="preserve">A more credible approach to parallel trends. </w:t>
      </w:r>
      <w:r>
        <w:rPr>
          <w:i/>
          <w:color w:val="0000FF"/>
        </w:rPr>
        <w:t>The Review of Economic Studies</w:t>
      </w:r>
      <w:r>
        <w:rPr>
          <w:color w:val="0000FF"/>
        </w:rPr>
        <w:t xml:space="preserve">, </w:t>
      </w:r>
      <w:r>
        <w:rPr>
          <w:i/>
          <w:color w:val="0000FF"/>
        </w:rPr>
        <w:t>90</w:t>
      </w:r>
      <w:r>
        <w:rPr>
          <w:color w:val="0000FF"/>
        </w:rPr>
        <w:t>(5), 2555–2591. https://doi.org/10.1093/restud/rdad018</w:t>
      </w:r>
    </w:p>
    <w:p>
      <w:pPr>
        <w:spacing w:line="360" w:lineRule="auto" w:after="80" w:before="0"/>
        <w:ind w:left="720" w:hanging="720"/>
      </w:pPr>
      <w:r>
        <w:rPr/>
        <w:t xml:space="preserve">Roth, J. (2022). Pretest with caution: </w:t>
      </w:r>
      <w:r>
        <w:rPr>
          <w:color w:val="0000FF"/>
        </w:rPr>
        <w:t>Event-study estimates after testing for parallel trends. *American Economic Review:</w:t>
      </w:r>
      <w:r>
        <w:rPr/>
        <w:t xml:space="preserve"> Insights</w:t>
      </w:r>
      <w:r>
        <w:rPr>
          <w:i/>
        </w:rPr>
        <w:t xml:space="preserve">, </w:t>
      </w:r>
      <w:r>
        <w:rPr/>
        <w:t>4*(3), 305–322. https://doi.org/10.1257/aeri.20210236</w:t>
      </w:r>
    </w:p>
    <w:p>
      <w:pPr>
        <w:spacing w:line="360" w:lineRule="auto" w:after="80" w:before="0"/>
        <w:ind w:left="720" w:hanging="720"/>
      </w:pPr>
      <w:r>
        <w:rPr/>
        <w:t xml:space="preserve">Sahin, Ö., Bax, K., Paterlini, S., &amp; Czado, C. (2023). </w:t>
      </w:r>
      <w:r>
        <w:rPr>
          <w:color w:val="0000FF"/>
        </w:rPr>
        <w:t xml:space="preserve">The pitfalls of (non-definitive) environmental, social, and governance scoring methodology. </w:t>
      </w:r>
      <w:r>
        <w:rPr>
          <w:i/>
          <w:color w:val="0000FF"/>
        </w:rPr>
        <w:t>Global Finance Journal</w:t>
      </w:r>
      <w:r>
        <w:rPr>
          <w:color w:val="0000FF"/>
        </w:rPr>
        <w:t xml:space="preserve">, </w:t>
      </w:r>
      <w:r>
        <w:rPr>
          <w:i/>
          <w:color w:val="0000FF"/>
        </w:rPr>
        <w:t>56</w:t>
      </w:r>
      <w:r>
        <w:rPr>
          <w:color w:val="0000FF"/>
        </w:rPr>
        <w:t>, Article 100780. https://doi.org/10.1016/j.gfj.2022.100780</w:t>
      </w:r>
    </w:p>
    <w:p>
      <w:pPr>
        <w:spacing w:line="360" w:lineRule="auto" w:after="80" w:before="0"/>
        <w:ind w:left="720" w:hanging="720"/>
      </w:pPr>
      <w:r>
        <w:rPr/>
        <w:t xml:space="preserve">Sant'Anna, P. H. C., &amp; Zhao, J. (2020). </w:t>
      </w:r>
      <w:r>
        <w:rPr>
          <w:color w:val="0000FF"/>
        </w:rPr>
        <w:t xml:space="preserve">Doubly robust difference-in-differences estimators. </w:t>
      </w:r>
      <w:r>
        <w:rPr>
          <w:i/>
          <w:color w:val="0000FF"/>
        </w:rPr>
        <w:t>Journal of Econometrics</w:t>
      </w:r>
      <w:r>
        <w:rPr>
          <w:color w:val="0000FF"/>
        </w:rPr>
        <w:t xml:space="preserve">, </w:t>
      </w:r>
      <w:r>
        <w:rPr>
          <w:i/>
          <w:color w:val="0000FF"/>
        </w:rPr>
        <w:t>219</w:t>
      </w:r>
      <w:r>
        <w:rPr>
          <w:color w:val="0000FF"/>
        </w:rPr>
        <w:t>(1), 101–122. https://doi.org/10.1016/j.jeconom.2020.06.003</w:t>
      </w:r>
    </w:p>
    <w:p>
      <w:pPr>
        <w:spacing w:line="360" w:lineRule="auto" w:after="80" w:before="0"/>
        <w:ind w:left="720" w:hanging="720"/>
      </w:pPr>
      <w:r>
        <w:rPr/>
        <w:t xml:space="preserve">Securities and Exchange Commission Philippines. </w:t>
      </w:r>
      <w:r>
        <w:rPr>
          <w:color w:val="0000FF"/>
        </w:rPr>
        <w:t>(2019). *Memorandum Circular No.</w:t>
      </w:r>
      <w:r>
        <w:rPr/>
        <w:t xml:space="preserve"> 4, series of 2019: Sustainability reporting guidelines for publicly-listed companies*. https://www.sec.gov.ph/wp-content/uploads/2020/09/2019MCNo4.pdf</w:t>
      </w:r>
    </w:p>
    <w:p>
      <w:pPr>
        <w:spacing w:line="360" w:lineRule="auto" w:after="80" w:before="0"/>
        <w:ind w:left="720" w:hanging="720"/>
      </w:pPr>
      <w:r>
        <w:rPr/>
        <w:t xml:space="preserve">Shanaev, S., &amp; Ghimire, B. (2022). When ESG meets AAA: </w:t>
      </w:r>
      <w:r>
        <w:rPr>
          <w:color w:val="0000FF"/>
        </w:rPr>
        <w:t xml:space="preserve">The effect of ESG rating changes on stock returns. </w:t>
      </w:r>
      <w:r>
        <w:rPr>
          <w:i/>
          <w:color w:val="0000FF"/>
        </w:rPr>
        <w:t>Finance Research Letters</w:t>
      </w:r>
      <w:r>
        <w:rPr>
          <w:color w:val="0000FF"/>
        </w:rPr>
        <w:t xml:space="preserve">, </w:t>
      </w:r>
      <w:r>
        <w:rPr>
          <w:i/>
          <w:color w:val="0000FF"/>
        </w:rPr>
        <w:t>46</w:t>
      </w:r>
      <w:r>
        <w:rPr>
          <w:color w:val="0000FF"/>
        </w:rPr>
        <w:t>(Part A), Article 102302. https://doi.org/10.1016/j.frl.2021.102302</w:t>
      </w:r>
    </w:p>
    <w:p>
      <w:pPr>
        <w:spacing w:line="360" w:lineRule="auto" w:after="80" w:before="0"/>
        <w:ind w:left="720" w:hanging="720"/>
      </w:pPr>
      <w:r>
        <w:rPr/>
        <w:t xml:space="preserve">Shleifer, A. (1986). </w:t>
      </w:r>
      <w:r>
        <w:rPr>
          <w:color w:val="0000FF"/>
        </w:rPr>
        <w:t xml:space="preserve">Do demand curves for stocks slope down? </w:t>
      </w:r>
      <w:r>
        <w:rPr>
          <w:i/>
          <w:color w:val="0000FF"/>
        </w:rPr>
        <w:t>The Journal of Finance</w:t>
      </w:r>
      <w:r>
        <w:rPr>
          <w:color w:val="0000FF"/>
        </w:rPr>
        <w:t xml:space="preserve">, </w:t>
      </w:r>
      <w:r>
        <w:rPr>
          <w:i/>
          <w:color w:val="0000FF"/>
        </w:rPr>
        <w:t>41</w:t>
      </w:r>
      <w:r>
        <w:rPr>
          <w:color w:val="0000FF"/>
        </w:rPr>
        <w:t>(3), 579–590. https://doi.org/10.1111/j.1540-6261.1986.tb04518.x</w:t>
      </w:r>
    </w:p>
    <w:p>
      <w:pPr>
        <w:spacing w:line="360" w:lineRule="auto" w:after="80" w:before="0"/>
        <w:ind w:left="720" w:hanging="720"/>
      </w:pPr>
      <w:r>
        <w:rPr/>
        <w:t xml:space="preserve">Singapore Exchange. </w:t>
      </w:r>
      <w:r>
        <w:rPr>
          <w:color w:val="0000FF"/>
        </w:rPr>
        <w:t>(2016). *SGX Mainboard Rules 711A and 711B:</w:t>
      </w:r>
      <w:r>
        <w:rPr/>
        <w:t xml:space="preserve"> Sustainability report* [Listing rules]. SGX Rulebook. https://rulebook.sgx.com/rulebook/711a</w:t>
      </w:r>
    </w:p>
    <w:p>
      <w:pPr>
        <w:spacing w:line="360" w:lineRule="auto" w:after="80" w:before="0"/>
        <w:ind w:left="720" w:hanging="720"/>
      </w:pPr>
      <w:r>
        <w:rPr/>
        <w:t xml:space="preserve">S&amp;P Global Market Intelligence. </w:t>
      </w:r>
      <w:r>
        <w:rPr>
          <w:color w:val="0000FF"/>
        </w:rPr>
        <w:t xml:space="preserve">(2025). </w:t>
      </w:r>
      <w:r>
        <w:rPr>
          <w:i/>
          <w:color w:val="0000FF"/>
        </w:rPr>
        <w:t>Compustat Global, annual fundamentals, 2014–2024</w:t>
      </w:r>
      <w:r>
        <w:rPr>
          <w:color w:val="0000FF"/>
        </w:rPr>
        <w:t xml:space="preserve"> [Data set].</w:t>
      </w:r>
    </w:p>
    <w:p>
      <w:pPr>
        <w:spacing w:line="360" w:lineRule="auto" w:after="80" w:before="0"/>
        <w:ind w:left="720" w:hanging="720"/>
      </w:pPr>
      <w:r>
        <w:rPr>
          <w:color w:val="0000FF"/>
        </w:rPr>
        <w:t xml:space="preserve">Sudsawasd, S., &amp; Sakdapat, P. (2026). </w:t>
      </w:r>
      <w:r>
        <w:rPr>
          <w:color w:val="0000FF"/>
        </w:rPr>
        <w:t>Transaction costs and stock market behavior:</w:t>
      </w:r>
      <w:r>
        <w:rPr/>
        <w:t xml:space="preserve">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w:t>
      </w:r>
      <w:r>
        <w:rPr>
          <w:color w:val="0000FF"/>
        </w:rPr>
        <w:t xml:space="preserve">(2020, September). </w:t>
      </w:r>
      <w:r>
        <w:rPr>
          <w:i/>
          <w:color w:val="0000FF"/>
        </w:rPr>
        <w:t>Thailand's SEC unifies annual report for listed companies</w:t>
      </w:r>
      <w:r>
        <w:rPr>
          <w:color w:val="0000FF"/>
        </w:rPr>
        <w:t>. https://www.tilleke.com/insights/thailands-sec-unifies-annual-report-listed-companies/</w:t>
      </w:r>
    </w:p>
    <w:p>
      <w:pPr>
        <w:spacing w:line="360" w:lineRule="auto" w:after="80" w:before="0"/>
        <w:ind w:left="720" w:hanging="720"/>
      </w:pPr>
      <w:r>
        <w:rPr/>
        <w:t xml:space="preserve">Tsang, A., Wang, Y., Xiang, Y., &amp; Yu, L. (2024). </w:t>
      </w:r>
      <w:r>
        <w:rPr>
          <w:color w:val="0000FF"/>
        </w:rPr>
        <w:t xml:space="preserve">The rise of ESG rating agencies and management of corporate ESG violations. </w:t>
      </w:r>
      <w:r>
        <w:rPr>
          <w:i/>
          <w:color w:val="0000FF"/>
        </w:rPr>
        <w:t>Journal of Banking &amp; Finance</w:t>
      </w:r>
      <w:r>
        <w:rPr>
          <w:color w:val="0000FF"/>
        </w:rPr>
        <w:t xml:space="preserve">, </w:t>
      </w:r>
      <w:r>
        <w:rPr>
          <w:i/>
          <w:color w:val="0000FF"/>
        </w:rPr>
        <w:t>169</w:t>
      </w:r>
      <w:r>
        <w:rPr>
          <w:color w:val="0000FF"/>
        </w:rPr>
        <w:t>, Article 107312. https://doi.org/10.1016/j.jbankfin.2024.107312</w:t>
      </w:r>
    </w:p>
    <w:p>
      <w:pPr>
        <w:spacing w:line="360" w:lineRule="auto" w:after="80" w:before="0"/>
        <w:ind w:left="720" w:hanging="720"/>
      </w:pPr>
      <w:r>
        <w:rPr/>
        <w:t xml:space="preserve">Tsang, A., Wang, Y., Xiang, Y., &amp; Yu, L. (2025). ESG ratings and dividend changes: </w:t>
      </w:r>
      <w:r>
        <w:rPr>
          <w:color w:val="0000FF"/>
        </w:rPr>
        <w:t>Evidence from the initiation of nonfinancial agency coverage. *Corporate Governance:</w:t>
      </w:r>
      <w:r>
        <w:rPr/>
        <w:t xml:space="preserve"> An International Review</w:t>
      </w:r>
      <w:r>
        <w:rPr>
          <w:i/>
        </w:rPr>
        <w:t xml:space="preserve">, </w:t>
      </w:r>
      <w:r>
        <w:rPr/>
        <w:t>33*(4),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