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Panel (a) varies the size covariate and support;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3.4);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the one-year-later dating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w:t>
      </w:r>
    </w:p>
    <w:p>
      <w:pPr>
        <w:spacing w:line="360" w:lineRule="auto" w:after="120" w:before="0"/>
        <w:ind w:firstLine="720"/>
        <w:jc w:val="both"/>
      </w:pPr>
      <w:r>
        <w:rPr/>
        <w:t>Under the one-year-later dating, the decline in log MTB loses significance once M̄ in the relative-magnitude bound reaches 0.23. Holding total assets at the original base year gives −0.074 (p = 0.002), so the covariate timing does not drive the one-year-later estimate.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one-year-later and baseline event-time paths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one-year-later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one-year-later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4.4,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4.2,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4.3,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 4.3)</w:t>
      </w:r>
    </w:p>
    <w:p>
      <w:pPr>
        <w:spacing w:line="360" w:lineRule="auto" w:after="120" w:before="0"/>
        <w:ind w:firstLine="720"/>
        <w:jc w:val="both"/>
      </w:pPr>
      <w:r>
        <w:rPr/>
        <w:t>The four pre-specified robustness checks in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Removing a linear pre-trend that passes through zero in the base year gives a negative MTB effect because a continued run-up would have raised valuations further. Adding market capitalization growth from g − 3 to the base year to the covariates does not settle the reversal question, because control firms matched on past growth can themselves revert. The placebo gives 0.134 for log market capitalization (p &lt; 0.001), and the static TWFE regression gives 0.185. Without Malaysia,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