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3.2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S10).</w:t>
      </w:r>
    </w:p>
    <w:p>
      <w:pPr>
        <w:pStyle w:val="BodyText"/>
      </w:pPr>
      <w:r>
        <w:t xml:space="preserve">As requested, we answer the editor’s comments in this letter and Reviewer A’s comments in a separate response file. Comments are quoted in full in italics, and our responses follow in plain text. Section, table, and equation numbers refer to the revised manuscript, in which every sentence that is new or differs from the submitted version is highlighted in blue; text we deleted is not shown. A clean version is also provided. Some secondary results moved from the main text to Appendix A of the supplementary material to keep the main text close to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3.4, and 5.2).</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5.2, where investor participation is the channel through which a score would act and which our data cannot observe. Prukumpai et al. (2022) show that political uncertainty moves Thai stock prices; we cite it in Section 3.4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149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sits there rather than in the main document because the main document is anonymized for review.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the LSEG (2023) user guide for its point-in-time ESG data, and the three papers from this journal listed under Comment E1. We removed Serafeim and Yoon (2023), which the revised text no longer cites.</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The original cover page carried a short AI declaration; we have expanded it on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p>
      <w:pPr>
        <w:pStyle w:val="BodyText"/>
      </w:pPr>
      <w:r>
        <w:t xml:space="preserve">Authorship. The revision is submitted by Ha Hong Hanh and Nguyen Van Trung, whereas the original submission listed Nguyen Van Trung alone. Ha Hong Hanh joined the work during the revision and contributed to its conceptualization, supervision, and the revised analyses and text, as stated in the CRediT statement on the title page. [AUTHOR_INPUT_NEEDED: confirm the change of authorship and file the journal’s authorship-change form signed by both authors.]</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3.4, 5.2</w:t>
            </w:r>
          </w:p>
        </w:tc>
      </w:tr>
      <w:tr>
        <w:tc>
          <w:tcPr/>
          <w:p>
            <w:pPr>
              <w:pStyle w:val="Compact"/>
              <w:jc w:val="left"/>
            </w:pPr>
            <w:r>
              <w:t xml:space="preserve">E2</w:t>
            </w:r>
          </w:p>
        </w:tc>
        <w:tc>
          <w:tcPr/>
          <w:p>
            <w:pPr>
              <w:pStyle w:val="Compact"/>
              <w:jc w:val="left"/>
            </w:pPr>
            <w:r>
              <w:t xml:space="preserve">Abstract rewritten (149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5.1, and 5.4;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5.2</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5.3;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5.1, 5.3, 5.4</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2026-10-31T01:49:28Z</dcterms:created>
  <dcterms:modified xsi:type="dcterms:W3CDTF">2026-10-31T01:49:28Z</dcterms:modified>
</cp:coreProperties>
</file>

<file path=docProps/custom.xml><?xml version="1.0" encoding="utf-8"?>
<Properties xmlns="http://schemas.openxmlformats.org/officeDocument/2006/custom-properties" xmlns:vt="http://schemas.openxmlformats.org/officeDocument/2006/docPropsVTypes"/>
</file>