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3.2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3.1);</w:t>
      </w:r>
      <w:r>
        <w:t xml:space="preserve"> </w:t>
      </w:r>
      <w:r>
        <w:t xml:space="preserve">“</w:t>
      </w:r>
      <w:r>
        <w:t xml:space="preserve">first scored in year g</w:t>
      </w:r>
      <w:r>
        <w:t xml:space="preserve">”</w:t>
      </w:r>
      <w:r>
        <w:t xml:space="preserve"> </w:t>
      </w:r>
      <w:r>
        <w:t xml:space="preserve">is used as shorthand for a first recorded score in year g. Second, a new Section 3.2,</w:t>
      </w:r>
      <w:r>
        <w:t xml:space="preserve"> </w:t>
      </w:r>
      <w:r>
        <w:t xml:space="preserve">“</w:t>
      </w:r>
      <w:r>
        <w:t xml:space="preserve">Event Dating, Outcomes, and Recording Errors,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5.1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(95% interval −0.046 to 0.048 in log MTB)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4.2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5.2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5.2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4.1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4.3 now states that its failure restates the pre-coverage growth in Figure 1. On the sensitivity analyses, Section 4.3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3.3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the parallel trends assumption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4.1,</w:t>
      </w:r>
      <w:r>
        <w:t xml:space="preserve"> </w:t>
      </w:r>
      <w:r>
        <w:t xml:space="preserve">“</w:t>
      </w:r>
      <w:r>
        <w:t xml:space="preserve">Who Gets Scored and the Valuation Path Around Entry,</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4.2 reports the average change after entry as conditional on parallel trends, 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4.2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after each cohort’s own rise in that year: moving the reference year subtracts from each later estimate the change of the same scored firms, relative to the same never-scored firms, between g − 1 and g. The step of −0.044 is each cohort’s own change between g − 1 and g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4.2 now says so:</w:t>
      </w:r>
      <w:r>
        <w:t xml:space="preserve"> </w:t>
      </w:r>
      <w:r>
        <w:t xml:space="preserve">“</w:t>
      </w:r>
      <w:r>
        <w:t xml:space="preserve">Pre-specification does not make the recorded year the date on which investors learned of coverage, so we give the two datings equal standing.</w:t>
      </w:r>
      <w:r>
        <w:t xml:space="preserve">”</w:t>
      </w:r>
      <w:r>
        <w:t xml:space="preserve"> </w:t>
      </w:r>
      <w:r>
        <w:t xml:space="preserve">We report both estimates as answers to different questions. Neither isolates an effect of coverage, because the later dating measures valuations from the first recorded year, after the rise in that year. Section 4.2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part of Section 4.3 on firm size and common support and two new tables. Section 3.3 now states that outcome regression</w:t>
      </w:r>
      <w:r>
        <w:t xml:space="preserve"> </w:t>
      </w:r>
      <w:r>
        <w:t xml:space="preserve">“</w:t>
      </w:r>
      <w:r>
        <w:t xml:space="preserve">extrapolates the relation estimated among controls to scored firms larger than most controls.</w:t>
      </w:r>
      <w:r>
        <w:t xml:space="preserve">”</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4.3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5.3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5.2,</w:t>
      </w:r>
      <w:r>
        <w:t xml:space="preserve"> </w:t>
      </w:r>
      <w:r>
        <w:t xml:space="preserve">“</w:t>
      </w:r>
      <w:r>
        <w:t xml:space="preserve">Mechanisms That the Data Can and Cannot Evaluate,</w:t>
      </w:r>
      <w:r>
        <w:t xml:space="preserve">”</w:t>
      </w:r>
      <w:r>
        <w:t xml:space="preserve"> </w:t>
      </w:r>
      <w:r>
        <w:t xml:space="preserve">applies the same distinction to the discussion.</w:t>
      </w:r>
    </w:p>
    <w:p>
      <w:pPr>
        <w:pStyle w:val="BodyText"/>
      </w:pPr>
      <w:r>
        <w:t xml:space="preserve">The interpretation of the high- and low-score comparison (now Section 4.4) is more cautious. It reports the minimum detectable differences of 0.113 and 0.111, about 12% in the MTB ratio, notes that the score is correlated with size (0.35) and that the residual split removes only part of this link, and concludes that neither split</w:t>
      </w:r>
      <w:r>
        <w:t xml:space="preserve"> </w:t>
      </w:r>
      <w:r>
        <w:t xml:space="preserve">“</w:t>
      </w:r>
      <w:r>
        <w:t xml:space="preserve">can detect a moderate difference, so the result 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4.3, new Table 7, and new Table S8 address both concerns. In checking this comment we also corrected a statement in the original Section 3.1: the source data contain no MTB ratio at or below zero, so firm-years with negative book equity appear as missing together with firm-years that lack market or accounting data, and we cannot separate the two. The revised Section 3.1 says so.</w:t>
      </w:r>
    </w:p>
    <w:p>
      <w:pPr>
        <w:pStyle w:val="BodyText"/>
      </w:pPr>
      <w:r>
        <w:t xml:space="preserve">All missing-data shares are now computed over listed firm-years: every firm has a row for each year from 2014 to 2024, and the 3,647 rows before a firm lists carry no data. On this basis, MTB ratios are missing for 18.5% of never-scored and 9.0% of scored firm-years. Table S8 compares firm-years with and without an MTB ratio. Firm-years without one are more often highly levered (leverage above 0.5 in 25.4% of never-scored firm-years without a ratio, against 8.4% with one) and more often Indonesian (36.2% against 24.1%), consistent with financial distress and with gaps in market data. Only 36.7% of never-scored and 36.6%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4.3 reports this.</w:t>
      </w:r>
    </w:p>
    <w:p>
      <w:pPr>
        <w:pStyle w:val="BodyText"/>
      </w:pPr>
      <w:r>
        <w:t xml:space="preserve">On the implausible market capitalization records, Section 3.2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5.3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3.1 now states that the sample conditions on survival to 2024, Section 3.2 notes that the absence of any firm losing its score fits a download of the provider’s current universe, and Section 5.3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part of Section 4.4 on what the pooled estimate represents 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4.1 reports the paths by wave, and Section 4.2 and Table S6 show that the waves differ under the later dating as well: the Malaysian wave, in which no run-up was detected, shows no detectable change under either dating, while the waves with a run-up show the decline. We now use this contrast as evidence (Sections 3.3 and 4.2) rather than averaging over it. Section 4.2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(p = 0.307).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5.1,</w:t>
      </w:r>
      <w:r>
        <w:t xml:space="preserve"> </w:t>
      </w:r>
      <w:r>
        <w:t xml:space="preserve">“</w:t>
      </w:r>
      <w:r>
        <w:t xml:space="preserve">What the Evidence Shows,</w:t>
      </w:r>
      <w:r>
        <w:t xml:space="preserve">”</w:t>
      </w:r>
      <w:r>
        <w:t xml:space="preserve"> </w:t>
      </w:r>
      <w:r>
        <w:t xml:space="preserve">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5.3.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w:t>
      </w:r>
      <w:r>
        <w:t xml:space="preserve"> </w:t>
      </w:r>
      <w:r>
        <w:t xml:space="preserve">“</w:t>
      </w:r>
      <w:r>
        <w:t xml:space="preserve">Our results do not show that expanding ESG coverage has no valuation benefit; they show that such a benefit cannot be established from these data, so arguments for expanding coverage should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5.1, and 5.4;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5.2</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5.3;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5.1, 5.3, 5.4</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2026-10-31T01:49:28Z</dcterms:created>
  <dcterms:modified xsi:type="dcterms:W3CDTF">2026-10-31T01:49:28Z</dcterms:modified>
</cp:coreProperties>
</file>

<file path=docProps/custom.xml><?xml version="1.0" encoding="utf-8"?>
<Properties xmlns="http://schemas.openxmlformats.org/officeDocument/2006/custom-properties" xmlns:vt="http://schemas.openxmlformats.org/officeDocument/2006/docPropsVTypes"/>
</file>