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3.3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3.2);</w:t>
      </w:r>
      <w:r>
        <w:t xml:space="preserve"> </w:t>
      </w:r>
      <w:r>
        <w:t xml:space="preserve">“</w:t>
      </w:r>
      <w:r>
        <w:t xml:space="preserve">first scored in year g</w:t>
      </w:r>
      <w:r>
        <w:t xml:space="preserve">”</w:t>
      </w:r>
      <w:r>
        <w:t xml:space="preserve"> </w:t>
      </w:r>
      <w:r>
        <w:t xml:space="preserve">is used as shorthand for a first recorded score in year g. Second, a new Section 3.3,</w:t>
      </w:r>
      <w:r>
        <w:t xml:space="preserve"> </w:t>
      </w:r>
      <w:r>
        <w:t xml:space="preserve">“</w:t>
      </w:r>
      <w:r>
        <w:t xml:space="preserve">What the First Recorded Score Dates,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6.1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(95% interval −0.046 to 0.048 in log MTB)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5.4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5.2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5.8 now states that its failure restates the pre-coverage growth in Figure 1. On the sensitivity analyses, Section 5.5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4.1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the parallel trends assumption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5.2, titled</w:t>
      </w:r>
      <w:r>
        <w:t xml:space="preserve"> </w:t>
      </w:r>
      <w:r>
        <w:t xml:space="preserve">“</w:t>
      </w:r>
      <w:r>
        <w:t xml:space="preserve">The Valuation Path Before and After the First Recorded Score,</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5.3 is titled</w:t>
      </w:r>
      <w:r>
        <w:t xml:space="preserve"> </w:t>
      </w:r>
      <w:r>
        <w:t xml:space="preserve">“</w:t>
      </w:r>
      <w:r>
        <w:t xml:space="preserve">Average Change After Entry Under Parallel Trends,</w:t>
      </w:r>
      <w:r>
        <w:t xml:space="preserve">”</w:t>
      </w:r>
      <w:r>
        <w:t xml:space="preserve"> </w:t>
      </w:r>
      <w:r>
        <w:t xml:space="preserve">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5.4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the high point of the relative MTB path that followed the run-up: moving the reference year subtracts from each later estimate the change of the same scored firms, relative to the same never-scored firms, between g − 1 and g. The step of −0.044 is this event-year-0 change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5.3 now says so:</w:t>
      </w:r>
      <w:r>
        <w:t xml:space="preserve"> </w:t>
      </w:r>
      <w:r>
        <w:t xml:space="preserve">“</w:t>
      </w:r>
      <w:r>
        <w:t xml:space="preserve">Pre-specification does not make the recorded year the date on which investors learned of coverage, so we give the two datings equal standing.</w:t>
      </w:r>
      <w:r>
        <w:t xml:space="preserve">”</w:t>
      </w:r>
      <w:r>
        <w:t xml:space="preserve"> </w:t>
      </w:r>
      <w:r>
        <w:t xml:space="preserve">We report both estimates as answers to different questions. Neither isolates an effect of coverage, because the later dating measures valuations from the high point that followed the run-up. Section 5.4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Section 5.6,</w:t>
      </w:r>
      <w:r>
        <w:t xml:space="preserve"> </w:t>
      </w:r>
      <w:r>
        <w:t xml:space="preserve">“</w:t>
      </w:r>
      <w:r>
        <w:t xml:space="preserve">Firm size and common support,</w:t>
      </w:r>
      <w:r>
        <w:t xml:space="preserve">”</w:t>
      </w:r>
      <w:r>
        <w:t xml:space="preserve"> </w:t>
      </w:r>
      <w:r>
        <w:t xml:space="preserve">and two new tables. Section 4.2 now states that outcome regression</w:t>
      </w:r>
      <w:r>
        <w:t xml:space="preserve"> </w:t>
      </w:r>
      <w:r>
        <w:t xml:space="preserve">“</w:t>
      </w:r>
      <w:r>
        <w:t xml:space="preserve">extrapolates the relation estimated among controls to scored firms larger than most controls.</w:t>
      </w:r>
      <w:r>
        <w:t xml:space="preserve">”</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5.6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6.3,</w:t>
      </w:r>
      <w:r>
        <w:t xml:space="preserve"> </w:t>
      </w:r>
      <w:r>
        <w:t xml:space="preserve">“</w:t>
      </w:r>
      <w:r>
        <w:t xml:space="preserve">Mechanisms That the Data Can and Cannot Evaluate,</w:t>
      </w:r>
      <w:r>
        <w:t xml:space="preserve">”</w:t>
      </w:r>
      <w:r>
        <w:t xml:space="preserve"> </w:t>
      </w:r>
      <w:r>
        <w:t xml:space="preserve">applies the same distinction to the discussion.</w:t>
      </w:r>
    </w:p>
    <w:p>
      <w:pPr>
        <w:pStyle w:val="BodyText"/>
      </w:pPr>
      <w:r>
        <w:t xml:space="preserve">The interpretation of the high- and low-score comparison (now Section 5.9) is more cautious. It reports the minimum detectable differences of 0.113 and 0.111, about 12% in the MTB ratio, notes that the score is correlated with size (0.35) and that the residual split removes only part of this link, and concludes that neither split</w:t>
      </w:r>
      <w:r>
        <w:t xml:space="preserve"> </w:t>
      </w:r>
      <w:r>
        <w:t xml:space="preserve">“</w:t>
      </w:r>
      <w:r>
        <w:t xml:space="preserve">can detect a moderate difference, so the result 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5.7, new Table 7, and new Table S8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3.2 says so.</w:t>
      </w:r>
    </w:p>
    <w:p>
      <w:pPr>
        <w:pStyle w:val="BodyText"/>
      </w:pPr>
      <w:r>
        <w:t xml:space="preserve">Table S8 compares firm-years with and without an MTB ratio. Firm-years without one are more often highly levered (leverage above 0.5 in 25.4% of never-scored firm-years without a ratio, against 8.4% with one) and more often Indonesian (38.9% against 24.1%), consistent with financial distress and with gaps in market data. Only 21.5% of never-scored and 24.8%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5.7 reports this.</w:t>
      </w:r>
    </w:p>
    <w:p>
      <w:pPr>
        <w:pStyle w:val="BodyText"/>
      </w:pPr>
      <w:r>
        <w:t xml:space="preserve">On the implausible market capitalization records, Section 3.4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7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3.2 now states that the sample conditions on survival to 2024, Section 3.3 notes that the absence of any firm losing its score fits a download of the provider’s current universe, and Section 7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Section 5.10,</w:t>
      </w:r>
      <w:r>
        <w:t xml:space="preserve"> </w:t>
      </w:r>
      <w:r>
        <w:t xml:space="preserve">“</w:t>
      </w:r>
      <w:r>
        <w:t xml:space="preserve">What the Pooled Estimate Represents,</w:t>
      </w:r>
      <w:r>
        <w:t xml:space="preserve">”</w:t>
      </w:r>
      <w:r>
        <w:t xml:space="preserve"> </w:t>
      </w:r>
      <w:r>
        <w:t xml:space="preserve">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5.2 reports the paths by wave, and Section 5.4 and Table S6 show that the waves differ under the later dating as well: the Malaysian wave, in which no run-up was detected, shows no detectable change under either dating, while the waves with a run-up show the decline. We now use this contrast as evidence (Sections 4.1 and 5.4) rather than averaging over it. Section 5.4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(p = 0.307).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6.2,</w:t>
      </w:r>
      <w:r>
        <w:t xml:space="preserve"> </w:t>
      </w:r>
      <w:r>
        <w:t xml:space="preserve">“</w:t>
      </w:r>
      <w:r>
        <w:t xml:space="preserve">What the evidence says about a valuation effect of coverage,</w:t>
      </w:r>
      <w:r>
        <w:t xml:space="preserve">”</w:t>
      </w:r>
      <w:r>
        <w:t xml:space="preserve"> </w:t>
      </w:r>
      <w:r>
        <w:t xml:space="preserve">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6.4.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w:t>
      </w:r>
      <w:r>
        <w:t xml:space="preserve"> </w:t>
      </w:r>
      <w:r>
        <w:t xml:space="preserve">“</w:t>
      </w:r>
      <w:r>
        <w:t xml:space="preserve">Our results do not show that expanding ESG coverage has no valuation benefit; they show that such a benefit cannot be established from these data, so arguments for expanding coverage should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2026-10-30T14:28:55Z</dcterms:created>
  <dcterms:modified xsi:type="dcterms:W3CDTF">2026-10-30T14:28:55Z</dcterms:modified>
</cp:coreProperties>
</file>

<file path=docProps/custom.xml><?xml version="1.0" encoding="utf-8"?>
<Properties xmlns="http://schemas.openxmlformats.org/officeDocument/2006/custom-properties" xmlns:vt="http://schemas.openxmlformats.org/officeDocument/2006/docPropsVTypes"/>
</file>