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w:t>
      </w:r>
      <w:r>
        <w:rPr>
          <w:color w:val="0000FF"/>
        </w:rPr>
        <w:t>Coverage Selection and Firm Value in Five Southeast Asian Markets." 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w:t>
      </w:r>
      <w:r>
        <w:rPr>
          <w:color w:val="0000FF"/>
          <w:sz w:val="22"/>
        </w:rPr>
        <w:t>Number of non-financial firms by year of first recorded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color w:val="0000FF"/>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w:t>
      </w:r>
      <w:r>
        <w:rPr>
          <w:color w:val="0000FF"/>
          <w:sz w:val="22"/>
        </w:rPr>
        <w:t>Number of non-financial firms by year of first recorded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color w:val="0000FF"/>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0.248</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0.195</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0.202</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spacing w:line="240" w:lineRule="auto" w:after="40" w:before="280"/>
        <w:jc w:val="both"/>
      </w:pPr>
      <w:r>
        <w:rPr>
          <w:color w:val="0000FF"/>
          <w:sz w:val="18"/>
        </w:rPr>
        <w:t>Note: Estimation sample; the last column is the share of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color w:val="0000FF"/>
          <w:sz w:val="18"/>
        </w:rPr>
        <w:t>Note: Scored firms are summed over cohorts; control firms show the range across cohort cells.</w:t>
      </w:r>
    </w:p>
    <w:p>
      <w:pPr>
        <w:keepNext/>
        <w:spacing w:line="240" w:lineRule="auto" w:after="120" w:before="240"/>
        <w:jc w:val="center"/>
      </w:pPr>
      <w:r>
        <w:rPr>
          <w:sz w:val="22"/>
        </w:rPr>
        <w:t xml:space="preserve">Table S4. </w:t>
      </w:r>
      <w:r>
        <w:rPr>
          <w:color w:val="0000FF"/>
          <w:sz w:val="22"/>
        </w:rPr>
        <w:t>Alternative specifications, inference, and initial-score splits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sz w:val="18"/>
              </w:rPr>
              <w:t>R10,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sz w:val="18"/>
              </w:rPr>
              <w:t>Dated one year later (R10)</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R10,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color w:val="0000FF"/>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Exploratory outcome-regression estimates with firm-bootstrap standard errors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sz w:val="18"/>
              </w:rPr>
              <w:t>Static TWFE, all firm-years (R6)</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sz w:val="18"/>
              </w:rPr>
              <w:t>Heterogeneity-robust, no covariates (R2)</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color w:val="0000FF"/>
          <w:sz w:val="18"/>
        </w:rPr>
        <w:t>Note: Steps from the static TWFE regression to the baseline estimate; standard errors firm-clustered for TWFE, firm-bootstrap otherwise. *, **, ***: 10%, 5%, 1%.</w:t>
      </w:r>
    </w:p>
    <w:p>
      <w:pPr>
        <w:keepNext/>
        <w:spacing w:line="240" w:lineRule="auto" w:after="120" w:before="240"/>
        <w:jc w:val="center"/>
      </w:pPr>
      <w:r>
        <w:rPr>
          <w:color w:val="0000FF"/>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color w:val="0000FF"/>
                <w:sz w:val="18"/>
              </w:rPr>
              <w:t>Wave</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ln(market cap)</w:t>
            </w:r>
          </w:p>
        </w:tc>
      </w:tr>
      <w:tr>
        <w:trPr>
          <w:cantSplit/>
        </w:trPr>
        <w:tc>
          <w:tcPr>
            <w:tcW w:type="dxa" w:w="2736"/>
          </w:tcPr>
          <w:p>
            <w:pPr>
              <w:keepNext/>
              <w:spacing w:after="0" w:line="240" w:lineRule="auto"/>
            </w:pPr>
            <w:r/>
            <w:r>
              <w:rPr>
                <w:b/>
                <w:color w:val="0000FF"/>
                <w:sz w:val="18"/>
              </w:rPr>
              <w:t>Malaysian wave (first recorded 2021–2022)</w:t>
            </w:r>
          </w:p>
        </w:tc>
        <w:tc>
          <w:tcPr>
            <w:tcW w:type="dxa" w:w="1656"/>
          </w:tcPr>
          <w:p>
            <w:pPr>
              <w:keepNext/>
              <w:spacing w:after="0" w:line="240" w:lineRule="auto"/>
              <w:jc w:val="center"/>
            </w:pPr>
            <w:r/>
            <w:r>
              <w:rPr>
                <w:color w:val="0000FF"/>
                <w:sz w:val="18"/>
              </w:rPr>
              <w:t>0.021</w:t>
            </w:r>
            <w:r>
              <w:br/>
            </w:r>
            <w:r>
              <w:rPr>
                <w:color w:val="0000FF"/>
                <w:sz w:val="18"/>
              </w:rPr>
              <w:t>(0.037)</w:t>
            </w:r>
          </w:p>
        </w:tc>
        <w:tc>
          <w:tcPr>
            <w:tcW w:type="dxa" w:w="1656"/>
          </w:tcPr>
          <w:p>
            <w:pPr>
              <w:keepNext/>
              <w:spacing w:after="0" w:line="240" w:lineRule="auto"/>
              <w:jc w:val="center"/>
            </w:pPr>
            <w:r/>
            <w:r>
              <w:rPr>
                <w:color w:val="0000FF"/>
                <w:sz w:val="18"/>
              </w:rPr>
              <w:t>0.012</w:t>
            </w:r>
            <w:r>
              <w:br/>
            </w:r>
            <w:r>
              <w:rPr>
                <w:color w:val="0000FF"/>
                <w:sz w:val="18"/>
              </w:rPr>
              <w:t>(0.033)</w:t>
            </w:r>
          </w:p>
        </w:tc>
        <w:tc>
          <w:tcPr>
            <w:tcW w:type="dxa" w:w="1656"/>
          </w:tcPr>
          <w:p>
            <w:pPr>
              <w:keepNext/>
              <w:spacing w:after="0" w:line="240" w:lineRule="auto"/>
              <w:jc w:val="center"/>
            </w:pPr>
            <w:r/>
            <w:r>
              <w:rPr>
                <w:color w:val="0000FF"/>
                <w:sz w:val="18"/>
              </w:rPr>
              <w:t>−0.146***</w:t>
            </w:r>
            <w:r>
              <w:br/>
            </w:r>
            <w:r>
              <w:rPr>
                <w:color w:val="0000FF"/>
                <w:sz w:val="18"/>
              </w:rPr>
              <w:t>(0.051)</w:t>
            </w:r>
          </w:p>
        </w:tc>
        <w:tc>
          <w:tcPr>
            <w:tcW w:type="dxa" w:w="1656"/>
          </w:tcPr>
          <w:p>
            <w:pPr>
              <w:keepNext/>
              <w:spacing w:after="0" w:line="240" w:lineRule="auto"/>
              <w:jc w:val="center"/>
            </w:pPr>
            <w:r/>
            <w:r>
              <w:rPr>
                <w:color w:val="0000FF"/>
                <w:sz w:val="18"/>
              </w:rPr>
              <w:t>−0.094*</w:t>
            </w:r>
            <w:r>
              <w:br/>
            </w:r>
            <w:r>
              <w:rPr>
                <w:color w:val="0000FF"/>
                <w:sz w:val="18"/>
              </w:rPr>
              <w:t>(0.052)</w:t>
            </w:r>
          </w:p>
        </w:tc>
      </w:tr>
      <w:tr>
        <w:trPr>
          <w:cantSplit/>
        </w:trPr>
        <w:tc>
          <w:tcPr>
            <w:tcW w:type="dxa" w:w="2736"/>
          </w:tcPr>
          <w:p>
            <w:pPr>
              <w:keepNext/>
              <w:spacing w:after="0" w:line="240" w:lineRule="auto"/>
            </w:pPr>
            <w:r/>
            <w:r>
              <w:rPr>
                <w:b/>
                <w:color w:val="0000FF"/>
                <w:sz w:val="18"/>
              </w:rPr>
              <w:t>Thai and Singaporean wave (2019–2020)</w:t>
            </w:r>
          </w:p>
        </w:tc>
        <w:tc>
          <w:tcPr>
            <w:tcW w:type="dxa" w:w="1656"/>
          </w:tcPr>
          <w:p>
            <w:pPr>
              <w:keepNext/>
              <w:spacing w:after="0" w:line="240" w:lineRule="auto"/>
              <w:jc w:val="center"/>
            </w:pPr>
            <w:r/>
            <w:r>
              <w:rPr>
                <w:color w:val="0000FF"/>
                <w:sz w:val="18"/>
              </w:rPr>
              <w:t>−0.009</w:t>
            </w:r>
            <w:r>
              <w:br/>
            </w:r>
            <w:r>
              <w:rPr>
                <w:color w:val="0000FF"/>
                <w:sz w:val="18"/>
              </w:rPr>
              <w:t>(0.048)</w:t>
            </w:r>
          </w:p>
        </w:tc>
        <w:tc>
          <w:tcPr>
            <w:tcW w:type="dxa" w:w="1656"/>
          </w:tcPr>
          <w:p>
            <w:pPr>
              <w:keepNext/>
              <w:spacing w:after="0" w:line="240" w:lineRule="auto"/>
              <w:jc w:val="center"/>
            </w:pPr>
            <w:r/>
            <w:r>
              <w:rPr>
                <w:color w:val="0000FF"/>
                <w:sz w:val="18"/>
              </w:rPr>
              <w:t>−0.136***</w:t>
            </w:r>
            <w:r>
              <w:br/>
            </w:r>
            <w:r>
              <w:rPr>
                <w:color w:val="0000FF"/>
                <w:sz w:val="18"/>
              </w:rPr>
              <w:t>(0.046)</w:t>
            </w:r>
          </w:p>
        </w:tc>
        <w:tc>
          <w:tcPr>
            <w:tcW w:type="dxa" w:w="1656"/>
          </w:tcPr>
          <w:p>
            <w:pPr>
              <w:keepNext/>
              <w:spacing w:after="0" w:line="240" w:lineRule="auto"/>
              <w:jc w:val="center"/>
            </w:pPr>
            <w:r/>
            <w:r>
              <w:rPr>
                <w:color w:val="0000FF"/>
                <w:sz w:val="18"/>
              </w:rPr>
              <w:t>0.041</w:t>
            </w:r>
            <w:r>
              <w:br/>
            </w:r>
            <w:r>
              <w:rPr>
                <w:color w:val="0000FF"/>
                <w:sz w:val="18"/>
              </w:rPr>
              <w:t>(0.052)</w:t>
            </w:r>
          </w:p>
        </w:tc>
        <w:tc>
          <w:tcPr>
            <w:tcW w:type="dxa" w:w="1656"/>
          </w:tcPr>
          <w:p>
            <w:pPr>
              <w:keepNext/>
              <w:spacing w:after="0" w:line="240" w:lineRule="auto"/>
              <w:jc w:val="center"/>
            </w:pPr>
            <w:r/>
            <w:r>
              <w:rPr>
                <w:color w:val="0000FF"/>
                <w:sz w:val="18"/>
              </w:rPr>
              <w:t>−0.038</w:t>
            </w:r>
            <w:r>
              <w:br/>
            </w:r>
            <w:r>
              <w:rPr>
                <w:color w:val="0000FF"/>
                <w:sz w:val="18"/>
              </w:rPr>
              <w:t>(0.053)</w:t>
            </w:r>
          </w:p>
        </w:tc>
      </w:tr>
      <w:tr>
        <w:trPr>
          <w:cantSplit/>
        </w:trPr>
        <w:tc>
          <w:tcPr>
            <w:tcW w:type="dxa" w:w="2736"/>
            <w:tcBorders>
              <w:bottom w:val="single" w:sz="6" w:color="000000"/>
            </w:tcBorders>
          </w:tcPr>
          <w:p>
            <w:pPr>
              <w:spacing w:after="0" w:line="240" w:lineRule="auto"/>
            </w:pPr>
            <w:r/>
            <w:r>
              <w:rPr>
                <w:b/>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w:t>
            </w:r>
            <w:r>
              <w:br/>
            </w:r>
            <w:r>
              <w:rPr>
                <w:color w:val="0000FF"/>
                <w:sz w:val="18"/>
              </w:rPr>
              <w:t>(0.034)</w:t>
            </w:r>
          </w:p>
        </w:tc>
        <w:tc>
          <w:tcPr>
            <w:tcW w:type="dxa" w:w="1656"/>
            <w:tcBorders>
              <w:bottom w:val="single" w:sz="6" w:color="000000"/>
            </w:tcBorders>
          </w:tcPr>
          <w:p>
            <w:pPr>
              <w:spacing w:after="0" w:line="240" w:lineRule="auto"/>
              <w:jc w:val="center"/>
            </w:pPr>
            <w:r/>
            <w:r>
              <w:rPr>
                <w:color w:val="0000FF"/>
                <w:sz w:val="18"/>
              </w:rPr>
              <w:t>−0.111***</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0.005</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−0.076*</w:t>
            </w:r>
            <w:r>
              <w:br/>
            </w:r>
            <w:r>
              <w:rPr>
                <w:color w:val="0000FF"/>
                <w:sz w:val="18"/>
              </w:rPr>
              <w:t>(0.040)</w:t>
            </w:r>
          </w:p>
        </w:tc>
      </w:tr>
    </w:tbl>
    <w:p>
      <w:pPr>
        <w:spacing w:line="240" w:lineRule="auto" w:after="40" w:before="280"/>
        <w:jc w:val="both"/>
      </w:pPr>
      <w:r>
        <w:rPr>
          <w:color w:val="0000FF"/>
          <w:sz w:val="18"/>
        </w:rPr>
        <w:t>Note: Outcome regression for each wave against all never-scored firms, with firm-bootstrap standard errors. *, **, ***: 10%, 5%, 1%.</w:t>
      </w:r>
    </w:p>
    <w:p>
      <w:pPr>
        <w:keepNext/>
        <w:spacing w:line="240" w:lineRule="auto" w:after="120" w:before="240"/>
        <w:jc w:val="center"/>
      </w:pPr>
      <w:r>
        <w:rPr>
          <w:sz w:val="22"/>
        </w:rPr>
        <w:t xml:space="preserve">Figure S2. </w:t>
      </w:r>
      <w:r>
        <w:rPr>
          <w:color w:val="0000FF"/>
          <w:sz w:val="22"/>
        </w:rPr>
        <w:t>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color w:val="0000FF"/>
          <w:sz w:val="18"/>
        </w:rPr>
        <w:t>Note: Panel (a) varies the size covariate and support; panel (b) dates the event one year later.</w:t>
      </w:r>
      <w:r>
        <w:rPr>
          <w:sz w:val="18"/>
        </w:rPr>
        <w:t xml:space="preserve"> </w:t>
      </w:r>
      <w:r>
        <w:rPr>
          <w:color w:val="0000FF"/>
          <w:sz w:val="18"/>
        </w:rPr>
        <w:t>Firm-bootstrap 95% intervals.</w:t>
      </w:r>
    </w:p>
    <w:p>
      <w:pPr>
        <w:keepNext/>
        <w:spacing w:line="240" w:lineRule="auto" w:after="120" w:before="240"/>
        <w:jc w:val="center"/>
      </w:pPr>
      <w:r>
        <w:rPr>
          <w:sz w:val="22"/>
        </w:rPr>
        <w:t xml:space="preserve">Table S7. </w:t>
      </w:r>
      <w:r>
        <w:rPr>
          <w:color w:val="0000FF"/>
          <w:sz w:val="22"/>
        </w:rPr>
        <w:t>Relative-magnitude bounds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color w:val="0000FF"/>
          <w:sz w:val="18"/>
        </w:rPr>
        <w:t>Note: Relative-magnitude bias bound (Section 4.4); the robust interval widens the firm-bootstrap 95% interval by this bound.</w:t>
      </w:r>
    </w:p>
    <w:p>
      <w:pPr>
        <w:keepNext/>
        <w:spacing w:line="240" w:lineRule="auto" w:after="120" w:before="240"/>
        <w:jc w:val="center"/>
      </w:pPr>
      <w:r>
        <w:rPr>
          <w:color w:val="0000FF"/>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color w:val="0000FF"/>
                <w:sz w:val="18"/>
              </w:rPr>
              <w:t>Characteristic</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missing</w:t>
            </w:r>
          </w:p>
        </w:tc>
      </w:tr>
      <w:tr>
        <w:trPr>
          <w:cantSplit/>
        </w:trPr>
        <w:tc>
          <w:tcPr>
            <w:tcW w:type="dxa" w:w="3168"/>
          </w:tcPr>
          <w:p>
            <w:pPr>
              <w:keepNext/>
              <w:spacing w:after="0" w:line="240" w:lineRule="auto"/>
            </w:pPr>
            <w:r/>
            <w:r>
              <w:rPr>
                <w:b/>
                <w:color w:val="0000FF"/>
                <w:sz w:val="18"/>
              </w:rPr>
              <w:t>Firm-years</w:t>
            </w:r>
          </w:p>
        </w:tc>
        <w:tc>
          <w:tcPr>
            <w:tcW w:type="dxa" w:w="1512"/>
          </w:tcPr>
          <w:p>
            <w:pPr>
              <w:keepNext/>
              <w:spacing w:after="0" w:line="240" w:lineRule="auto"/>
              <w:jc w:val="center"/>
            </w:pPr>
            <w:r/>
            <w:r>
              <w:rPr>
                <w:color w:val="0000FF"/>
                <w:sz w:val="18"/>
              </w:rPr>
              <w:t>6,482</w:t>
            </w:r>
          </w:p>
        </w:tc>
        <w:tc>
          <w:tcPr>
            <w:tcW w:type="dxa" w:w="1512"/>
          </w:tcPr>
          <w:p>
            <w:pPr>
              <w:keepNext/>
              <w:spacing w:after="0" w:line="240" w:lineRule="auto"/>
              <w:jc w:val="center"/>
            </w:pPr>
            <w:r/>
            <w:r>
              <w:rPr>
                <w:color w:val="0000FF"/>
                <w:sz w:val="18"/>
              </w:rPr>
              <w:t>943</w:t>
            </w:r>
          </w:p>
        </w:tc>
        <w:tc>
          <w:tcPr>
            <w:tcW w:type="dxa" w:w="1584"/>
          </w:tcPr>
          <w:p>
            <w:pPr>
              <w:keepNext/>
              <w:spacing w:after="0" w:line="240" w:lineRule="auto"/>
              <w:jc w:val="center"/>
            </w:pPr>
            <w:r/>
            <w:r>
              <w:rPr>
                <w:color w:val="0000FF"/>
                <w:sz w:val="18"/>
              </w:rPr>
              <w:t>20,706</w:t>
            </w:r>
          </w:p>
        </w:tc>
        <w:tc>
          <w:tcPr>
            <w:tcW w:type="dxa" w:w="1584"/>
          </w:tcPr>
          <w:p>
            <w:pPr>
              <w:keepNext/>
              <w:spacing w:after="0" w:line="240" w:lineRule="auto"/>
              <w:jc w:val="center"/>
            </w:pPr>
            <w:r/>
            <w:r>
              <w:rPr>
                <w:color w:val="0000FF"/>
                <w:sz w:val="18"/>
              </w:rPr>
              <w:t>8,037</w:t>
            </w:r>
          </w:p>
        </w:tc>
      </w:tr>
      <w:tr>
        <w:trPr>
          <w:cantSplit/>
        </w:trPr>
        <w:tc>
          <w:tcPr>
            <w:tcW w:type="dxa" w:w="3168"/>
          </w:tcPr>
          <w:p>
            <w:pPr>
              <w:keepNext/>
              <w:spacing w:after="0" w:line="240" w:lineRule="auto"/>
            </w:pPr>
            <w:r/>
            <w:r>
              <w:rPr>
                <w:b/>
                <w:color w:val="0000FF"/>
                <w:sz w:val="18"/>
              </w:rPr>
              <w:t>Median total assets (USD million)</w:t>
            </w:r>
          </w:p>
        </w:tc>
        <w:tc>
          <w:tcPr>
            <w:tcW w:type="dxa" w:w="1512"/>
          </w:tcPr>
          <w:p>
            <w:pPr>
              <w:keepNext/>
              <w:spacing w:after="0" w:line="240" w:lineRule="auto"/>
              <w:jc w:val="center"/>
            </w:pPr>
            <w:r/>
            <w:r>
              <w:rPr>
                <w:color w:val="0000FF"/>
                <w:sz w:val="18"/>
              </w:rPr>
              <w:t>267.9</w:t>
            </w:r>
          </w:p>
        </w:tc>
        <w:tc>
          <w:tcPr>
            <w:tcW w:type="dxa" w:w="1512"/>
          </w:tcPr>
          <w:p>
            <w:pPr>
              <w:keepNext/>
              <w:spacing w:after="0" w:line="240" w:lineRule="auto"/>
              <w:jc w:val="center"/>
            </w:pPr>
            <w:r/>
            <w:r>
              <w:rPr>
                <w:color w:val="0000FF"/>
                <w:sz w:val="18"/>
              </w:rPr>
              <w:t>76.4</w:t>
            </w:r>
          </w:p>
        </w:tc>
        <w:tc>
          <w:tcPr>
            <w:tcW w:type="dxa" w:w="1584"/>
          </w:tcPr>
          <w:p>
            <w:pPr>
              <w:keepNext/>
              <w:spacing w:after="0" w:line="240" w:lineRule="auto"/>
              <w:jc w:val="center"/>
            </w:pPr>
            <w:r/>
            <w:r>
              <w:rPr>
                <w:color w:val="0000FF"/>
                <w:sz w:val="18"/>
              </w:rPr>
              <w:t>84.1</w:t>
            </w:r>
          </w:p>
        </w:tc>
        <w:tc>
          <w:tcPr>
            <w:tcW w:type="dxa" w:w="1584"/>
          </w:tcPr>
          <w:p>
            <w:pPr>
              <w:keepNext/>
              <w:spacing w:after="0" w:line="240" w:lineRule="auto"/>
              <w:jc w:val="center"/>
            </w:pPr>
            <w:r/>
            <w:r>
              <w:rPr>
                <w:color w:val="0000FF"/>
                <w:sz w:val="18"/>
              </w:rPr>
              <w:t>20.8</w:t>
            </w:r>
          </w:p>
        </w:tc>
      </w:tr>
      <w:tr>
        <w:trPr>
          <w:cantSplit/>
        </w:trPr>
        <w:tc>
          <w:tcPr>
            <w:tcW w:type="dxa" w:w="3168"/>
          </w:tcPr>
          <w:p>
            <w:pPr>
              <w:keepNext/>
              <w:spacing w:after="0" w:line="240" w:lineRule="auto"/>
            </w:pPr>
            <w:r/>
            <w:r>
              <w:rPr>
                <w:b/>
                <w:color w:val="0000FF"/>
                <w:sz w:val="18"/>
              </w:rPr>
              <w:t>Median market capitalization (USD million)</w:t>
            </w:r>
          </w:p>
        </w:tc>
        <w:tc>
          <w:tcPr>
            <w:tcW w:type="dxa" w:w="1512"/>
          </w:tcPr>
          <w:p>
            <w:pPr>
              <w:keepNext/>
              <w:spacing w:after="0" w:line="240" w:lineRule="auto"/>
              <w:jc w:val="center"/>
            </w:pPr>
            <w:r/>
            <w:r>
              <w:rPr>
                <w:color w:val="0000FF"/>
                <w:sz w:val="18"/>
              </w:rPr>
              <w:t>185.8</w:t>
            </w:r>
          </w:p>
        </w:tc>
        <w:tc>
          <w:tcPr>
            <w:tcW w:type="dxa" w:w="1512"/>
          </w:tcPr>
          <w:p>
            <w:pPr>
              <w:keepNext/>
              <w:spacing w:after="0" w:line="240" w:lineRule="auto"/>
              <w:jc w:val="center"/>
            </w:pPr>
            <w:r/>
            <w:r>
              <w:rPr>
                <w:color w:val="0000FF"/>
                <w:sz w:val="18"/>
              </w:rPr>
              <w:t>63.5</w:t>
            </w:r>
          </w:p>
        </w:tc>
        <w:tc>
          <w:tcPr>
            <w:tcW w:type="dxa" w:w="1584"/>
          </w:tcPr>
          <w:p>
            <w:pPr>
              <w:keepNext/>
              <w:spacing w:after="0" w:line="240" w:lineRule="auto"/>
              <w:jc w:val="center"/>
            </w:pPr>
            <w:r/>
            <w:r>
              <w:rPr>
                <w:color w:val="0000FF"/>
                <w:sz w:val="18"/>
              </w:rPr>
              <w:t>44.6</w:t>
            </w:r>
          </w:p>
        </w:tc>
        <w:tc>
          <w:tcPr>
            <w:tcW w:type="dxa" w:w="1584"/>
          </w:tcPr>
          <w:p>
            <w:pPr>
              <w:keepNext/>
              <w:spacing w:after="0" w:line="240" w:lineRule="auto"/>
              <w:jc w:val="center"/>
            </w:pPr>
            <w:r/>
            <w:r>
              <w:rPr>
                <w:color w:val="0000FF"/>
                <w:sz w:val="18"/>
              </w:rPr>
              <w:t>19.0</w:t>
            </w:r>
          </w:p>
        </w:tc>
      </w:tr>
      <w:tr>
        <w:trPr>
          <w:cantSplit/>
        </w:trPr>
        <w:tc>
          <w:tcPr>
            <w:tcW w:type="dxa" w:w="3168"/>
          </w:tcPr>
          <w:p>
            <w:pPr>
              <w:keepNext/>
              <w:spacing w:after="0" w:line="240" w:lineRule="auto"/>
            </w:pPr>
            <w:r/>
            <w:r>
              <w:rPr>
                <w:b/>
                <w:color w:val="0000FF"/>
                <w:sz w:val="18"/>
              </w:rPr>
              <w:t>Mean book leverage</w:t>
            </w:r>
          </w:p>
        </w:tc>
        <w:tc>
          <w:tcPr>
            <w:tcW w:type="dxa" w:w="1512"/>
          </w:tcPr>
          <w:p>
            <w:pPr>
              <w:keepNext/>
              <w:spacing w:after="0" w:line="240" w:lineRule="auto"/>
              <w:jc w:val="center"/>
            </w:pPr>
            <w:r/>
            <w:r>
              <w:rPr>
                <w:color w:val="0000FF"/>
                <w:sz w:val="18"/>
              </w:rPr>
              <w:t>0.236</w:t>
            </w:r>
          </w:p>
        </w:tc>
        <w:tc>
          <w:tcPr>
            <w:tcW w:type="dxa" w:w="1512"/>
          </w:tcPr>
          <w:p>
            <w:pPr>
              <w:keepNext/>
              <w:spacing w:after="0" w:line="240" w:lineRule="auto"/>
              <w:jc w:val="center"/>
            </w:pPr>
            <w:r/>
            <w:r>
              <w:rPr>
                <w:color w:val="0000FF"/>
                <w:sz w:val="18"/>
              </w:rPr>
              <w:t>0.307</w:t>
            </w:r>
          </w:p>
        </w:tc>
        <w:tc>
          <w:tcPr>
            <w:tcW w:type="dxa" w:w="1584"/>
          </w:tcPr>
          <w:p>
            <w:pPr>
              <w:keepNext/>
              <w:spacing w:after="0" w:line="240" w:lineRule="auto"/>
              <w:jc w:val="center"/>
            </w:pPr>
            <w:r/>
            <w:r>
              <w:rPr>
                <w:color w:val="0000FF"/>
                <w:sz w:val="18"/>
              </w:rPr>
              <w:t>0.222</w:t>
            </w:r>
          </w:p>
        </w:tc>
        <w:tc>
          <w:tcPr>
            <w:tcW w:type="dxa" w:w="1584"/>
          </w:tcPr>
          <w:p>
            <w:pPr>
              <w:keepNext/>
              <w:spacing w:after="0" w:line="240" w:lineRule="auto"/>
              <w:jc w:val="center"/>
            </w:pPr>
            <w:r/>
            <w:r>
              <w:rPr>
                <w:color w:val="0000FF"/>
                <w:sz w:val="18"/>
              </w:rPr>
              <w:t>0.339</w:t>
            </w:r>
          </w:p>
        </w:tc>
      </w:tr>
      <w:tr>
        <w:trPr>
          <w:cantSplit/>
        </w:trPr>
        <w:tc>
          <w:tcPr>
            <w:tcW w:type="dxa" w:w="3168"/>
          </w:tcPr>
          <w:p>
            <w:pPr>
              <w:keepNext/>
              <w:spacing w:after="0" w:line="240" w:lineRule="auto"/>
            </w:pPr>
            <w:r/>
            <w:r>
              <w:rPr>
                <w:b/>
                <w:color w:val="0000FF"/>
                <w:sz w:val="18"/>
              </w:rPr>
              <w:t>Share with leverage above 0.5</w:t>
            </w:r>
          </w:p>
        </w:tc>
        <w:tc>
          <w:tcPr>
            <w:tcW w:type="dxa" w:w="1512"/>
          </w:tcPr>
          <w:p>
            <w:pPr>
              <w:keepNext/>
              <w:spacing w:after="0" w:line="240" w:lineRule="auto"/>
              <w:jc w:val="center"/>
            </w:pPr>
            <w:r/>
            <w:r>
              <w:rPr>
                <w:color w:val="0000FF"/>
                <w:sz w:val="18"/>
              </w:rPr>
              <w:t>0.08</w:t>
            </w:r>
          </w:p>
        </w:tc>
        <w:tc>
          <w:tcPr>
            <w:tcW w:type="dxa" w:w="1512"/>
          </w:tcPr>
          <w:p>
            <w:pPr>
              <w:keepNext/>
              <w:spacing w:after="0" w:line="240" w:lineRule="auto"/>
              <w:jc w:val="center"/>
            </w:pPr>
            <w:r/>
            <w:r>
              <w:rPr>
                <w:color w:val="0000FF"/>
                <w:sz w:val="18"/>
              </w:rPr>
              <w:t>0.15</w:t>
            </w:r>
          </w:p>
        </w:tc>
        <w:tc>
          <w:tcPr>
            <w:tcW w:type="dxa" w:w="1584"/>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0.25</w:t>
            </w:r>
          </w:p>
        </w:tc>
      </w:tr>
      <w:tr>
        <w:trPr>
          <w:cantSplit/>
        </w:trPr>
        <w:tc>
          <w:tcPr>
            <w:tcW w:type="dxa" w:w="3168"/>
          </w:tcPr>
          <w:p>
            <w:pPr>
              <w:keepNext/>
              <w:spacing w:after="0" w:line="240" w:lineRule="auto"/>
            </w:pPr>
            <w:r/>
            <w:r>
              <w:rPr>
                <w:b/>
                <w:color w:val="0000FF"/>
                <w:sz w:val="18"/>
              </w:rPr>
              <w:t>Share Indonesian</w:t>
            </w:r>
          </w:p>
        </w:tc>
        <w:tc>
          <w:tcPr>
            <w:tcW w:type="dxa" w:w="1512"/>
          </w:tcPr>
          <w:p>
            <w:pPr>
              <w:keepNext/>
              <w:spacing w:after="0" w:line="240" w:lineRule="auto"/>
              <w:jc w:val="center"/>
            </w:pPr>
            <w:r/>
            <w:r>
              <w:rPr>
                <w:color w:val="0000FF"/>
                <w:sz w:val="18"/>
              </w:rPr>
              <w:t>0.06</w:t>
            </w:r>
          </w:p>
        </w:tc>
        <w:tc>
          <w:tcPr>
            <w:tcW w:type="dxa" w:w="1512"/>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0.39</w:t>
            </w:r>
          </w:p>
        </w:tc>
      </w:tr>
      <w:tr>
        <w:trPr>
          <w:cantSplit/>
        </w:trPr>
        <w:tc>
          <w:tcPr>
            <w:tcW w:type="dxa" w:w="3168"/>
          </w:tcPr>
          <w:p>
            <w:pPr>
              <w:keepNext/>
              <w:spacing w:after="0" w:line="240" w:lineRule="auto"/>
            </w:pPr>
            <w:r/>
            <w:r>
              <w:rPr>
                <w:b/>
                <w:color w:val="0000FF"/>
                <w:sz w:val="18"/>
              </w:rPr>
              <w:t>Share Malaysian</w:t>
            </w:r>
          </w:p>
        </w:tc>
        <w:tc>
          <w:tcPr>
            <w:tcW w:type="dxa" w:w="1512"/>
          </w:tcPr>
          <w:p>
            <w:pPr>
              <w:keepNext/>
              <w:spacing w:after="0" w:line="240" w:lineRule="auto"/>
              <w:jc w:val="center"/>
            </w:pPr>
            <w:r/>
            <w:r>
              <w:rPr>
                <w:color w:val="0000FF"/>
                <w:sz w:val="18"/>
              </w:rPr>
              <w:t>0.59</w:t>
            </w:r>
          </w:p>
        </w:tc>
        <w:tc>
          <w:tcPr>
            <w:tcW w:type="dxa" w:w="1512"/>
          </w:tcPr>
          <w:p>
            <w:pPr>
              <w:keepNext/>
              <w:spacing w:after="0" w:line="240" w:lineRule="auto"/>
              <w:jc w:val="center"/>
            </w:pPr>
            <w:r/>
            <w:r>
              <w:rPr>
                <w:color w:val="0000FF"/>
                <w:sz w:val="18"/>
              </w:rPr>
              <w:t>0.64</w:t>
            </w:r>
          </w:p>
        </w:tc>
        <w:tc>
          <w:tcPr>
            <w:tcW w:type="dxa" w:w="1584"/>
          </w:tcPr>
          <w:p>
            <w:pPr>
              <w:keepNext/>
              <w:spacing w:after="0" w:line="240" w:lineRule="auto"/>
              <w:jc w:val="center"/>
            </w:pPr>
            <w:r/>
            <w:r>
              <w:rPr>
                <w:color w:val="0000FF"/>
                <w:sz w:val="18"/>
              </w:rPr>
              <w:t>0.21</w:t>
            </w:r>
          </w:p>
        </w:tc>
        <w:tc>
          <w:tcPr>
            <w:tcW w:type="dxa" w:w="1584"/>
          </w:tcPr>
          <w:p>
            <w:pPr>
              <w:keepNext/>
              <w:spacing w:after="0" w:line="240" w:lineRule="auto"/>
              <w:jc w:val="center"/>
            </w:pPr>
            <w:r/>
            <w:r>
              <w:rPr>
                <w:color w:val="0000FF"/>
                <w:sz w:val="18"/>
              </w:rPr>
              <w:t>0.22</w:t>
            </w:r>
          </w:p>
        </w:tc>
      </w:tr>
      <w:tr>
        <w:trPr>
          <w:cantSplit/>
        </w:trPr>
        <w:tc>
          <w:tcPr>
            <w:tcW w:type="dxa" w:w="3168"/>
          </w:tcPr>
          <w:p>
            <w:pPr>
              <w:keepNext/>
              <w:spacing w:after="0" w:line="240" w:lineRule="auto"/>
            </w:pPr>
            <w:r/>
            <w:r>
              <w:rPr>
                <w:b/>
                <w:color w:val="0000FF"/>
                <w:sz w:val="18"/>
              </w:rPr>
              <w:t>Mean calendar year</w:t>
            </w:r>
          </w:p>
        </w:tc>
        <w:tc>
          <w:tcPr>
            <w:tcW w:type="dxa" w:w="1512"/>
          </w:tcPr>
          <w:p>
            <w:pPr>
              <w:keepNext/>
              <w:spacing w:after="0" w:line="240" w:lineRule="auto"/>
              <w:jc w:val="center"/>
            </w:pPr>
            <w:r/>
            <w:r>
              <w:rPr>
                <w:color w:val="0000FF"/>
                <w:sz w:val="18"/>
              </w:rPr>
              <w:t>2019.3</w:t>
            </w:r>
          </w:p>
        </w:tc>
        <w:tc>
          <w:tcPr>
            <w:tcW w:type="dxa" w:w="1512"/>
          </w:tcPr>
          <w:p>
            <w:pPr>
              <w:keepNext/>
              <w:spacing w:after="0" w:line="240" w:lineRule="auto"/>
              <w:jc w:val="center"/>
            </w:pPr>
            <w:r/>
            <w:r>
              <w:rPr>
                <w:color w:val="0000FF"/>
                <w:sz w:val="18"/>
              </w:rPr>
              <w:t>2017.2</w:t>
            </w:r>
          </w:p>
        </w:tc>
        <w:tc>
          <w:tcPr>
            <w:tcW w:type="dxa" w:w="1584"/>
          </w:tcPr>
          <w:p>
            <w:pPr>
              <w:keepNext/>
              <w:spacing w:after="0" w:line="240" w:lineRule="auto"/>
              <w:jc w:val="center"/>
            </w:pPr>
            <w:r/>
            <w:r>
              <w:rPr>
                <w:color w:val="0000FF"/>
                <w:sz w:val="18"/>
              </w:rPr>
              <w:t>2019.5</w:t>
            </w:r>
          </w:p>
        </w:tc>
        <w:tc>
          <w:tcPr>
            <w:tcW w:type="dxa" w:w="1584"/>
          </w:tcPr>
          <w:p>
            <w:pPr>
              <w:keepNext/>
              <w:spacing w:after="0" w:line="240" w:lineRule="auto"/>
              <w:jc w:val="center"/>
            </w:pPr>
            <w:r/>
            <w:r>
              <w:rPr>
                <w:color w:val="0000FF"/>
                <w:sz w:val="18"/>
              </w:rPr>
              <w:t>2017.8</w:t>
            </w:r>
          </w:p>
        </w:tc>
      </w:tr>
      <w:tr>
        <w:trPr>
          <w:cantSplit/>
        </w:trPr>
        <w:tc>
          <w:tcPr>
            <w:tcW w:type="dxa" w:w="3168"/>
            <w:tcBorders>
              <w:bottom w:val="single" w:sz="6" w:color="000000"/>
            </w:tcBorders>
          </w:tcPr>
          <w:p>
            <w:pPr>
              <w:spacing w:after="0" w:line="240" w:lineRule="auto"/>
            </w:pPr>
            <w:r/>
            <w:r>
              <w:rPr>
                <w:b/>
                <w:color w:val="0000FF"/>
                <w:sz w:val="18"/>
              </w:rPr>
              <w:t>Share with market capitalization</w:t>
            </w:r>
          </w:p>
        </w:tc>
        <w:tc>
          <w:tcPr>
            <w:tcW w:type="dxa" w:w="1512"/>
            <w:tcBorders>
              <w:bottom w:val="single" w:sz="6" w:color="000000"/>
            </w:tcBorders>
          </w:tcPr>
          <w:p>
            <w:pPr>
              <w:spacing w:after="0" w:line="240" w:lineRule="auto"/>
              <w:jc w:val="center"/>
            </w:pPr>
            <w:r/>
            <w:r>
              <w:rPr>
                <w:color w:val="0000FF"/>
                <w:sz w:val="18"/>
              </w:rPr>
              <w:t>1.00</w:t>
            </w:r>
          </w:p>
        </w:tc>
        <w:tc>
          <w:tcPr>
            <w:tcW w:type="dxa" w:w="1512"/>
            <w:tcBorders>
              <w:bottom w:val="single" w:sz="6" w:color="000000"/>
            </w:tcBorders>
          </w:tcPr>
          <w:p>
            <w:pPr>
              <w:spacing w:after="0" w:line="240" w:lineRule="auto"/>
              <w:jc w:val="center"/>
            </w:pPr>
            <w:r/>
            <w:r>
              <w:rPr>
                <w:color w:val="0000FF"/>
                <w:sz w:val="18"/>
              </w:rPr>
              <w:t>0.25</w:t>
            </w:r>
          </w:p>
        </w:tc>
        <w:tc>
          <w:tcPr>
            <w:tcW w:type="dxa" w:w="1584"/>
            <w:tcBorders>
              <w:bottom w:val="single" w:sz="6" w:color="000000"/>
            </w:tcBorders>
          </w:tcPr>
          <w:p>
            <w:pPr>
              <w:spacing w:after="0" w:line="240" w:lineRule="auto"/>
              <w:jc w:val="center"/>
            </w:pPr>
            <w:r/>
            <w:r>
              <w:rPr>
                <w:color w:val="0000FF"/>
                <w:sz w:val="18"/>
              </w:rPr>
              <w:t>1.00</w:t>
            </w:r>
          </w:p>
        </w:tc>
        <w:tc>
          <w:tcPr>
            <w:tcW w:type="dxa" w:w="1584"/>
            <w:tcBorders>
              <w:bottom w:val="single" w:sz="6" w:color="000000"/>
            </w:tcBorders>
          </w:tcPr>
          <w:p>
            <w:pPr>
              <w:spacing w:after="0" w:line="240" w:lineRule="auto"/>
              <w:jc w:val="center"/>
            </w:pPr>
            <w:r/>
            <w:r>
              <w:rPr>
                <w:color w:val="0000FF"/>
                <w:sz w:val="18"/>
              </w:rPr>
              <w:t>0.21</w:t>
            </w:r>
          </w:p>
        </w:tc>
      </w:tr>
    </w:tbl>
    <w:p>
      <w:pPr>
        <w:spacing w:line="240" w:lineRule="auto" w:after="40" w:before="280"/>
        <w:jc w:val="both"/>
      </w:pPr>
      <w:r>
        <w:rPr>
          <w:color w:val="0000FF"/>
          <w:sz w:val="18"/>
        </w:rPr>
        <w:t>Note: Estimation sample, 2014–2024; amounts in U.S. dollars after winsorization at the 1st and 99th percentiles.</w:t>
      </w:r>
    </w:p>
    <w:p>
      <w:pPr>
        <w:keepNext/>
        <w:spacing w:line="240" w:lineRule="auto" w:after="120" w:before="240"/>
        <w:jc w:val="center"/>
      </w:pPr>
      <w:r>
        <w:rPr>
          <w:color w:val="0000FF"/>
          <w:sz w:val="22"/>
        </w:rPr>
        <w:t>Table S9.</w:t>
      </w:r>
      <w:r>
        <w:rPr>
          <w:sz w:val="22"/>
        </w:rPr>
        <w:t xml:space="preserve"> </w:t>
      </w:r>
      <w:r>
        <w:rPr>
          <w:color w:val="0000FF"/>
          <w:sz w:val="22"/>
        </w:rPr>
        <w:t>Leave-one-market-out estimates of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color w:val="0000FF"/>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color w:val="0000FF"/>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color w:val="0000FF"/>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color w:val="0000FF"/>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color w:val="0000FF"/>
                <w:sz w:val="18"/>
              </w:rPr>
              <w:t>471 / 1,813</w:t>
            </w:r>
          </w:p>
        </w:tc>
      </w:tr>
    </w:tbl>
    <w:p>
      <w:pPr>
        <w:spacing w:line="240" w:lineRule="auto" w:after="40" w:before="280"/>
        <w:jc w:val="both"/>
      </w:pPr>
      <w:r>
        <w:rPr>
          <w:color w:val="0000FF"/>
          <w:sz w:val="18"/>
        </w:rPr>
        <w:t>Note: Outcome regression with firm-bootstrap standard errors; firm counts for ln(MTB). *, **, ***: 10%, 5%, 1% (unadjusted).</w:t>
      </w:r>
    </w:p>
    <w:p>
      <w:pPr>
        <w:keepNext/>
        <w:spacing w:line="240" w:lineRule="auto" w:after="120" w:before="240"/>
        <w:jc w:val="center"/>
      </w:pPr>
      <w:r>
        <w:rPr>
          <w:color w:val="0000FF"/>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Group</w:t>
            </w:r>
          </w:p>
        </w:tc>
        <w:tc>
          <w:tcPr>
            <w:tcW w:type="dxa" w:w="1872"/>
            <w:tcBorders>
              <w:top w:val="single" w:sz="6" w:color="000000"/>
              <w:bottom w:val="single" w:sz="6" w:color="000000"/>
            </w:tcBorders>
          </w:tcPr>
          <w:p>
            <w:pPr>
              <w:keepNext/>
              <w:spacing w:after="0" w:line="240" w:lineRule="auto"/>
              <w:jc w:val="center"/>
            </w:pPr>
            <w:r/>
            <w:r>
              <w:rPr>
                <w:b/>
                <w:color w:val="0000FF"/>
                <w:sz w:val="18"/>
              </w:rPr>
              <w:t>Scored firm-cells</w:t>
            </w:r>
          </w:p>
        </w:tc>
        <w:tc>
          <w:tcPr>
            <w:tcW w:type="dxa" w:w="2304"/>
            <w:tcBorders>
              <w:top w:val="single" w:sz="6" w:color="000000"/>
              <w:bottom w:val="single" w:sz="6" w:color="000000"/>
            </w:tcBorders>
          </w:tcPr>
          <w:p>
            <w:pPr>
              <w:keepNext/>
              <w:spacing w:after="0" w:line="240" w:lineRule="auto"/>
              <w:jc w:val="center"/>
            </w:pPr>
            <w:r/>
            <w:r>
              <w:rPr>
                <w:b/>
                <w:color w:val="0000FF"/>
                <w:sz w:val="18"/>
              </w:rPr>
              <w:t>Weight in the pooled estimate</w:t>
            </w:r>
          </w:p>
        </w:tc>
      </w:tr>
      <w:tr>
        <w:trPr>
          <w:cantSplit/>
        </w:trPr>
        <w:tc>
          <w:tcPr>
            <w:tcW w:type="dxa" w:w="4752"/>
          </w:tcPr>
          <w:p>
            <w:pPr>
              <w:keepNext/>
              <w:spacing w:after="0" w:line="240" w:lineRule="auto"/>
            </w:pPr>
            <w:r/>
            <w:r>
              <w:rPr>
                <w:b/>
                <w:color w:val="0000FF"/>
                <w:sz w:val="18"/>
              </w:rPr>
              <w:t>Indonesia</w:t>
            </w:r>
          </w:p>
        </w:tc>
        <w:tc>
          <w:tcPr>
            <w:tcW w:type="dxa" w:w="1872"/>
          </w:tcPr>
          <w:p>
            <w:pPr>
              <w:keepNext/>
              <w:spacing w:after="0" w:line="240" w:lineRule="auto"/>
              <w:jc w:val="center"/>
            </w:pPr>
            <w:r/>
            <w:r>
              <w:rPr>
                <w:color w:val="0000FF"/>
                <w:sz w:val="18"/>
              </w:rPr>
              <w:t>123</w:t>
            </w:r>
          </w:p>
        </w:tc>
        <w:tc>
          <w:tcPr>
            <w:tcW w:type="dxa" w:w="2304"/>
          </w:tcPr>
          <w:p>
            <w:pPr>
              <w:keepNext/>
              <w:spacing w:after="0" w:line="240" w:lineRule="auto"/>
              <w:jc w:val="center"/>
            </w:pPr>
            <w:r/>
            <w:r>
              <w:rPr>
                <w:color w:val="0000FF"/>
                <w:sz w:val="18"/>
              </w:rPr>
              <w:t>0.063</w:t>
            </w:r>
          </w:p>
        </w:tc>
      </w:tr>
      <w:tr>
        <w:trPr>
          <w:cantSplit/>
        </w:trPr>
        <w:tc>
          <w:tcPr>
            <w:tcW w:type="dxa" w:w="4752"/>
          </w:tcPr>
          <w:p>
            <w:pPr>
              <w:keepNext/>
              <w:spacing w:after="0" w:line="240" w:lineRule="auto"/>
            </w:pPr>
            <w:r/>
            <w:r>
              <w:rPr>
                <w:b/>
                <w:color w:val="0000FF"/>
                <w:sz w:val="18"/>
              </w:rPr>
              <w:t>Malaysia</w:t>
            </w:r>
          </w:p>
        </w:tc>
        <w:tc>
          <w:tcPr>
            <w:tcW w:type="dxa" w:w="1872"/>
          </w:tcPr>
          <w:p>
            <w:pPr>
              <w:keepNext/>
              <w:spacing w:after="0" w:line="240" w:lineRule="auto"/>
              <w:jc w:val="center"/>
            </w:pPr>
            <w:r/>
            <w:r>
              <w:rPr>
                <w:color w:val="0000FF"/>
                <w:sz w:val="18"/>
              </w:rPr>
              <w:t>1,074</w:t>
            </w:r>
          </w:p>
        </w:tc>
        <w:tc>
          <w:tcPr>
            <w:tcW w:type="dxa" w:w="2304"/>
          </w:tcPr>
          <w:p>
            <w:pPr>
              <w:keepNext/>
              <w:spacing w:after="0" w:line="240" w:lineRule="auto"/>
              <w:jc w:val="center"/>
            </w:pPr>
            <w:r/>
            <w:r>
              <w:rPr>
                <w:color w:val="0000FF"/>
                <w:sz w:val="18"/>
              </w:rPr>
              <w:t>0.552</w:t>
            </w:r>
          </w:p>
        </w:tc>
      </w:tr>
      <w:tr>
        <w:trPr>
          <w:cantSplit/>
        </w:trPr>
        <w:tc>
          <w:tcPr>
            <w:tcW w:type="dxa" w:w="4752"/>
          </w:tcPr>
          <w:p>
            <w:pPr>
              <w:keepNext/>
              <w:spacing w:after="0" w:line="240" w:lineRule="auto"/>
            </w:pPr>
            <w:r/>
            <w:r>
              <w:rPr>
                <w:b/>
                <w:color w:val="0000FF"/>
                <w:sz w:val="18"/>
              </w:rPr>
              <w:t>Philippines</w:t>
            </w:r>
          </w:p>
        </w:tc>
        <w:tc>
          <w:tcPr>
            <w:tcW w:type="dxa" w:w="1872"/>
          </w:tcPr>
          <w:p>
            <w:pPr>
              <w:keepNext/>
              <w:spacing w:after="0" w:line="240" w:lineRule="auto"/>
              <w:jc w:val="center"/>
            </w:pPr>
            <w:r/>
            <w:r>
              <w:rPr>
                <w:color w:val="0000FF"/>
                <w:sz w:val="18"/>
              </w:rPr>
              <w:t>52</w:t>
            </w:r>
          </w:p>
        </w:tc>
        <w:tc>
          <w:tcPr>
            <w:tcW w:type="dxa" w:w="2304"/>
          </w:tcPr>
          <w:p>
            <w:pPr>
              <w:keepNext/>
              <w:spacing w:after="0" w:line="240" w:lineRule="auto"/>
              <w:jc w:val="center"/>
            </w:pPr>
            <w:r/>
            <w:r>
              <w:rPr>
                <w:color w:val="0000FF"/>
                <w:sz w:val="18"/>
              </w:rPr>
              <w:t>0.027</w:t>
            </w:r>
          </w:p>
        </w:tc>
      </w:tr>
      <w:tr>
        <w:trPr>
          <w:cantSplit/>
        </w:trPr>
        <w:tc>
          <w:tcPr>
            <w:tcW w:type="dxa" w:w="4752"/>
          </w:tcPr>
          <w:p>
            <w:pPr>
              <w:keepNext/>
              <w:spacing w:after="0" w:line="240" w:lineRule="auto"/>
            </w:pPr>
            <w:r/>
            <w:r>
              <w:rPr>
                <w:b/>
                <w:color w:val="0000FF"/>
                <w:sz w:val="18"/>
              </w:rPr>
              <w:t>Singapore</w:t>
            </w:r>
          </w:p>
        </w:tc>
        <w:tc>
          <w:tcPr>
            <w:tcW w:type="dxa" w:w="1872"/>
          </w:tcPr>
          <w:p>
            <w:pPr>
              <w:keepNext/>
              <w:spacing w:after="0" w:line="240" w:lineRule="auto"/>
              <w:jc w:val="center"/>
            </w:pPr>
            <w:r/>
            <w:r>
              <w:rPr>
                <w:color w:val="0000FF"/>
                <w:sz w:val="18"/>
              </w:rPr>
              <w:t>178</w:t>
            </w:r>
          </w:p>
        </w:tc>
        <w:tc>
          <w:tcPr>
            <w:tcW w:type="dxa" w:w="2304"/>
          </w:tcPr>
          <w:p>
            <w:pPr>
              <w:keepNext/>
              <w:spacing w:after="0" w:line="240" w:lineRule="auto"/>
              <w:jc w:val="center"/>
            </w:pPr>
            <w:r/>
            <w:r>
              <w:rPr>
                <w:color w:val="0000FF"/>
                <w:sz w:val="18"/>
              </w:rPr>
              <w:t>0.091</w:t>
            </w:r>
          </w:p>
        </w:tc>
      </w:tr>
      <w:tr>
        <w:trPr>
          <w:cantSplit/>
        </w:trPr>
        <w:tc>
          <w:tcPr>
            <w:tcW w:type="dxa" w:w="4752"/>
          </w:tcPr>
          <w:p>
            <w:pPr>
              <w:keepNext/>
              <w:spacing w:after="0" w:line="240" w:lineRule="auto"/>
            </w:pPr>
            <w:r/>
            <w:r>
              <w:rPr>
                <w:b/>
                <w:color w:val="0000FF"/>
                <w:sz w:val="18"/>
              </w:rPr>
              <w:t>Thailand</w:t>
            </w:r>
          </w:p>
        </w:tc>
        <w:tc>
          <w:tcPr>
            <w:tcW w:type="dxa" w:w="1872"/>
          </w:tcPr>
          <w:p>
            <w:pPr>
              <w:keepNext/>
              <w:spacing w:after="0" w:line="240" w:lineRule="auto"/>
              <w:jc w:val="center"/>
            </w:pPr>
            <w:r/>
            <w:r>
              <w:rPr>
                <w:color w:val="0000FF"/>
                <w:sz w:val="18"/>
              </w:rPr>
              <w:t>519</w:t>
            </w:r>
          </w:p>
        </w:tc>
        <w:tc>
          <w:tcPr>
            <w:tcW w:type="dxa" w:w="2304"/>
          </w:tcPr>
          <w:p>
            <w:pPr>
              <w:keepNext/>
              <w:spacing w:after="0" w:line="240" w:lineRule="auto"/>
              <w:jc w:val="center"/>
            </w:pPr>
            <w:r/>
            <w:r>
              <w:rPr>
                <w:color w:val="0000FF"/>
                <w:sz w:val="18"/>
              </w:rPr>
              <w:t>0.267</w:t>
            </w:r>
          </w:p>
        </w:tc>
      </w:tr>
      <w:tr>
        <w:trPr>
          <w:cantSplit/>
        </w:trPr>
        <w:tc>
          <w:tcPr>
            <w:tcW w:type="dxa" w:w="4752"/>
          </w:tcPr>
          <w:p>
            <w:pPr>
              <w:keepNext/>
              <w:spacing w:after="0" w:line="240" w:lineRule="auto"/>
            </w:pPr>
            <w:r/>
            <w:r>
              <w:rPr>
                <w:b/>
                <w:color w:val="0000FF"/>
                <w:sz w:val="18"/>
              </w:rPr>
              <w:t>Malaysian wave (first recorded 2021–2022)</w:t>
            </w:r>
          </w:p>
        </w:tc>
        <w:tc>
          <w:tcPr>
            <w:tcW w:type="dxa" w:w="1872"/>
          </w:tcPr>
          <w:p>
            <w:pPr>
              <w:keepNext/>
              <w:spacing w:after="0" w:line="240" w:lineRule="auto"/>
              <w:jc w:val="center"/>
            </w:pPr>
            <w:r/>
            <w:r>
              <w:rPr>
                <w:color w:val="0000FF"/>
                <w:sz w:val="18"/>
              </w:rPr>
              <w:t>858</w:t>
            </w:r>
          </w:p>
        </w:tc>
        <w:tc>
          <w:tcPr>
            <w:tcW w:type="dxa" w:w="2304"/>
          </w:tcPr>
          <w:p>
            <w:pPr>
              <w:keepNext/>
              <w:spacing w:after="0" w:line="240" w:lineRule="auto"/>
              <w:jc w:val="center"/>
            </w:pPr>
            <w:r/>
            <w:r>
              <w:rPr>
                <w:color w:val="0000FF"/>
                <w:sz w:val="18"/>
              </w:rPr>
              <w:t>0.441</w:t>
            </w:r>
          </w:p>
        </w:tc>
      </w:tr>
      <w:tr>
        <w:trPr>
          <w:cantSplit/>
        </w:trPr>
        <w:tc>
          <w:tcPr>
            <w:tcW w:type="dxa" w:w="4752"/>
          </w:tcPr>
          <w:p>
            <w:pPr>
              <w:keepNext/>
              <w:spacing w:after="0" w:line="240" w:lineRule="auto"/>
            </w:pPr>
            <w:r/>
            <w:r>
              <w:rPr>
                <w:b/>
                <w:color w:val="0000FF"/>
                <w:sz w:val="18"/>
              </w:rPr>
              <w:t>Thai and Singaporean wave (2019–2020)</w:t>
            </w:r>
          </w:p>
        </w:tc>
        <w:tc>
          <w:tcPr>
            <w:tcW w:type="dxa" w:w="1872"/>
          </w:tcPr>
          <w:p>
            <w:pPr>
              <w:keepNext/>
              <w:spacing w:after="0" w:line="240" w:lineRule="auto"/>
              <w:jc w:val="center"/>
            </w:pPr>
            <w:r/>
            <w:r>
              <w:rPr>
                <w:color w:val="0000FF"/>
                <w:sz w:val="18"/>
              </w:rPr>
              <w:t>401</w:t>
            </w:r>
          </w:p>
        </w:tc>
        <w:tc>
          <w:tcPr>
            <w:tcW w:type="dxa" w:w="2304"/>
          </w:tcPr>
          <w:p>
            <w:pPr>
              <w:keepNext/>
              <w:spacing w:after="0" w:line="240" w:lineRule="auto"/>
              <w:jc w:val="center"/>
            </w:pPr>
            <w:r/>
            <w:r>
              <w:rPr>
                <w:color w:val="0000FF"/>
                <w:sz w:val="18"/>
              </w:rPr>
              <w:t>0.206</w:t>
            </w:r>
          </w:p>
        </w:tc>
      </w:tr>
      <w:tr>
        <w:trPr>
          <w:cantSplit/>
        </w:trPr>
        <w:tc>
          <w:tcPr>
            <w:tcW w:type="dxa" w:w="4752"/>
          </w:tcPr>
          <w:p>
            <w:pPr>
              <w:keepNext/>
              <w:spacing w:after="0" w:line="240" w:lineRule="auto"/>
            </w:pPr>
            <w:r/>
            <w:r>
              <w:rPr>
                <w:b/>
                <w:color w:val="0000FF"/>
                <w:sz w:val="18"/>
              </w:rPr>
              <w:t>All other cohorts</w:t>
            </w:r>
          </w:p>
        </w:tc>
        <w:tc>
          <w:tcPr>
            <w:tcW w:type="dxa" w:w="1872"/>
          </w:tcPr>
          <w:p>
            <w:pPr>
              <w:keepNext/>
              <w:spacing w:after="0" w:line="240" w:lineRule="auto"/>
              <w:jc w:val="center"/>
            </w:pPr>
            <w:r/>
            <w:r>
              <w:rPr>
                <w:color w:val="0000FF"/>
                <w:sz w:val="18"/>
              </w:rPr>
              <w:t>687</w:t>
            </w:r>
          </w:p>
        </w:tc>
        <w:tc>
          <w:tcPr>
            <w:tcW w:type="dxa" w:w="2304"/>
          </w:tcPr>
          <w:p>
            <w:pPr>
              <w:keepNext/>
              <w:spacing w:after="0" w:line="240" w:lineRule="auto"/>
              <w:jc w:val="center"/>
            </w:pPr>
            <w:r/>
            <w:r>
              <w:rPr>
                <w:color w:val="0000FF"/>
                <w:sz w:val="18"/>
              </w:rPr>
              <w:t>0.353</w:t>
            </w:r>
          </w:p>
        </w:tc>
      </w:tr>
      <w:tr>
        <w:trPr>
          <w:cantSplit/>
        </w:trPr>
        <w:tc>
          <w:tcPr>
            <w:tcW w:type="dxa" w:w="4752"/>
          </w:tcPr>
          <w:p>
            <w:pPr>
              <w:keepNext/>
              <w:spacing w:after="0" w:line="240" w:lineRule="auto"/>
            </w:pPr>
            <w:r/>
            <w:r>
              <w:rPr>
                <w:b/>
                <w:color w:val="0000FF"/>
                <w:sz w:val="18"/>
              </w:rPr>
              <w:t>Calendar year 2015</w:t>
            </w:r>
          </w:p>
        </w:tc>
        <w:tc>
          <w:tcPr>
            <w:tcW w:type="dxa" w:w="1872"/>
          </w:tcPr>
          <w:p>
            <w:pPr>
              <w:keepNext/>
              <w:spacing w:after="0" w:line="240" w:lineRule="auto"/>
              <w:jc w:val="center"/>
            </w:pPr>
            <w:r/>
            <w:r>
              <w:rPr>
                <w:color w:val="0000FF"/>
                <w:sz w:val="18"/>
              </w:rPr>
              <w:t>8</w:t>
            </w:r>
          </w:p>
        </w:tc>
        <w:tc>
          <w:tcPr>
            <w:tcW w:type="dxa" w:w="2304"/>
          </w:tcPr>
          <w:p>
            <w:pPr>
              <w:keepNext/>
              <w:spacing w:after="0" w:line="240" w:lineRule="auto"/>
              <w:jc w:val="center"/>
            </w:pPr>
            <w:r/>
            <w:r>
              <w:rPr>
                <w:color w:val="0000FF"/>
                <w:sz w:val="18"/>
              </w:rPr>
              <w:t>0.004</w:t>
            </w:r>
          </w:p>
        </w:tc>
      </w:tr>
      <w:tr>
        <w:trPr>
          <w:cantSplit/>
        </w:trPr>
        <w:tc>
          <w:tcPr>
            <w:tcW w:type="dxa" w:w="4752"/>
          </w:tcPr>
          <w:p>
            <w:pPr>
              <w:keepNext/>
              <w:spacing w:after="0" w:line="240" w:lineRule="auto"/>
            </w:pPr>
            <w:r/>
            <w:r>
              <w:rPr>
                <w:b/>
                <w:color w:val="0000FF"/>
                <w:sz w:val="18"/>
              </w:rPr>
              <w:t>Calendar year 2016</w:t>
            </w:r>
          </w:p>
        </w:tc>
        <w:tc>
          <w:tcPr>
            <w:tcW w:type="dxa" w:w="1872"/>
          </w:tcPr>
          <w:p>
            <w:pPr>
              <w:keepNext/>
              <w:spacing w:after="0" w:line="240" w:lineRule="auto"/>
              <w:jc w:val="center"/>
            </w:pPr>
            <w:r/>
            <w:r>
              <w:rPr>
                <w:color w:val="0000FF"/>
                <w:sz w:val="18"/>
              </w:rPr>
              <w:t>16</w:t>
            </w:r>
          </w:p>
        </w:tc>
        <w:tc>
          <w:tcPr>
            <w:tcW w:type="dxa" w:w="2304"/>
          </w:tcPr>
          <w:p>
            <w:pPr>
              <w:keepNext/>
              <w:spacing w:after="0" w:line="240" w:lineRule="auto"/>
              <w:jc w:val="center"/>
            </w:pPr>
            <w:r/>
            <w:r>
              <w:rPr>
                <w:color w:val="0000FF"/>
                <w:sz w:val="18"/>
              </w:rPr>
              <w:t>0.008</w:t>
            </w:r>
          </w:p>
        </w:tc>
      </w:tr>
      <w:tr>
        <w:trPr>
          <w:cantSplit/>
        </w:trPr>
        <w:tc>
          <w:tcPr>
            <w:tcW w:type="dxa" w:w="4752"/>
          </w:tcPr>
          <w:p>
            <w:pPr>
              <w:keepNext/>
              <w:spacing w:after="0" w:line="240" w:lineRule="auto"/>
            </w:pPr>
            <w:r/>
            <w:r>
              <w:rPr>
                <w:b/>
                <w:color w:val="0000FF"/>
                <w:sz w:val="18"/>
              </w:rPr>
              <w:t>Calendar year 2017</w:t>
            </w:r>
          </w:p>
        </w:tc>
        <w:tc>
          <w:tcPr>
            <w:tcW w:type="dxa" w:w="1872"/>
          </w:tcPr>
          <w:p>
            <w:pPr>
              <w:keepNext/>
              <w:spacing w:after="0" w:line="240" w:lineRule="auto"/>
              <w:jc w:val="center"/>
            </w:pPr>
            <w:r/>
            <w:r>
              <w:rPr>
                <w:color w:val="0000FF"/>
                <w:sz w:val="18"/>
              </w:rPr>
              <w:t>22</w:t>
            </w:r>
          </w:p>
        </w:tc>
        <w:tc>
          <w:tcPr>
            <w:tcW w:type="dxa" w:w="2304"/>
          </w:tcPr>
          <w:p>
            <w:pPr>
              <w:keepNext/>
              <w:spacing w:after="0" w:line="240" w:lineRule="auto"/>
              <w:jc w:val="center"/>
            </w:pPr>
            <w:r/>
            <w:r>
              <w:rPr>
                <w:color w:val="0000FF"/>
                <w:sz w:val="18"/>
              </w:rPr>
              <w:t>0.011</w:t>
            </w:r>
          </w:p>
        </w:tc>
      </w:tr>
      <w:tr>
        <w:trPr>
          <w:cantSplit/>
        </w:trPr>
        <w:tc>
          <w:tcPr>
            <w:tcW w:type="dxa" w:w="4752"/>
          </w:tcPr>
          <w:p>
            <w:pPr>
              <w:keepNext/>
              <w:spacing w:after="0" w:line="240" w:lineRule="auto"/>
            </w:pPr>
            <w:r/>
            <w:r>
              <w:rPr>
                <w:b/>
                <w:color w:val="0000FF"/>
                <w:sz w:val="18"/>
              </w:rPr>
              <w:t>Calendar year 2018</w:t>
            </w:r>
          </w:p>
        </w:tc>
        <w:tc>
          <w:tcPr>
            <w:tcW w:type="dxa" w:w="1872"/>
          </w:tcPr>
          <w:p>
            <w:pPr>
              <w:keepNext/>
              <w:spacing w:after="0" w:line="240" w:lineRule="auto"/>
              <w:jc w:val="center"/>
            </w:pPr>
            <w:r/>
            <w:r>
              <w:rPr>
                <w:color w:val="0000FF"/>
                <w:sz w:val="18"/>
              </w:rPr>
              <w:t>28</w:t>
            </w:r>
          </w:p>
        </w:tc>
        <w:tc>
          <w:tcPr>
            <w:tcW w:type="dxa" w:w="2304"/>
          </w:tcPr>
          <w:p>
            <w:pPr>
              <w:keepNext/>
              <w:spacing w:after="0" w:line="240" w:lineRule="auto"/>
              <w:jc w:val="center"/>
            </w:pPr>
            <w:r/>
            <w:r>
              <w:rPr>
                <w:color w:val="0000FF"/>
                <w:sz w:val="18"/>
              </w:rPr>
              <w:t>0.014</w:t>
            </w:r>
          </w:p>
        </w:tc>
      </w:tr>
      <w:tr>
        <w:trPr>
          <w:cantSplit/>
        </w:trPr>
        <w:tc>
          <w:tcPr>
            <w:tcW w:type="dxa" w:w="4752"/>
          </w:tcPr>
          <w:p>
            <w:pPr>
              <w:keepNext/>
              <w:spacing w:after="0" w:line="240" w:lineRule="auto"/>
            </w:pPr>
            <w:r/>
            <w:r>
              <w:rPr>
                <w:b/>
                <w:color w:val="0000FF"/>
                <w:sz w:val="18"/>
              </w:rPr>
              <w:t>Calendar year 2019</w:t>
            </w:r>
          </w:p>
        </w:tc>
        <w:tc>
          <w:tcPr>
            <w:tcW w:type="dxa" w:w="1872"/>
          </w:tcPr>
          <w:p>
            <w:pPr>
              <w:keepNext/>
              <w:spacing w:after="0" w:line="240" w:lineRule="auto"/>
              <w:jc w:val="center"/>
            </w:pPr>
            <w:r/>
            <w:r>
              <w:rPr>
                <w:color w:val="0000FF"/>
                <w:sz w:val="18"/>
              </w:rPr>
              <w:t>49</w:t>
            </w:r>
          </w:p>
        </w:tc>
        <w:tc>
          <w:tcPr>
            <w:tcW w:type="dxa" w:w="2304"/>
          </w:tcPr>
          <w:p>
            <w:pPr>
              <w:keepNext/>
              <w:spacing w:after="0" w:line="240" w:lineRule="auto"/>
              <w:jc w:val="center"/>
            </w:pPr>
            <w:r/>
            <w:r>
              <w:rPr>
                <w:color w:val="0000FF"/>
                <w:sz w:val="18"/>
              </w:rPr>
              <w:t>0.025</w:t>
            </w:r>
          </w:p>
        </w:tc>
      </w:tr>
      <w:tr>
        <w:trPr>
          <w:cantSplit/>
        </w:trPr>
        <w:tc>
          <w:tcPr>
            <w:tcW w:type="dxa" w:w="4752"/>
          </w:tcPr>
          <w:p>
            <w:pPr>
              <w:keepNext/>
              <w:spacing w:after="0" w:line="240" w:lineRule="auto"/>
            </w:pPr>
            <w:r/>
            <w:r>
              <w:rPr>
                <w:b/>
                <w:color w:val="0000FF"/>
                <w:sz w:val="18"/>
              </w:rPr>
              <w:t>Calendar year 2020</w:t>
            </w:r>
          </w:p>
        </w:tc>
        <w:tc>
          <w:tcPr>
            <w:tcW w:type="dxa" w:w="1872"/>
          </w:tcPr>
          <w:p>
            <w:pPr>
              <w:keepNext/>
              <w:spacing w:after="0" w:line="240" w:lineRule="auto"/>
              <w:jc w:val="center"/>
            </w:pPr>
            <w:r/>
            <w:r>
              <w:rPr>
                <w:color w:val="0000FF"/>
                <w:sz w:val="18"/>
              </w:rPr>
              <w:t>126</w:t>
            </w:r>
          </w:p>
        </w:tc>
        <w:tc>
          <w:tcPr>
            <w:tcW w:type="dxa" w:w="2304"/>
          </w:tcPr>
          <w:p>
            <w:pPr>
              <w:keepNext/>
              <w:spacing w:after="0" w:line="240" w:lineRule="auto"/>
              <w:jc w:val="center"/>
            </w:pPr>
            <w:r/>
            <w:r>
              <w:rPr>
                <w:color w:val="0000FF"/>
                <w:sz w:val="18"/>
              </w:rPr>
              <w:t>0.065</w:t>
            </w:r>
          </w:p>
        </w:tc>
      </w:tr>
      <w:tr>
        <w:trPr>
          <w:cantSplit/>
        </w:trPr>
        <w:tc>
          <w:tcPr>
            <w:tcW w:type="dxa" w:w="4752"/>
          </w:tcPr>
          <w:p>
            <w:pPr>
              <w:keepNext/>
              <w:spacing w:after="0" w:line="240" w:lineRule="auto"/>
            </w:pPr>
            <w:r/>
            <w:r>
              <w:rPr>
                <w:b/>
                <w:color w:val="0000FF"/>
                <w:sz w:val="18"/>
              </w:rPr>
              <w:t>Calendar year 2021</w:t>
            </w:r>
          </w:p>
        </w:tc>
        <w:tc>
          <w:tcPr>
            <w:tcW w:type="dxa" w:w="1872"/>
          </w:tcPr>
          <w:p>
            <w:pPr>
              <w:keepNext/>
              <w:spacing w:after="0" w:line="240" w:lineRule="auto"/>
              <w:jc w:val="center"/>
            </w:pPr>
            <w:r/>
            <w:r>
              <w:rPr>
                <w:color w:val="0000FF"/>
                <w:sz w:val="18"/>
              </w:rPr>
              <w:t>243</w:t>
            </w:r>
          </w:p>
        </w:tc>
        <w:tc>
          <w:tcPr>
            <w:tcW w:type="dxa" w:w="2304"/>
          </w:tcPr>
          <w:p>
            <w:pPr>
              <w:keepNext/>
              <w:spacing w:after="0" w:line="240" w:lineRule="auto"/>
              <w:jc w:val="center"/>
            </w:pPr>
            <w:r/>
            <w:r>
              <w:rPr>
                <w:color w:val="0000FF"/>
                <w:sz w:val="18"/>
              </w:rPr>
              <w:t>0.125</w:t>
            </w:r>
          </w:p>
        </w:tc>
      </w:tr>
      <w:tr>
        <w:trPr>
          <w:cantSplit/>
        </w:trPr>
        <w:tc>
          <w:tcPr>
            <w:tcW w:type="dxa" w:w="4752"/>
          </w:tcPr>
          <w:p>
            <w:pPr>
              <w:keepNext/>
              <w:spacing w:after="0" w:line="240" w:lineRule="auto"/>
            </w:pPr>
            <w:r/>
            <w:r>
              <w:rPr>
                <w:b/>
                <w:color w:val="0000FF"/>
                <w:sz w:val="18"/>
              </w:rPr>
              <w:t>Calendar year 2022</w:t>
            </w:r>
          </w:p>
        </w:tc>
        <w:tc>
          <w:tcPr>
            <w:tcW w:type="dxa" w:w="1872"/>
          </w:tcPr>
          <w:p>
            <w:pPr>
              <w:keepNext/>
              <w:spacing w:after="0" w:line="240" w:lineRule="auto"/>
              <w:jc w:val="center"/>
            </w:pPr>
            <w:r/>
            <w:r>
              <w:rPr>
                <w:color w:val="0000FF"/>
                <w:sz w:val="18"/>
              </w:rPr>
              <w:t>454</w:t>
            </w:r>
          </w:p>
        </w:tc>
        <w:tc>
          <w:tcPr>
            <w:tcW w:type="dxa" w:w="2304"/>
          </w:tcPr>
          <w:p>
            <w:pPr>
              <w:keepNext/>
              <w:spacing w:after="0" w:line="240" w:lineRule="auto"/>
              <w:jc w:val="center"/>
            </w:pPr>
            <w:r/>
            <w:r>
              <w:rPr>
                <w:color w:val="0000FF"/>
                <w:sz w:val="18"/>
              </w:rPr>
              <w:t>0.233</w:t>
            </w:r>
          </w:p>
        </w:tc>
      </w:tr>
      <w:tr>
        <w:trPr>
          <w:cantSplit/>
        </w:trPr>
        <w:tc>
          <w:tcPr>
            <w:tcW w:type="dxa" w:w="4752"/>
          </w:tcPr>
          <w:p>
            <w:pPr>
              <w:keepNext/>
              <w:spacing w:after="0" w:line="240" w:lineRule="auto"/>
            </w:pPr>
            <w:r/>
            <w:r>
              <w:rPr>
                <w:b/>
                <w:color w:val="0000FF"/>
                <w:sz w:val="18"/>
              </w:rPr>
              <w:t>Calendar year 2023</w:t>
            </w:r>
          </w:p>
        </w:tc>
        <w:tc>
          <w:tcPr>
            <w:tcW w:type="dxa" w:w="1872"/>
          </w:tcPr>
          <w:p>
            <w:pPr>
              <w:keepNext/>
              <w:spacing w:after="0" w:line="240" w:lineRule="auto"/>
              <w:jc w:val="center"/>
            </w:pPr>
            <w:r/>
            <w:r>
              <w:rPr>
                <w:color w:val="0000FF"/>
                <w:sz w:val="18"/>
              </w:rPr>
              <w:t>523</w:t>
            </w:r>
          </w:p>
        </w:tc>
        <w:tc>
          <w:tcPr>
            <w:tcW w:type="dxa" w:w="2304"/>
          </w:tcPr>
          <w:p>
            <w:pPr>
              <w:keepNext/>
              <w:spacing w:after="0" w:line="240" w:lineRule="auto"/>
              <w:jc w:val="center"/>
            </w:pPr>
            <w:r/>
            <w:r>
              <w:rPr>
                <w:color w:val="0000FF"/>
                <w:sz w:val="18"/>
              </w:rPr>
              <w:t>0.269</w:t>
            </w:r>
          </w:p>
        </w:tc>
      </w:tr>
      <w:tr>
        <w:trPr>
          <w:cantSplit/>
        </w:trPr>
        <w:tc>
          <w:tcPr>
            <w:tcW w:type="dxa" w:w="4752"/>
            <w:tcBorders>
              <w:bottom w:val="single" w:sz="6" w:color="000000"/>
            </w:tcBorders>
          </w:tcPr>
          <w:p>
            <w:pPr>
              <w:spacing w:after="0" w:line="240" w:lineRule="auto"/>
            </w:pPr>
            <w:r/>
            <w:r>
              <w:rPr>
                <w:b/>
                <w:color w:val="0000FF"/>
                <w:sz w:val="18"/>
              </w:rPr>
              <w:t>Calendar year 2024</w:t>
            </w:r>
          </w:p>
        </w:tc>
        <w:tc>
          <w:tcPr>
            <w:tcW w:type="dxa" w:w="1872"/>
            <w:tcBorders>
              <w:bottom w:val="single" w:sz="6" w:color="000000"/>
            </w:tcBorders>
          </w:tcPr>
          <w:p>
            <w:pPr>
              <w:spacing w:after="0" w:line="240" w:lineRule="auto"/>
              <w:jc w:val="center"/>
            </w:pPr>
            <w:r/>
            <w:r>
              <w:rPr>
                <w:color w:val="0000FF"/>
                <w:sz w:val="18"/>
              </w:rPr>
              <w:t>477</w:t>
            </w:r>
          </w:p>
        </w:tc>
        <w:tc>
          <w:tcPr>
            <w:tcW w:type="dxa" w:w="2304"/>
            <w:tcBorders>
              <w:bottom w:val="single" w:sz="6" w:color="000000"/>
            </w:tcBorders>
          </w:tcPr>
          <w:p>
            <w:pPr>
              <w:spacing w:after="0" w:line="240" w:lineRule="auto"/>
              <w:jc w:val="center"/>
            </w:pPr>
            <w:r/>
            <w:r>
              <w:rPr>
                <w:color w:val="0000FF"/>
                <w:sz w:val="18"/>
              </w:rPr>
              <w:t>0.245</w:t>
            </w:r>
          </w:p>
        </w:tc>
      </w:tr>
    </w:tbl>
    <w:p>
      <w:pPr>
        <w:spacing w:line="240" w:lineRule="auto" w:after="40" w:before="280"/>
        <w:jc w:val="both"/>
      </w:pPr>
      <w:r>
        <w:rPr>
          <w:color w:val="0000FF"/>
          <w:sz w:val="18"/>
        </w:rPr>
        <w:t>Note: Each scored firm counts once in every post-coverage cell of the baseline ln(MTB) estimate; weights are cell shares.</w:t>
      </w:r>
    </w:p>
    <w:p>
      <w:pPr>
        <w:keepNext/>
        <w:spacing w:line="240" w:lineRule="auto" w:after="120" w:before="240"/>
        <w:jc w:val="center"/>
      </w:pPr>
      <w:r>
        <w:rPr>
          <w:color w:val="0000FF"/>
          <w:sz w:val="22"/>
        </w:rPr>
        <w:t>Table S11.</w:t>
      </w:r>
      <w:r>
        <w:rPr>
          <w:sz w:val="22"/>
        </w:rPr>
        <w:t xml:space="preserve"> </w:t>
      </w:r>
      <w:r>
        <w:rPr>
          <w:color w:val="0000FF"/>
          <w:sz w:val="22"/>
        </w:rPr>
        <w:t>Average change after the first recorded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color w:val="0000FF"/>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color w:val="0000FF"/>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color w:val="0000FF"/>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color w:val="0000FF"/>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color w:val="0000FF"/>
                <w:sz w:val="18"/>
              </w:rPr>
              <w:t>157 / 599</w:t>
            </w:r>
          </w:p>
        </w:tc>
      </w:tr>
    </w:tbl>
    <w:p>
      <w:pPr>
        <w:spacing w:line="240" w:lineRule="auto" w:after="40" w:before="280"/>
        <w:jc w:val="both"/>
      </w:pPr>
      <w:r>
        <w:rPr>
          <w:color w:val="0000FF"/>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FF"/>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FF"/>
          <w:sz w:val="24"/>
        </w:rPr>
        <w:t>A.1.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Event year 4 (Section 5.2)</w:t>
      </w:r>
    </w:p>
    <w:p>
      <w:pPr>
        <w:spacing w:line="360" w:lineRule="auto" w:after="120" w:before="0"/>
        <w:ind w:firstLine="720"/>
        <w:jc w:val="both"/>
      </w:pPr>
      <w:r>
        <w:rPr>
          <w:color w:val="0000FF"/>
        </w:rPr>
        <w:t>Only 141 scored firms from 6 cohorts reach event year 4; therefore, we plot that year in Figure 1 but exclude it from the headline estimate.</w:t>
      </w:r>
      <w:r>
        <w:rPr/>
        <w:t xml:space="preserv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FF"/>
          <w:sz w:val="24"/>
        </w:rPr>
        <w:t>A.2.</w:t>
      </w:r>
      <w:r>
        <w:rPr>
          <w:rFonts w:ascii="Times New Roman" w:hAnsi="Times New Roman" w:eastAsia="Times New Roman"/>
          <w:b/>
          <w:i w:val="0"/>
          <w:color w:val="000000"/>
          <w:sz w:val="24"/>
        </w:rPr>
        <w:t xml:space="preserve"> Further timing variants of R10 (Section 5.4)</w:t>
      </w:r>
    </w:p>
    <w:p>
      <w:pPr>
        <w:spacing w:line="360" w:lineRule="auto" w:after="120" w:before="0"/>
        <w:ind w:firstLine="720"/>
        <w:jc w:val="both"/>
      </w:pPr>
      <w:r>
        <w:rPr>
          <w:color w:val="0000FF"/>
        </w:rPr>
        <w:t>Under R10, the decline in log MTB loses significance once M̄ in the relative-magnitude bound reaches 0.23.</w:t>
      </w:r>
      <w:r>
        <w:rPr/>
        <w:t xml:space="preserve">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FF"/>
          <w:sz w:val="24"/>
        </w:rPr>
        <w:t>A.3.</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Reconciling the R10 and baseline event-time paths (Section 5.4,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w:t>
      </w:r>
      <w:r>
        <w:rPr>
          <w:color w:val="0000FF"/>
        </w:rPr>
        <w:t>Re-based within each cohort to the first recorded year, the baseline point estimates for event years 3 and 4 are −0.083 and −0.167, respectively.</w:t>
      </w:r>
      <w:r>
        <w:rPr/>
        <w:t xml:space="preserve"> These lie closer to the corresponding R10 estimates of −0.138 and −0.200 than the pooled baseline path suggests.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FF"/>
          <w:sz w:val="24"/>
        </w:rPr>
        <w:t>A.4.</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Size covariate and support (Section 5.6, Table S4, Figure S2)</w:t>
      </w:r>
    </w:p>
    <w:p>
      <w:pPr>
        <w:spacing w:line="360" w:lineRule="auto" w:after="120" w:before="0"/>
        <w:ind w:firstLine="720"/>
        <w:jc w:val="both"/>
      </w:pPr>
      <w:r>
        <w:rPr>
          <w:color w:val="0000FF"/>
        </w:rPr>
        <w:t>Table S4 and Figure S2 vary the size covariate and support; Table 5 of the paper reports the full set of variants.</w:t>
      </w:r>
      <w:r>
        <w:rPr/>
        <w:t xml:space="preserve"> </w:t>
      </w:r>
      <w:r>
        <w:rPr>
          <w:color w:val="0000FF"/>
        </w:rPr>
        <w:t>Scored-firm counts differ slightly across tables for the same estimate: 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FF"/>
          <w:sz w:val="24"/>
        </w:rPr>
        <w:t>A.5.</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Decomposition of the TWFE gap (Section 5.8, Table S5)</w:t>
      </w:r>
    </w:p>
    <w:p>
      <w:pPr>
        <w:spacing w:line="360" w:lineRule="auto" w:after="120" w:before="0"/>
        <w:ind w:firstLine="720"/>
        <w:jc w:val="both"/>
      </w:pPr>
      <w:r>
        <w:rPr>
          <w:color w:val="0000FF"/>
        </w:rPr>
        <w:t>Table S5 shows the decomposition of the gap between the static TWFE estimate in row R6 and the headline MTB estimate.</w:t>
      </w:r>
      <w:r>
        <w:rPr/>
        <w:t xml:space="preserv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FF"/>
          <w:sz w:val="24"/>
        </w:rPr>
        <w:t>A.6.</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Market-by-market and early versus late cohorts (Section 5.8, Table S11)</w:t>
      </w:r>
    </w:p>
    <w:p>
      <w:pPr>
        <w:spacing w:line="360" w:lineRule="auto" w:after="120" w:before="0"/>
        <w:ind w:firstLine="720"/>
        <w:jc w:val="both"/>
      </w:pPr>
      <w:r>
        <w:rPr>
          <w:color w:val="0000FF"/>
        </w:rPr>
        <w:t>Estimated market by market in Table S11, the MTB effect is 0.009 in Malaysia, with 372 scored firms, and 0.027 in Thailand, with 157.</w:t>
      </w:r>
      <w:r>
        <w:rPr/>
        <w:t xml:space="preserve"> Indonesia, the Philippines, and Singapore have few scored firms and imprecise estimates. </w:t>
      </w:r>
      <w:r>
        <w:rPr>
          <w:color w:val="0000FF"/>
        </w:rPr>
        <w:t>The 58 firms first scored by 2019 that enter the MTB estimate show a positive post-coverage MTB estimate of 0.094 (p = 0.047; 95% interval 0.002 to 0.185), and the larger group first scored from 2020 shows −0.010 (p = 0.687).</w:t>
      </w:r>
      <w:r>
        <w:rPr/>
        <w:t xml:space="preserve">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FF"/>
          <w:sz w:val="24"/>
        </w:rPr>
        <w:t>A.7.</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Breadth of the Malaysian wave (Section 5.2,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A.8.</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Composition of the pooled estimate (Section 5.10, Table S10)</w:t>
      </w:r>
    </w:p>
    <w:p>
      <w:pPr>
        <w:spacing w:line="360" w:lineRule="auto" w:after="120" w:before="0"/>
        <w:ind w:firstLine="720"/>
        <w:jc w:val="both"/>
      </w:pPr>
      <w:r>
        <w:rPr>
          <w:color w:val="0000FF"/>
        </w:rPr>
        <w:t>Table S10 counts scored firm-cells, one for each scored firm in each post-coverage cell of the ln(MTB) estimate, by market and by coverage wave.</w:t>
      </w:r>
      <w:r>
        <w:rPr/>
        <w:t xml:space="preserve"> </w:t>
      </w:r>
      <w:r>
        <w:rPr>
          <w:color w:val="0000FF"/>
        </w:rPr>
        <w:t>These counts are the weights of the headline estimate.</w:t>
      </w:r>
    </w:p>
    <w:p>
      <w:pPr>
        <w:pStyle w:val="Heading2"/>
        <w:keepNext/>
        <w:spacing w:line="360" w:lineRule="auto" w:after="120" w:before="160"/>
      </w:pPr>
      <w:r>
        <w:rPr>
          <w:rFonts w:ascii="Times New Roman" w:hAnsi="Times New Roman" w:eastAsia="Times New Roman"/>
          <w:b/>
          <w:i w:val="0"/>
          <w:color w:val="0000FF"/>
          <w:sz w:val="24"/>
        </w:rPr>
        <w:t>A.9.</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Dating by wave (Section 5.4, Table S6)</w:t>
      </w:r>
    </w:p>
    <w:p>
      <w:pPr>
        <w:spacing w:line="360" w:lineRule="auto" w:after="120" w:before="0"/>
        <w:ind w:firstLine="720"/>
        <w:jc w:val="both"/>
      </w:pPr>
      <w:r>
        <w:rPr>
          <w:color w:val="0000FF"/>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A.10.</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Firm-years with and without an MTB ratio (Section 5.7, Table S8)</w:t>
      </w:r>
    </w:p>
    <w:p>
      <w:pPr>
        <w:spacing w:line="360" w:lineRule="auto" w:after="120" w:before="0"/>
        <w:ind w:firstLine="720"/>
        <w:jc w:val="both"/>
      </w:pPr>
      <w:r>
        <w:rPr>
          <w:color w:val="0000FF"/>
        </w:rPr>
        <w:t>Table S8 compares scored and never-scored firm-years with and without an MTB ratio in the estimation sample.</w:t>
      </w:r>
      <w:r>
        <w:rPr/>
        <w:t xml:space="preserve"> </w:t>
      </w:r>
      <w:r>
        <w:rPr>
          <w:color w:val="0000FF"/>
        </w:rPr>
        <w:t>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A.11.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Other robustness checks (Sections 5.5 and 5.8)</w:t>
      </w:r>
    </w:p>
    <w:p>
      <w:pPr>
        <w:spacing w:line="360" w:lineRule="auto" w:after="120" w:before="0"/>
        <w:ind w:firstLine="720"/>
        <w:jc w:val="both"/>
      </w:pPr>
      <w:r>
        <w:rPr>
          <w:color w:val="0000FF"/>
        </w:rPr>
        <w:t>Rows R1 to R4 of Table 3 give MTB effects of −0.001 with not-yet-scored firms among the controls, 0.025 without covariates, 0.031 without the 2020 and 2021 cohorts, and 0.016 when control firms below the size range of scored firms are dropped.</w:t>
      </w:r>
      <w:r>
        <w:rPr/>
        <w:t xml:space="preserve"> </w:t>
      </w:r>
      <w:r>
        <w:rPr>
          <w:color w:val="0000FF"/>
        </w:rPr>
        <w:t>Under the last restriction the market capitalization effect shrinks to −0.007 and the total assets effect is 0.101, against 0.011 without covariates.</w:t>
      </w:r>
      <w:r>
        <w:rPr/>
        <w:t xml:space="preserve"> </w:t>
      </w:r>
      <w:r>
        <w:rPr>
          <w:color w:val="0000FF"/>
        </w:rPr>
        <w:t>Row R7 removes a linear pre-trend that passes through zero in the base year; its MTB effect is negative because a continued run-up would have raised valuations further.</w:t>
      </w:r>
      <w:r>
        <w:rPr/>
        <w:t xml:space="preserve"> </w:t>
      </w:r>
      <w:r>
        <w:rPr>
          <w:color w:val="0000FF"/>
        </w:rPr>
        <w:t>Row R8 adds market capitalization growth from g − 3 to the base year to the covariates; because control firms matched on past growth can themselves revert, it does not settle the reversal question.</w:t>
      </w:r>
      <w:r>
        <w:rPr/>
        <w:t xml:space="preserve"> </w:t>
      </w:r>
      <w:r>
        <w:rPr>
          <w:color w:val="0000FF"/>
        </w:rPr>
        <w:t>The placebo in row R5 gives 0.134 for log market capitalization (p &lt; 0.001), and the static TWFE regression gives 0.185.</w:t>
      </w:r>
      <w:r>
        <w:rPr/>
        <w:t xml:space="preserve"> </w:t>
      </w:r>
      <w:r>
        <w:rPr>
          <w:color w:val="0000FF"/>
        </w:rPr>
        <w:t>Without Malaysia (row R9), the MTB effect is −0.003 (p = 0.940) and the market capitalization effect 0.037.</w:t>
      </w:r>
    </w:p>
    <w:p>
      <w:pPr>
        <w:spacing w:line="360" w:lineRule="auto" w:after="120" w:before="0"/>
        <w:ind w:firstLine="720"/>
        <w:jc w:val="both"/>
      </w:pPr>
      <w:r>
        <w:rPr>
          <w:color w:val="0000FF"/>
        </w:rPr>
        <w:t>In the outcome regression, a country or industry indicator would be unidentified in a cell with no control firm in that country or industry, and its coefficient would be set to zero.</w:t>
      </w:r>
      <w:r>
        <w:rPr/>
        <w:t xml:space="preserve"> </w:t>
      </w:r>
      <w:r>
        <w:rPr>
          <w:color w:val="0000FF"/>
        </w:rPr>
        <w:t>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