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selection, Southeast Asia,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In five Southeast Asian equity markets, most listed firms had no score from the London Stock Exchange Group (LSEG) at any point between 2014 and 2024, and much of the academic evidence on ESG ratings uses LSEG data (Berg, Kölbel, et al., 2022; Dobrick et al., 2023). This paper asks which firms enter the scored universe and what happens to their market valuation around entry.</w:t>
      </w:r>
    </w:p>
    <w:p>
      <w:pPr>
        <w:spacing w:line="360" w:lineRule="auto" w:after="120" w:before="0"/>
        <w:ind w:firstLine="720"/>
        <w:jc w:val="both"/>
      </w:pPr>
      <w:r>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Studies, mostly of U.S. firms,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We study Indonesia, Malaysia, the Philippines, Singapore, and Thailand. Of the 675 non-financial firms whose first recorded LSEG score falls between 2015 and 2024, 577 had it in 2020 to 2023, and 289 were Malaysian firms first scored in 2021 or 2022. 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 The first recorded score is not necessarily the date on which investors could first see the score. A pre-analysis plan, committed before the estimation code, records the hypotheses, sample, estimator, and robustness checks; every later analysis is labeled exploratory.</w:t>
      </w:r>
    </w:p>
    <w:p>
      <w:pPr>
        <w:spacing w:line="360" w:lineRule="auto" w:after="120" w:before="0"/>
        <w:ind w:firstLine="720"/>
        <w:jc w:val="both"/>
      </w:pPr>
      <w:r>
        <w:rPr/>
        <w:t>The evidence has three parts. First, entry is selective. 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 The run-up is large in the 108 Thai and Singaporean firms first scored in 2019 and 2020 and not detected in the 289 Malaysian firms first scored in 2021 and 2022, the largest wave in the data (95% interval −7.4% to 15.2%). 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Most of this difference arises because the later dating measures valuations from the first recorded year, after the cohorts' own rise in that year, and the decline appears only in the waves that had a run-up. Third, a static two-way fixed effects regression on the same data attributes a 6.6% MTB increase to coverage, which disappears once each cohort is compared with its own base year and base-year size is held fixed.</w:t>
      </w:r>
    </w:p>
    <w:p>
      <w:pPr>
        <w:spacing w:line="360" w:lineRule="auto" w:after="120" w:before="0"/>
        <w:ind w:firstLine="720"/>
        <w:jc w:val="both"/>
      </w:pPr>
      <w:r>
        <w:rPr/>
        <w:t>The paper makes three contributions. It documents selection into ESG rating coverage in Southeast Asian markets and adds valuation to the rating-coverage literature (Bikmetova &amp; Pirinsky, 2026; Tsang et al., 2024, 2025). It shows why the valuation effect of coverage is hard to identify: entry follows growth and the recorded first score may precede publication. 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Publishing Morningstar sustainability ratings for mutual funds redirected fund flows (Hartzmark &amp; Sussman, 2019).</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and a replication finds no price effect but more analyst following after addition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Two channels predict a valuation response to a first score. 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 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Demand shocks also shape realized prices before any rating event. The high realized returns of green assets reflect unexpected increases in ESG concerns rather than high expected returns (Pástor et al., 2022),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We expect providers to cover firms in the indices their clients track and firms that disclose enough to be scored, although our data omit the provider's coverage rules. 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 The provider we study gives higher scores to larger firms (Dobrick et al., 2023; Drempetic et al., 2020) and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a difference would point toward it; the absence of a difference cannot rule it out.</w:t>
      </w:r>
    </w:p>
    <w:p>
      <w:pPr>
        <w:spacing w:line="360" w:lineRule="auto" w:after="120" w:before="0"/>
        <w:ind w:firstLine="720"/>
        <w:jc w:val="both"/>
      </w:pPr>
      <w:r>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3. Data and Methods</w:t>
      </w:r>
    </w:p>
    <w:p>
      <w:pPr>
        <w:pStyle w:val="Heading2"/>
        <w:keepNext/>
        <w:spacing w:line="360" w:lineRule="auto" w:after="120" w:before="160"/>
      </w:pPr>
      <w:r>
        <w:rPr>
          <w:rFonts w:ascii="Times New Roman" w:hAnsi="Times New Roman" w:eastAsia="Times New Roman"/>
          <w:b/>
          <w:i w:val="0"/>
          <w:color w:val="000000"/>
          <w:sz w:val="24"/>
        </w:rPr>
        <w:t>3.1 Institutional Setting and Sample</w:t>
      </w:r>
    </w:p>
    <w:p>
      <w:pPr>
        <w:spacing w:line="360" w:lineRule="auto" w:after="120" w:before="0"/>
        <w:ind w:firstLine="720"/>
        <w:jc w:val="both"/>
      </w:pPr>
      <w:r>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is a separate product, so our event is the initiation of LSEG ESG coverage, not a firm's first ESG rating of any kind. Coverage arrived in waves that follow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t>The data combine the annual LSEG ESG score (LSEG, 2025), not the controversy-adjusted combined score, with accounting and market data from Compustat Global (S&amp;P Global Market Intelligence, 2025) for 3,709 listed firms, each with a row for every year from 2014 to 2024; rows before a firm lists carry no data. Every firm in the extract has data in 2024, so the sample conditions on survival to 2024, and without delisting data we cannot sign the resulting bias. Dropping financial firms leaves 3,423 firms. A firm's first recorded score year, g, is its first fiscal year with an LSEG ESG score, and its base year is g − 1. Only 17 of the 675 scored firms have a later year without a score, so we treat coverage as permanent. Excluding the 135 firms scored in 2014, which have no pre-coverage year, leaves 3,288 firms with 32,521 listed firm-years (3,647 rows carry no data, almost all before listing): 675 firms first scored between 2015 and 2024 (59.9% of them Malaysian) and 2,613 never-scored firms, which form the comparison group; Tables S2 and S3 of the supplementary material give the firm-years and firms behind each estimate. The source data contain no MTB ratio at or below zero, so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00"/>
          <w:sz w:val="24"/>
        </w:rPr>
        <w:t>3.2 Event Dating, Outcomes, and Recording Errors</w:t>
      </w:r>
    </w:p>
    <w:p>
      <w:pPr>
        <w:spacing w:line="360" w:lineRule="auto" w:after="120" w:before="0"/>
        <w:ind w:firstLine="720"/>
        <w:jc w:val="both"/>
      </w:pPr>
      <w:r>
        <w:rPr/>
        <w:t>The first recorded score may precede the year in which investors first see a score. 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 The first recorded score can therefore date entry too early but, unless the provider deleted an earlier score, not too late. Our extract holds each score by fiscal year, with no publication or update date, as it stood at download; that every scored firm still has a score in 2024 fits a download of the provider's current universe. LSEG distributes a point-in-time version of its ESG data that keeps values as they were published (LSEG, 2023), but our extract does not contain it. 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p>
    <w:p>
      <w:pPr>
        <w:spacing w:line="360" w:lineRule="auto" w:after="120" w:before="0"/>
        <w:ind w:firstLine="720"/>
        <w:jc w:val="both"/>
      </w:pPr>
      <w:r>
        <w:rPr/>
        <w:t>The primary outcome is the natural logarithm of the MTB ratio. The secondary outcomes are log market capitalization, log total assets, and book leverage, total debt divided by total assets; without stock returns or shares outstanding, we treat market capitalization and total assets as measures of scale. Amounts are in U.S. dollars, winsorized at the 1st and 99th percentiles of the pooled sample. A few market capitalization records are implausibly large; one Indonesian firm is recorded at 1,138.8 billion U.S. dollars. Because market capitalization divided by the MTB ratio gives the implied book equity, which cannot exceed total assets, we flag firm-years in which the implied book equity exceeds ten times total assets: 209 of 27,127 firm-years, 73 of them for scored firms. A lower threshold, a ratio above two, flags 749 firm-years.</w:t>
      </w:r>
    </w:p>
    <w:p>
      <w:pPr>
        <w:pStyle w:val="Heading2"/>
        <w:keepNext/>
        <w:spacing w:line="360" w:lineRule="auto" w:after="120" w:before="160"/>
      </w:pPr>
      <w:r>
        <w:rPr>
          <w:rFonts w:ascii="Times New Roman" w:hAnsi="Times New Roman" w:eastAsia="Times New Roman"/>
          <w:b/>
          <w:i w:val="0"/>
          <w:color w:val="000000"/>
          <w:sz w:val="24"/>
        </w:rPr>
        <w:t>3.3 Identification and Estimation</w:t>
      </w:r>
    </w:p>
    <w:p>
      <w:pPr>
        <w:spacing w:line="360" w:lineRule="auto" w:after="120" w:before="0"/>
        <w:ind w:firstLine="720"/>
        <w:jc w:val="both"/>
      </w:pPr>
      <w:r>
        <w:rPr/>
        <w:t>In the notation of Callaway and Sant'Anna (2021), let G</w:t>
      </w:r>
      <w:r>
        <w:rPr>
          <w:vertAlign w:val="subscript"/>
        </w:rPr>
        <w:t>i</w:t>
      </w:r>
      <w:r>
        <w:rPr/>
        <w:t xml:space="preserve"> be the first recorded score year of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Level differences between scored and never-scored firms do not violate this assumption, but a different growth path before coverage would. In the large Malaysian wave the pre-coverage estimates show no detectable run-up, so for these firms the assumption does not require a trend to stop; the run-up interval is wide, however (−7.4% to 15.2%), and the wave split is exploratory. If the provider adds firms once they cross a size or visibility threshold, conditioning on base-year size compares firms on the same side of it. Against this, if part of a run-up was transitory, scored firms would have fallen back even without a score, and the estimates would understate any effect of coverage. We therefore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Because 24.6% of scored firms have larger base-year total assets than the 95th percentile of never-scored firms, we use outcome regression rather than the doubly robust estimator and also restrict scored firms to the size range of the controls, in the spirit of Crump et al. (2009).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t>where N</w:t>
      </w:r>
      <w:r>
        <w:rPr>
          <w:vertAlign w:val="subscript"/>
        </w:rPr>
        <w:t>g,t</w:t>
      </w:r>
      <w:r>
        <w:rPr/>
        <w:t xml:space="preserve"> is the number of firms first scored in year g with data in years g − 1 and t and base-year total assets.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where h indexes the cohort. 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00"/>
          <w:sz w:val="24"/>
        </w:rPr>
        <w:t>3.4 Inference, Sensitivity, and Robustness Checks</w:t>
      </w:r>
    </w:p>
    <w:p>
      <w:pPr>
        <w:spacing w:line="360" w:lineRule="auto" w:after="120" w:before="0"/>
        <w:ind w:firstLine="720"/>
        <w:jc w:val="both"/>
      </w:pPr>
      <w:r>
        <w:rPr/>
        <w:t>We bootstrap by resampling firms with their full time series; all specifications share the same 999 draws and seed, so differences between specifications have a valid joint distribution. We report the bootstrap standard error (SE), the percentile 95% confidence interval, a normal-approximation p-value, and the minimum detectable effect at 80% power, MDE ≈ 2.8 × SE. Secondary outcomes carry Holm-adjusted p-values. 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t>Three exploratory checks address departures from parallel trends: removing a linear pre-coverage trend through zero in the base year, adding pre-coverage growth of log market capitalization to X</w:t>
      </w:r>
      <w:r>
        <w:rPr>
          <w:vertAlign w:val="subscript"/>
        </w:rPr>
        <w:t>i</w:t>
      </w:r>
      <w:r>
        <w:rPr/>
        <w:t>, and bounding the bias in the spirit of Rambachan and Roth (2023). 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where s indexes the pre-coverage event years. The bias for event year e is then at most M̄Δ(e + 1), and we widen the headline interval by its weighted average; with M̄ = 0.25, the gap may drift each year by a quarter of the largest yearly change before coverage. 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recorded score onward, and standard errors are clustered by firm; β averages over any run-up and uses already scored firms as controls. 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 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00"/>
          <w:sz w:val="24"/>
        </w:rPr>
        <w:t>4.1 Who Gets Scored and the Valuation Path Around Entry</w:t>
      </w:r>
    </w:p>
    <w:p>
      <w:pPr>
        <w:spacing w:line="360" w:lineRule="auto" w:after="120" w:before="0"/>
        <w:ind w:firstLine="720"/>
        <w:jc w:val="both"/>
      </w:pPr>
      <w:r>
        <w:rPr/>
        <w:t>Table 1 compares scored firms in the base year with never-scored firm-years. Scored firms are larger: their median market capitalization is 203.2 million U.S. dollars against 42.2 million, and their median total assets are 4.3 times as large. Their MTB ratio is also higher, while leverage differs little. Because scored firms are concentrated in the base years 2019 to 2022, these level differences mix calendar effects with selection. 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sz w:val="18"/>
        </w:rPr>
        <w:t>Note: Scored firms in base year g − 1; never-scored firms in 2014–2024. Norm. diff. is the mean difference divided by the root of the average variance.</w:t>
      </w:r>
    </w:p>
    <w:p>
      <w:pPr>
        <w:spacing w:line="360" w:lineRule="auto" w:after="120" w:before="0"/>
        <w:ind w:firstLine="720"/>
        <w:jc w:val="both"/>
      </w:pPr>
      <w:r>
        <w:rPr/>
        <w:t>Figure 1 plots the event-time estimates. Before the first recorded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pre-trend test rejects for market capitalization (p = 0.022) but not at the 5% level for MTB (p = 0.074). The MTB non-rejection is not evidence of parallel trends: the estimates for event years −5 and −4 differ from zero, and pre-trend tests have low power (Roth, 2022). After the first recorded score, the MTB estimates for event years 0 to 3 lie between −0.044 and 0.017, and none differs from zero at the 5% level; event year 4 rests on only 141 scored firms and is excluded from the headline estimate. The MTB gap thus widens before coverage and stops widening afterward. Only reading the post-coverage part as an effect of coverage depends on the parallel trends assumption.</w:t>
      </w:r>
    </w:p>
    <w:p>
      <w:pPr>
        <w:keepNext/>
        <w:spacing w:line="240" w:lineRule="auto" w:after="120" w:before="240"/>
        <w:jc w:val="center"/>
      </w:pPr>
      <w:r>
        <w:rPr>
          <w:sz w:val="22"/>
        </w:rPr>
        <w:t>Figure 1. 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sz w:val="18"/>
        </w:rPr>
        <w:t>Note: Outcome-regression estimates relative to event year −1 with firm-bootstrap 95% intervals; 141 to 615 scored firms per event year for ln(MTB).</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33.1% in MTB relative to never-scored firms (pre-trend p = 0.006). The 289 Malaysian firms first scored in 2021 and 2022 show no detectable run-up, 2.8% (95% interval −7.4% to 15.2%; pre-trend p = 0.549), although a run-up of the pooled size cannot be ruled out, and the 278 firms in the remaining cohorts fall in between. 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Figure 2. 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sz w:val="18"/>
        </w:rPr>
        <w:t>Note: Outcome-regression estimates by wave against all never-scored firms, with firm-bootstrap 95% intervals. The waves hold 289, 108, and 278 scored firms.</w:t>
      </w:r>
    </w:p>
    <w:p>
      <w:pPr>
        <w:pStyle w:val="Heading2"/>
        <w:keepNext/>
        <w:spacing w:line="360" w:lineRule="auto" w:after="120" w:before="160"/>
      </w:pPr>
      <w:r>
        <w:rPr>
          <w:rFonts w:ascii="Times New Roman" w:hAnsi="Times New Roman" w:eastAsia="Times New Roman"/>
          <w:b/>
          <w:i w:val="0"/>
          <w:color w:val="000000"/>
          <w:sz w:val="24"/>
        </w:rPr>
        <w:t>4.2 Average Change After Entry and the Two Datings</w:t>
      </w:r>
    </w:p>
    <w:p>
      <w:pPr>
        <w:spacing w:line="360" w:lineRule="auto" w:after="120" w:before="0"/>
        <w:ind w:firstLine="720"/>
        <w:jc w:val="both"/>
      </w:pPr>
      <w:r>
        <w:rPr/>
        <w:t>Table 2 reports the headline estimates under parallel trends. The change in log MTB is 0.002, with a 95% confidence interval of −0.046 to 0.048, so the data are compatible with changes in the MTB ratio from −4.5% to 4.9%; the MDE is about 7.0%. With the cluster bootstrap, which allows for market-wide shocks such as the political uncertainty that moves Thai stock prices (Prukumpai et al., 2022), the interval is −0.050 to 0.053. After Holm adjustment, no secondary outcome changes significantly at the 5% level: log market capitalization changes by −0.055 (p = 0.134), leverage by 0.8 percentage points (p = 0.134), and log total assets by 0.044 (p = 0.053). The MTB estimate shows no sign of the gain that the recognition channel predicts (Merton, 1987).</w:t>
      </w:r>
    </w:p>
    <w:p>
      <w:pPr>
        <w:keepNext/>
        <w:spacing w:line="240" w:lineRule="auto" w:after="120" w:before="240"/>
        <w:jc w:val="center"/>
      </w:pPr>
      <w:r>
        <w:rPr>
          <w:sz w:val="22"/>
        </w:rPr>
        <w:t xml:space="preserve">Table 2. Average </w:t>
      </w:r>
      <w:r>
        <w:rPr>
          <w:sz w:val="22"/>
        </w:rPr>
        <w:t>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sz w:val="18"/>
        </w:rPr>
        <w:t>Note: Outcome regression, firm-bootstrap standard errors; secondary p-values Holm-adjusted. MDE: 80%-power minimum detectable effect; pre-trend p: joint Wald test, event years −5 to −2.</w:t>
      </w:r>
    </w:p>
    <w:p>
      <w:pPr>
        <w:spacing w:line="360" w:lineRule="auto" w:after="120" w:before="0"/>
        <w:ind w:firstLine="720"/>
        <w:jc w:val="both"/>
      </w:pPr>
      <w:r>
        <w:rPr/>
        <w:t>Table 3 presents the robustness checks; the six checks listed after the baseline were pre-specified, and the rest are exploratory. Dating coverage one year after the first recorded score, the earliest year in which a score could have been public, gives an MTB change of −0.068, about −6.6% (95% interval −0.116 to −0.020; p = 0.004), with a joint pre-trend p = 0.072. 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b/>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b/>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b/>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sz w:val="18"/>
              </w:rPr>
              <w:t>3,226</w:t>
            </w:r>
            <w:r>
              <w:br/>
            </w:r>
            <w:r>
              <w:rPr>
                <w:sz w:val="18"/>
              </w:rPr>
              <w:t>(all)</w:t>
            </w:r>
          </w:p>
        </w:tc>
      </w:tr>
      <w:tr>
        <w:trPr>
          <w:cantSplit/>
        </w:trPr>
        <w:tc>
          <w:tcPr>
            <w:tcW w:type="dxa" w:w="2448"/>
          </w:tcPr>
          <w:p>
            <w:pPr>
              <w:keepNext/>
              <w:spacing w:after="0" w:line="240" w:lineRule="auto"/>
            </w:pPr>
            <w:r/>
            <w:r>
              <w:rPr>
                <w:b/>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b/>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b/>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b/>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sz w:val="18"/>
        </w:rPr>
        <w:t>Note: Outcome regression with firm-bootstrap standard errors (firm-clustered for two-way fixed effects); firm counts for ln(MTB). *, **, ***: 10%, 5%, 1% (unadjusted).</w:t>
      </w:r>
    </w:p>
    <w:p>
      <w:pPr>
        <w:spacing w:line="360" w:lineRule="auto" w:after="120" w:before="0"/>
        <w:ind w:firstLine="720"/>
        <w:jc w:val="both"/>
      </w:pPr>
      <w:r>
        <w:rPr/>
        <w:t>Table 4 moves from the first-recorded-year estimate to the one-year-later estimate one step at a time. Row 2 keeps only firms observed in both g − 1 and g, so that every later row draws on the same set of firms; this changes the MTB estimate by −0.005. Row 3 averages event years 1 to 4 instead of 0 to 3; this changes it by −0.016 (p = 0.092). Row 4 moves the reference year from g − 1 to g, which is what dating coverage one year later does to the comparison; this changes the estimate by −0.044 (p = 0.024), 62% of the total gap of −0.070. Measuring size in g (row 5) and returning to all firms (row 6) change little. The steps are sequential, so the shares depend on their order.</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sz w:val="18"/>
              </w:rPr>
              <w:t>Specification</w:t>
            </w:r>
          </w:p>
        </w:tc>
        <w:tc>
          <w:tcPr>
            <w:tcW w:type="dxa" w:w="1512"/>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960"/>
          </w:tcPr>
          <w:p>
            <w:pPr>
              <w:keepNext/>
              <w:spacing w:after="0" w:line="240" w:lineRule="auto"/>
            </w:pPr>
            <w:r/>
            <w:r>
              <w:rPr>
                <w:b/>
                <w:sz w:val="18"/>
              </w:rPr>
              <w:t>(1) First recorded year g, reference g − 1, event years 0 to 3, all firms</w:t>
            </w:r>
          </w:p>
        </w:tc>
        <w:tc>
          <w:tcPr>
            <w:tcW w:type="dxa" w:w="1512"/>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960"/>
          </w:tcPr>
          <w:p>
            <w:pPr>
              <w:keepNext/>
              <w:spacing w:after="0" w:line="240" w:lineRule="auto"/>
            </w:pPr>
            <w:r/>
            <w:r>
              <w:rPr>
                <w:b/>
                <w:sz w:val="18"/>
              </w:rPr>
              <w:t>(2) As (1), firms observed in both g − 1 and g</w:t>
            </w:r>
          </w:p>
        </w:tc>
        <w:tc>
          <w:tcPr>
            <w:tcW w:type="dxa" w:w="1512"/>
          </w:tcPr>
          <w:p>
            <w:pPr>
              <w:keepNext/>
              <w:spacing w:after="0" w:line="240" w:lineRule="auto"/>
              <w:jc w:val="center"/>
            </w:pPr>
            <w:r/>
            <w:r>
              <w:rPr>
                <w:sz w:val="18"/>
              </w:rPr>
              <w:t>−0.003</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2,405</w:t>
            </w:r>
          </w:p>
        </w:tc>
      </w:tr>
      <w:tr>
        <w:trPr>
          <w:cantSplit/>
        </w:trPr>
        <w:tc>
          <w:tcPr>
            <w:tcW w:type="dxa" w:w="3960"/>
          </w:tcPr>
          <w:p>
            <w:pPr>
              <w:keepNext/>
              <w:spacing w:after="0" w:line="240" w:lineRule="auto"/>
            </w:pPr>
            <w:r/>
            <w:r>
              <w:rPr>
                <w:b/>
                <w:sz w:val="18"/>
              </w:rPr>
              <w:t>(3) As (2), event years 1 to 4</w:t>
            </w:r>
          </w:p>
        </w:tc>
        <w:tc>
          <w:tcPr>
            <w:tcW w:type="dxa" w:w="1512"/>
          </w:tcPr>
          <w:p>
            <w:pPr>
              <w:keepNext/>
              <w:spacing w:after="0" w:line="240" w:lineRule="auto"/>
              <w:jc w:val="center"/>
            </w:pPr>
            <w:r/>
            <w:r>
              <w:rPr>
                <w:sz w:val="18"/>
              </w:rPr>
              <w:t>−0.019</w:t>
            </w:r>
            <w:r>
              <w:br/>
            </w:r>
            <w:r>
              <w:rPr>
                <w:sz w:val="18"/>
              </w:rPr>
              <w:t>(0.030)</w:t>
            </w:r>
          </w:p>
        </w:tc>
        <w:tc>
          <w:tcPr>
            <w:tcW w:type="dxa" w:w="1656"/>
          </w:tcPr>
          <w:p>
            <w:pPr>
              <w:keepNext/>
              <w:spacing w:after="0" w:line="240" w:lineRule="auto"/>
              <w:jc w:val="center"/>
            </w:pPr>
            <w:r/>
            <w:r>
              <w:rPr>
                <w:sz w:val="18"/>
              </w:rPr>
              <w:t>−0.053</w:t>
            </w:r>
            <w:r>
              <w:br/>
            </w:r>
            <w:r>
              <w:rPr>
                <w:sz w:val="18"/>
              </w:rPr>
              <w:t>(0.037)</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(4) As (3), reference year g</w:t>
            </w:r>
          </w:p>
        </w:tc>
        <w:tc>
          <w:tcPr>
            <w:tcW w:type="dxa" w:w="1512"/>
          </w:tcPr>
          <w:p>
            <w:pPr>
              <w:keepNext/>
              <w:spacing w:after="0" w:line="240" w:lineRule="auto"/>
              <w:jc w:val="center"/>
            </w:pPr>
            <w:r/>
            <w:r>
              <w:rPr>
                <w:sz w:val="18"/>
              </w:rPr>
              <w:t>−0.063***</w:t>
            </w:r>
            <w:r>
              <w:br/>
            </w:r>
            <w:r>
              <w:rPr>
                <w:sz w:val="18"/>
              </w:rPr>
              <w:t>(0.024)</w:t>
            </w:r>
          </w:p>
        </w:tc>
        <w:tc>
          <w:tcPr>
            <w:tcW w:type="dxa" w:w="1656"/>
          </w:tcPr>
          <w:p>
            <w:pPr>
              <w:keepNext/>
              <w:spacing w:after="0" w:line="240" w:lineRule="auto"/>
              <w:jc w:val="center"/>
            </w:pPr>
            <w:r/>
            <w:r>
              <w:rPr>
                <w:sz w:val="18"/>
              </w:rPr>
              <w:t>−0.051*</w:t>
            </w:r>
            <w:r>
              <w:br/>
            </w:r>
            <w:r>
              <w:rPr>
                <w:sz w:val="18"/>
              </w:rPr>
              <w:t>(0.029)</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(5) As (4), size measured in g</w:t>
            </w:r>
          </w:p>
        </w:tc>
        <w:tc>
          <w:tcPr>
            <w:tcW w:type="dxa" w:w="1512"/>
          </w:tcPr>
          <w:p>
            <w:pPr>
              <w:keepNext/>
              <w:spacing w:after="0" w:line="240" w:lineRule="auto"/>
              <w:jc w:val="center"/>
            </w:pPr>
            <w:r/>
            <w:r>
              <w:rPr>
                <w:sz w:val="18"/>
              </w:rPr>
              <w:t>−0.060**</w:t>
            </w:r>
            <w:r>
              <w:br/>
            </w:r>
            <w:r>
              <w:rPr>
                <w:sz w:val="18"/>
              </w:rPr>
              <w:t>(0.024)</w:t>
            </w:r>
          </w:p>
        </w:tc>
        <w:tc>
          <w:tcPr>
            <w:tcW w:type="dxa" w:w="1656"/>
          </w:tcPr>
          <w:p>
            <w:pPr>
              <w:keepNext/>
              <w:spacing w:after="0" w:line="240" w:lineRule="auto"/>
              <w:jc w:val="center"/>
            </w:pPr>
            <w:r/>
            <w:r>
              <w:rPr>
                <w:sz w:val="18"/>
              </w:rPr>
              <w:t>−0.063**</w:t>
            </w:r>
            <w:r>
              <w:br/>
            </w:r>
            <w:r>
              <w:rPr>
                <w:sz w:val="18"/>
              </w:rPr>
              <w:t>(0.031)</w:t>
            </w:r>
          </w:p>
        </w:tc>
        <w:tc>
          <w:tcPr>
            <w:tcW w:type="dxa" w:w="1152"/>
          </w:tcPr>
          <w:p>
            <w:pPr>
              <w:keepNext/>
              <w:spacing w:after="0" w:line="240" w:lineRule="auto"/>
              <w:jc w:val="center"/>
            </w:pPr>
            <w:r/>
            <w:r>
              <w:rPr>
                <w:sz w:val="18"/>
              </w:rPr>
              <w:t>583</w:t>
            </w:r>
          </w:p>
        </w:tc>
        <w:tc>
          <w:tcPr>
            <w:tcW w:type="dxa" w:w="1080"/>
          </w:tcPr>
          <w:p>
            <w:pPr>
              <w:keepNext/>
              <w:spacing w:after="0" w:line="240" w:lineRule="auto"/>
              <w:jc w:val="center"/>
            </w:pPr>
            <w:r/>
            <w:r>
              <w:rPr>
                <w:sz w:val="18"/>
              </w:rPr>
              <w:t>2,252</w:t>
            </w:r>
          </w:p>
        </w:tc>
      </w:tr>
      <w:tr>
        <w:trPr>
          <w:cantSplit/>
        </w:trPr>
        <w:tc>
          <w:tcPr>
            <w:tcW w:type="dxa" w:w="3960"/>
          </w:tcPr>
          <w:p>
            <w:pPr>
              <w:keepNext/>
              <w:spacing w:after="0" w:line="240" w:lineRule="auto"/>
            </w:pPr>
            <w:r/>
            <w:r>
              <w:rPr>
                <w:b/>
                <w:sz w:val="18"/>
              </w:rPr>
              <w:t>(6) One year later, all firms</w:t>
            </w:r>
          </w:p>
        </w:tc>
        <w:tc>
          <w:tcPr>
            <w:tcW w:type="dxa" w:w="1512"/>
          </w:tcPr>
          <w:p>
            <w:pPr>
              <w:keepNext/>
              <w:spacing w:after="0" w:line="240" w:lineRule="auto"/>
              <w:jc w:val="center"/>
            </w:pPr>
            <w:r/>
            <w:r>
              <w:rPr>
                <w:sz w:val="18"/>
              </w:rPr>
              <w:t>−0.068***</w:t>
            </w:r>
            <w:r>
              <w:br/>
            </w:r>
            <w:r>
              <w:rPr>
                <w:sz w:val="18"/>
              </w:rPr>
              <w:t>(0.024)</w:t>
            </w:r>
          </w:p>
        </w:tc>
        <w:tc>
          <w:tcPr>
            <w:tcW w:type="dxa" w:w="1656"/>
          </w:tcPr>
          <w:p>
            <w:pPr>
              <w:keepNext/>
              <w:spacing w:after="0" w:line="240" w:lineRule="auto"/>
              <w:jc w:val="center"/>
            </w:pPr>
            <w:r/>
            <w:r>
              <w:rPr>
                <w:sz w:val="18"/>
              </w:rPr>
              <w:t>−0.073**</w:t>
            </w:r>
            <w:r>
              <w:br/>
            </w:r>
            <w:r>
              <w:rPr>
                <w:sz w:val="18"/>
              </w:rPr>
              <w:t>(0.030)</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2,407</w:t>
            </w:r>
          </w:p>
        </w:tc>
      </w:tr>
      <w:tr>
        <w:trPr>
          <w:cantSplit/>
        </w:trPr>
        <w:tc>
          <w:tcPr>
            <w:tcW w:type="dxa" w:w="3960"/>
          </w:tcPr>
          <w:p>
            <w:pPr>
              <w:keepNext/>
              <w:spacing w:after="0" w:line="240" w:lineRule="auto"/>
            </w:pPr>
            <w:r/>
            <w:r>
              <w:rPr>
                <w:b/>
                <w:sz w:val="18"/>
              </w:rPr>
              <w:t>(7) As (2), cohorts first recorded 2015 to 2020</w:t>
            </w:r>
          </w:p>
        </w:tc>
        <w:tc>
          <w:tcPr>
            <w:tcW w:type="dxa" w:w="1512"/>
          </w:tcPr>
          <w:p>
            <w:pPr>
              <w:keepNext/>
              <w:spacing w:after="0" w:line="240" w:lineRule="auto"/>
              <w:jc w:val="center"/>
            </w:pPr>
            <w:r/>
            <w:r>
              <w:rPr>
                <w:sz w:val="18"/>
              </w:rPr>
              <w:t>0.017</w:t>
            </w:r>
            <w:r>
              <w:br/>
            </w:r>
            <w:r>
              <w:rPr>
                <w:sz w:val="18"/>
              </w:rPr>
              <w:t>(0.040)</w:t>
            </w:r>
          </w:p>
        </w:tc>
        <w:tc>
          <w:tcPr>
            <w:tcW w:type="dxa" w:w="1656"/>
          </w:tcPr>
          <w:p>
            <w:pPr>
              <w:keepNext/>
              <w:spacing w:after="0" w:line="240" w:lineRule="auto"/>
              <w:jc w:val="center"/>
            </w:pPr>
            <w:r/>
            <w:r>
              <w:rPr>
                <w:sz w:val="18"/>
              </w:rPr>
              <w:t>0.076*</w:t>
            </w:r>
            <w:r>
              <w:br/>
            </w:r>
            <w:r>
              <w:rPr>
                <w:sz w:val="18"/>
              </w:rPr>
              <w:t>(0.042)</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1,952</w:t>
            </w:r>
          </w:p>
        </w:tc>
      </w:tr>
      <w:tr>
        <w:trPr>
          <w:cantSplit/>
        </w:trPr>
        <w:tc>
          <w:tcPr>
            <w:tcW w:type="dxa" w:w="3960"/>
          </w:tcPr>
          <w:p>
            <w:pPr>
              <w:keepNext/>
              <w:spacing w:after="0" w:line="240" w:lineRule="auto"/>
            </w:pPr>
            <w:r/>
            <w:r>
              <w:rPr>
                <w:b/>
                <w:sz w:val="18"/>
              </w:rPr>
              <w:t>(8) As (3), cohorts first recorded 2015 to 2020</w:t>
            </w:r>
          </w:p>
        </w:tc>
        <w:tc>
          <w:tcPr>
            <w:tcW w:type="dxa" w:w="1512"/>
          </w:tcPr>
          <w:p>
            <w:pPr>
              <w:keepNext/>
              <w:spacing w:after="0" w:line="240" w:lineRule="auto"/>
              <w:jc w:val="center"/>
            </w:pPr>
            <w:r/>
            <w:r>
              <w:rPr>
                <w:sz w:val="18"/>
              </w:rPr>
              <w:t>−0.026</w:t>
            </w:r>
            <w:r>
              <w:br/>
            </w:r>
            <w:r>
              <w:rPr>
                <w:sz w:val="18"/>
              </w:rPr>
              <w:t>(0.047)</w:t>
            </w:r>
          </w:p>
        </w:tc>
        <w:tc>
          <w:tcPr>
            <w:tcW w:type="dxa" w:w="1656"/>
          </w:tcPr>
          <w:p>
            <w:pPr>
              <w:keepNext/>
              <w:spacing w:after="0" w:line="240" w:lineRule="auto"/>
              <w:jc w:val="center"/>
            </w:pPr>
            <w:r/>
            <w:r>
              <w:rPr>
                <w:sz w:val="18"/>
              </w:rPr>
              <w:t>0.077</w:t>
            </w:r>
            <w:r>
              <w:br/>
            </w:r>
            <w:r>
              <w:rPr>
                <w:sz w:val="18"/>
              </w:rPr>
              <w:t>(0.050)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Pr>
          <w:p>
            <w:pPr>
              <w:keepNext/>
              <w:spacing w:after="0" w:line="240" w:lineRule="auto"/>
            </w:pPr>
            <w:r/>
            <w:r>
              <w:rPr>
                <w:b/>
                <w:sz w:val="18"/>
              </w:rPr>
              <w:t>(9) As (4), cohorts first recorded 2015 to 2020</w:t>
            </w:r>
          </w:p>
        </w:tc>
        <w:tc>
          <w:tcPr>
            <w:tcW w:type="dxa" w:w="1512"/>
          </w:tcPr>
          <w:p>
            <w:pPr>
              <w:keepNext/>
              <w:spacing w:after="0" w:line="240" w:lineRule="auto"/>
              <w:jc w:val="center"/>
            </w:pPr>
            <w:r/>
            <w:r>
              <w:rPr>
                <w:sz w:val="18"/>
              </w:rPr>
              <w:t>−0.124***</w:t>
            </w:r>
            <w:r>
              <w:br/>
            </w:r>
            <w:r>
              <w:rPr>
                <w:sz w:val="18"/>
              </w:rPr>
              <w:t>(0.038)</w:t>
            </w:r>
          </w:p>
        </w:tc>
        <w:tc>
          <w:tcPr>
            <w:tcW w:type="dxa" w:w="1656"/>
          </w:tcPr>
          <w:p>
            <w:pPr>
              <w:keepNext/>
              <w:spacing w:after="0" w:line="240" w:lineRule="auto"/>
              <w:jc w:val="center"/>
            </w:pPr>
            <w:r/>
            <w:r>
              <w:rPr>
                <w:sz w:val="18"/>
              </w:rPr>
              <w:t>−0.006</w:t>
            </w:r>
            <w:r>
              <w:br/>
            </w:r>
            <w:r>
              <w:rPr>
                <w:sz w:val="18"/>
              </w:rPr>
              <w:t>(0.040)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Borders>
              <w:bottom w:val="single" w:sz="6" w:color="000000"/>
            </w:tcBorders>
          </w:tcPr>
          <w:p>
            <w:pPr>
              <w:spacing w:after="0" w:line="240" w:lineRule="auto"/>
            </w:pPr>
            <w:r/>
            <w:r>
              <w:rPr>
                <w:b/>
                <w:sz w:val="18"/>
              </w:rPr>
              <w:t>(10) As (5), cohorts first recorded 2015 to 2020</w:t>
            </w:r>
          </w:p>
        </w:tc>
        <w:tc>
          <w:tcPr>
            <w:tcW w:type="dxa" w:w="1512"/>
            <w:tcBorders>
              <w:bottom w:val="single" w:sz="6" w:color="000000"/>
            </w:tcBorders>
          </w:tcPr>
          <w:p>
            <w:pPr>
              <w:spacing w:after="0" w:line="240" w:lineRule="auto"/>
              <w:jc w:val="center"/>
            </w:pPr>
            <w:r/>
            <w:r>
              <w:rPr>
                <w:sz w:val="18"/>
              </w:rPr>
              <w:t>−0.121***</w:t>
            </w:r>
            <w:r>
              <w:br/>
            </w:r>
            <w:r>
              <w:rPr>
                <w:sz w:val="18"/>
              </w:rPr>
              <w:t>(0.038)</w:t>
            </w:r>
          </w:p>
        </w:tc>
        <w:tc>
          <w:tcPr>
            <w:tcW w:type="dxa" w:w="1656"/>
            <w:tcBorders>
              <w:bottom w:val="single" w:sz="6" w:color="000000"/>
            </w:tcBorders>
          </w:tcPr>
          <w:p>
            <w:pPr>
              <w:spacing w:after="0" w:line="240" w:lineRule="auto"/>
              <w:jc w:val="center"/>
            </w:pPr>
            <w:r/>
            <w:r>
              <w:rPr>
                <w:sz w:val="18"/>
              </w:rPr>
              <w:t>−0.018</w:t>
            </w:r>
            <w:r>
              <w:br/>
            </w:r>
            <w:r>
              <w:rPr>
                <w:sz w:val="18"/>
              </w:rPr>
              <w:t>(0.042)</w:t>
            </w:r>
          </w:p>
        </w:tc>
        <w:tc>
          <w:tcPr>
            <w:tcW w:type="dxa" w:w="1152"/>
            <w:tcBorders>
              <w:bottom w:val="single" w:sz="6" w:color="000000"/>
            </w:tcBorders>
          </w:tcPr>
          <w:p>
            <w:pPr>
              <w:spacing w:after="0" w:line="240" w:lineRule="auto"/>
              <w:jc w:val="center"/>
            </w:pPr>
            <w:r/>
            <w:r>
              <w:rPr>
                <w:sz w:val="18"/>
              </w:rPr>
              <w:t>142</w:t>
            </w:r>
          </w:p>
        </w:tc>
        <w:tc>
          <w:tcPr>
            <w:tcW w:type="dxa" w:w="1080"/>
            <w:tcBorders>
              <w:bottom w:val="single" w:sz="6" w:color="000000"/>
            </w:tcBorders>
          </w:tcPr>
          <w:p>
            <w:pPr>
              <w:spacing w:after="0" w:line="240" w:lineRule="auto"/>
              <w:jc w:val="center"/>
            </w:pPr>
            <w:r/>
            <w:r>
              <w:rPr>
                <w:sz w:val="18"/>
              </w:rPr>
              <w:t>1,938</w:t>
            </w:r>
          </w:p>
        </w:tc>
      </w:tr>
    </w:tbl>
    <w:p>
      <w:pPr>
        <w:spacing w:line="240" w:lineRule="auto" w:after="40" w:before="280"/>
        <w:jc w:val="both"/>
      </w:pPr>
      <w:r>
        <w:rPr>
          <w:sz w:val="18"/>
        </w:rPr>
        <w:t>Note: Outcome regression with firm-bootstrap standard errors; each row changes one feature; firm counts for ln(MTB). *, **, ***: 10%, 5%, 1%.</w:t>
      </w:r>
    </w:p>
    <w:p>
      <w:pPr>
        <w:spacing w:line="360" w:lineRule="auto" w:after="120" w:before="0"/>
        <w:ind w:firstLine="720"/>
        <w:jc w:val="both"/>
      </w:pPr>
      <w:r>
        <w:rPr/>
        <w:t>The reference year thus drives the difference. Moving it from g − 1 to g subtracts from each later estimate the change in log MTB of the same scored firms, relative to the same never-scored firms, between g − 1 and g. The row 4 step, −0.044, is therefore minus each cohort's own change between g − 1 and g (0.044 on average) weighted as in event years 1 to 4, which fall most on the early cohorts observed longest after entry; it is an accounting identity, not a separate estimate, and it is larger than the pooled event-year-0 estimate in Figure 1. Part of the decline under the later dating is thus the rise these cohorts had in the first recorded year itself. The cohorts observed through event year 4 (rows 7 to 10) show the same pattern more strongly.</w:t>
      </w:r>
    </w:p>
    <w:p>
      <w:pPr>
        <w:spacing w:line="360" w:lineRule="auto" w:after="120" w:before="0"/>
        <w:ind w:firstLine="720"/>
        <w:jc w:val="both"/>
      </w:pPr>
      <w:r>
        <w:rPr/>
        <w:t>The timing difference is also concentrated in the waves that had a run-up. Under the one-year-later dating, the MTB change is −0.136 for the Thai and Singaporean wave and −0.111 for the remaining cohorts, but 0.012 for the Malaysian wave (Table S6 of the supplementary material). Tested with joint firm-bootstrap draws, the Thai and Singaporean wave differs from the Malaysian wave both in the run-up (difference in the event-year −5 estimate −0.258, p = 0.010) and in the one-year-later change (−0.148, p = 0.006). The remaining cohorts differ from the Malaysian wave in the one-year-later change (−0.123, p = 0.010) but not detectably in the run-up (−0.075, 95% interval −0.219 to 0.075). Where no run-up was detected, neither dating detects an MTB change (95% intervals −0.053 to 0.091 and −0.055 to 0.076).</w:t>
      </w:r>
    </w:p>
    <w:p>
      <w:pPr>
        <w:spacing w:line="360" w:lineRule="auto" w:after="120" w:before="0"/>
        <w:ind w:firstLine="720"/>
        <w:jc w:val="both"/>
      </w:pPr>
      <w:r>
        <w:rPr/>
        <w:t>Two readings fit this pattern, and the data cannot separate them. If firms were selected at an unusually high valuation that later partly reversed, the one-year-later estimate measures that reversal and could hide a gain from coverage; if valuations would otherwise have stayed at their peak, coverage lowered them.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4.3 Sensitivity and Robustness</w:t>
      </w:r>
    </w:p>
    <w:p>
      <w:pPr>
        <w:spacing w:line="360" w:lineRule="auto" w:after="120" w:before="0"/>
        <w:ind w:firstLine="720"/>
        <w:jc w:val="both"/>
      </w:pPr>
      <w:r>
        <w:rPr/>
        <w:t>Keeping only the 7 cohorts observed through event year 3 gives −0.008 (p = 0.806), so changing cohort composition does not explain the headline estimate. Removing a linear pre-trend gives −0.052, and adding pre-coverage growth as a covariate gives 0.028; both intervals include zero. Under the relative-magnitude bounds (Table S7), with M̄ = 0.25 the interval for the MTB effect is −0.071 to 0.073, and any departure with M̄ above 0.01 admits a 5% increase. Under the one-year-later dating, the decline loses significance with M̄ = 0.25, when its interval runs from −0.138 to 0.002. Departures from parallel trends smaller than those observed before coverage are therefore enough to change the reading of either dating.</w:t>
      </w:r>
    </w:p>
    <w:p>
      <w:pPr>
        <w:spacing w:line="360" w:lineRule="auto" w:after="120" w:before="0"/>
        <w:ind w:firstLine="720"/>
        <w:jc w:val="both"/>
      </w:pPr>
      <w:r>
        <w:rPr/>
        <w:t>Table 5 varies the size adjustment and the support. Across functional forms (none, linear, quadratic, cubic, quintile indicators, or size measured at g − 3), the MTB estimate stays between −0.010 and 0.025. Keeping scored firms no larger than the 95th percentile of controls in their cell retains 487 scored firms and gives −0.021 (p = 0.426); the 90th and 99th percentile cut-offs give −0.013 and −0.006. Within this support the doubly robust estimator of Sant'Anna and Zhao (2020), with control propensity scores capped at 0.99, gives −0.010 (p = 0.715), and only 1.1% of scored firm-cells have an estimated propensity score above 0.95. The MTB result does not depend on extrapolating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224"/>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744"/>
          </w:tcPr>
          <w:p>
            <w:pPr>
              <w:keepNext/>
              <w:spacing w:after="0" w:line="240" w:lineRule="auto"/>
            </w:pPr>
            <w:r/>
            <w:r>
              <w:rPr>
                <w:b/>
                <w:sz w:val="18"/>
              </w:rPr>
              <w:t>Baseline: quadratic in log total assets at g − 1</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656"/>
          </w:tcPr>
          <w:p>
            <w:pPr>
              <w:keepNext/>
              <w:spacing w:after="0" w:line="240" w:lineRule="auto"/>
              <w:jc w:val="center"/>
            </w:pPr>
            <w:r/>
            <w:r>
              <w:rPr>
                <w:sz w:val="18"/>
              </w:rPr>
              <w:t>0.016</w:t>
            </w:r>
            <w:r>
              <w:br/>
            </w:r>
            <w:r>
              <w:rPr>
                <w:sz w:val="18"/>
              </w:rPr>
              <w:t>(0.025)</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Linear in log total assets</w:t>
            </w:r>
          </w:p>
        </w:tc>
        <w:tc>
          <w:tcPr>
            <w:tcW w:type="dxa" w:w="1584"/>
          </w:tcPr>
          <w:p>
            <w:pPr>
              <w:keepNext/>
              <w:spacing w:after="0" w:line="240" w:lineRule="auto"/>
              <w:jc w:val="center"/>
            </w:pPr>
            <w:r/>
            <w:r>
              <w:rPr>
                <w:sz w:val="18"/>
              </w:rPr>
              <w:t>−0.003</w:t>
            </w:r>
            <w:r>
              <w:br/>
            </w:r>
            <w:r>
              <w:rPr>
                <w:sz w:val="18"/>
              </w:rPr>
              <w:t>(0.023)</w:t>
            </w:r>
          </w:p>
        </w:tc>
        <w:tc>
          <w:tcPr>
            <w:tcW w:type="dxa" w:w="1656"/>
          </w:tcPr>
          <w:p>
            <w:pPr>
              <w:keepNext/>
              <w:spacing w:after="0" w:line="240" w:lineRule="auto"/>
              <w:jc w:val="center"/>
            </w:pPr>
            <w:r/>
            <w:r>
              <w:rPr>
                <w:sz w:val="18"/>
              </w:rPr>
              <w:t>−0.033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Cubic in log total assets</w:t>
            </w:r>
          </w:p>
        </w:tc>
        <w:tc>
          <w:tcPr>
            <w:tcW w:type="dxa" w:w="1584"/>
          </w:tcPr>
          <w:p>
            <w:pPr>
              <w:keepNext/>
              <w:spacing w:after="0" w:line="240" w:lineRule="auto"/>
              <w:jc w:val="center"/>
            </w:pPr>
            <w:r/>
            <w:r>
              <w:rPr>
                <w:sz w:val="18"/>
              </w:rPr>
              <w:t>−0.009</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656"/>
          </w:tcPr>
          <w:p>
            <w:pPr>
              <w:keepNext/>
              <w:spacing w:after="0" w:line="240" w:lineRule="auto"/>
              <w:jc w:val="center"/>
            </w:pPr>
            <w:r/>
            <w:r>
              <w:rPr>
                <w:sz w:val="18"/>
              </w:rPr>
              <w:t>−0.053*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Quadratic, total assets at g − 3</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r>
              <w:rPr>
                <w:sz w:val="18"/>
              </w:rPr>
              <w:t>−0.059*</w:t>
            </w:r>
            <w:r>
              <w:br/>
            </w:r>
            <w:r>
              <w:rPr>
                <w:sz w:val="18"/>
              </w:rPr>
              <w:t>(0.032)</w:t>
            </w:r>
          </w:p>
        </w:tc>
        <w:tc>
          <w:tcPr>
            <w:tcW w:type="dxa" w:w="1224"/>
          </w:tcPr>
          <w:p>
            <w:pPr>
              <w:keepNext/>
              <w:spacing w:after="0" w:line="240" w:lineRule="auto"/>
              <w:jc w:val="center"/>
            </w:pPr>
            <w:r/>
            <w:r>
              <w:rPr>
                <w:sz w:val="18"/>
              </w:rPr>
              <w:t>592</w:t>
            </w:r>
          </w:p>
        </w:tc>
        <w:tc>
          <w:tcPr>
            <w:tcW w:type="dxa" w:w="1152"/>
          </w:tcPr>
          <w:p>
            <w:pPr>
              <w:keepNext/>
              <w:spacing w:after="0" w:line="240" w:lineRule="auto"/>
              <w:jc w:val="center"/>
            </w:pPr>
            <w:r/>
            <w:r>
              <w:rPr>
                <w:sz w:val="18"/>
              </w:rPr>
              <w:t>2,396</w:t>
            </w:r>
          </w:p>
        </w:tc>
      </w:tr>
      <w:tr>
        <w:trPr>
          <w:cantSplit/>
        </w:trPr>
        <w:tc>
          <w:tcPr>
            <w:tcW w:type="dxa" w:w="3744"/>
          </w:tcPr>
          <w:p>
            <w:pPr>
              <w:keepNext/>
              <w:spacing w:after="0" w:line="240" w:lineRule="auto"/>
            </w:pPr>
            <w:r/>
            <w:r>
              <w:rPr>
                <w:b/>
                <w:sz w:val="18"/>
              </w:rPr>
              <w:t>Scored firms ≤ 99th percentile of controls</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r>
              <w:rPr>
                <w:sz w:val="18"/>
              </w:rPr>
              <w:t>−0.061**</w:t>
            </w:r>
            <w:r>
              <w:br/>
            </w:r>
            <w:r>
              <w:rPr>
                <w:sz w:val="18"/>
              </w:rPr>
              <w:t>(0.031)</w:t>
            </w:r>
          </w:p>
        </w:tc>
        <w:tc>
          <w:tcPr>
            <w:tcW w:type="dxa" w:w="1224"/>
          </w:tcPr>
          <w:p>
            <w:pPr>
              <w:keepNext/>
              <w:spacing w:after="0" w:line="240" w:lineRule="auto"/>
              <w:jc w:val="center"/>
            </w:pPr>
            <w:r/>
            <w:r>
              <w:rPr>
                <w:sz w:val="18"/>
              </w:rPr>
              <w:t>586</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95th percentile of controls</w:t>
            </w:r>
          </w:p>
        </w:tc>
        <w:tc>
          <w:tcPr>
            <w:tcW w:type="dxa" w:w="1584"/>
          </w:tcPr>
          <w:p>
            <w:pPr>
              <w:keepNext/>
              <w:spacing w:after="0" w:line="240" w:lineRule="auto"/>
              <w:jc w:val="center"/>
            </w:pPr>
            <w:r/>
            <w:r>
              <w:rPr>
                <w:sz w:val="18"/>
              </w:rPr>
              <w:t>−0.021</w:t>
            </w:r>
            <w:r>
              <w:br/>
            </w:r>
            <w:r>
              <w:rPr>
                <w:sz w:val="18"/>
              </w:rPr>
              <w:t>(0.026)</w:t>
            </w:r>
          </w:p>
        </w:tc>
        <w:tc>
          <w:tcPr>
            <w:tcW w:type="dxa" w:w="1656"/>
          </w:tcPr>
          <w:p>
            <w:pPr>
              <w:keepNext/>
              <w:spacing w:after="0" w:line="240" w:lineRule="auto"/>
              <w:jc w:val="center"/>
            </w:pPr>
            <w:r/>
            <w:r>
              <w:rPr>
                <w:sz w:val="18"/>
              </w:rPr>
              <w:t>−0.096***</w:t>
            </w:r>
            <w:r>
              <w:br/>
            </w:r>
            <w:r>
              <w:rPr>
                <w:sz w:val="18"/>
              </w:rPr>
              <w:t>(0.035)</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90th percentile of controls</w:t>
            </w:r>
          </w:p>
        </w:tc>
        <w:tc>
          <w:tcPr>
            <w:tcW w:type="dxa" w:w="1584"/>
          </w:tcPr>
          <w:p>
            <w:pPr>
              <w:keepNext/>
              <w:spacing w:after="0" w:line="240" w:lineRule="auto"/>
              <w:jc w:val="center"/>
            </w:pPr>
            <w:r/>
            <w:r>
              <w:rPr>
                <w:sz w:val="18"/>
              </w:rPr>
              <w:t>−0.013</w:t>
            </w:r>
            <w:r>
              <w:br/>
            </w:r>
            <w:r>
              <w:rPr>
                <w:sz w:val="18"/>
              </w:rPr>
              <w:t>(0.028)</w:t>
            </w:r>
          </w:p>
        </w:tc>
        <w:tc>
          <w:tcPr>
            <w:tcW w:type="dxa" w:w="1656"/>
          </w:tcPr>
          <w:p>
            <w:pPr>
              <w:keepNext/>
              <w:spacing w:after="0" w:line="240" w:lineRule="auto"/>
              <w:jc w:val="center"/>
            </w:pPr>
            <w:r/>
            <w:r>
              <w:rPr>
                <w:sz w:val="18"/>
              </w:rPr>
              <w:t>−0.093**</w:t>
            </w:r>
            <w:r>
              <w:br/>
            </w:r>
            <w:r>
              <w:rPr>
                <w:sz w:val="18"/>
              </w:rPr>
              <w:t>(0.039)</w:t>
            </w:r>
          </w:p>
        </w:tc>
        <w:tc>
          <w:tcPr>
            <w:tcW w:type="dxa" w:w="1224"/>
          </w:tcPr>
          <w:p>
            <w:pPr>
              <w:keepNext/>
              <w:spacing w:after="0" w:line="240" w:lineRule="auto"/>
              <w:jc w:val="center"/>
            </w:pPr>
            <w:r/>
            <w:r>
              <w:rPr>
                <w:sz w:val="18"/>
              </w:rPr>
              <w:t>420</w:t>
            </w:r>
          </w:p>
        </w:tc>
        <w:tc>
          <w:tcPr>
            <w:tcW w:type="dxa" w:w="1152"/>
          </w:tcPr>
          <w:p>
            <w:pPr>
              <w:keepNext/>
              <w:spacing w:after="0" w:line="240" w:lineRule="auto"/>
              <w:jc w:val="center"/>
            </w:pPr>
            <w:r/>
            <w:r>
              <w:rPr>
                <w:sz w:val="18"/>
              </w:rPr>
              <w:t>2,407</w:t>
            </w:r>
          </w:p>
        </w:tc>
      </w:tr>
      <w:tr>
        <w:trPr>
          <w:cantSplit/>
        </w:trPr>
        <w:tc>
          <w:tcPr>
            <w:tcW w:type="dxa" w:w="3744"/>
          </w:tcPr>
          <w:p>
            <w:pPr>
              <w:keepNext/>
              <w:spacing w:after="0" w:line="240" w:lineRule="auto"/>
            </w:pPr>
            <w:r/>
            <w:r>
              <w:rPr>
                <w:b/>
                <w:sz w:val="18"/>
              </w:rPr>
              <w:t>Doubly robust, ≤ 95th percentile</w:t>
            </w:r>
          </w:p>
        </w:tc>
        <w:tc>
          <w:tcPr>
            <w:tcW w:type="dxa" w:w="1584"/>
          </w:tcPr>
          <w:p>
            <w:pPr>
              <w:keepNext/>
              <w:spacing w:after="0" w:line="240" w:lineRule="auto"/>
              <w:jc w:val="center"/>
            </w:pPr>
            <w:r/>
            <w:r>
              <w:rPr>
                <w:sz w:val="18"/>
              </w:rPr>
              <w:t>−0.010</w:t>
            </w:r>
            <w:r>
              <w:br/>
            </w:r>
            <w:r>
              <w:rPr>
                <w:sz w:val="18"/>
              </w:rPr>
              <w:t>(0.027)</w:t>
            </w:r>
          </w:p>
        </w:tc>
        <w:tc>
          <w:tcPr>
            <w:tcW w:type="dxa" w:w="1656"/>
          </w:tcPr>
          <w:p>
            <w:pPr>
              <w:keepNext/>
              <w:spacing w:after="0" w:line="240" w:lineRule="auto"/>
              <w:jc w:val="center"/>
            </w:pPr>
            <w:r/>
            <w:r>
              <w:rPr>
                <w:sz w:val="18"/>
              </w:rPr>
              <w:t>−0.064*</w:t>
            </w:r>
            <w:r>
              <w:br/>
            </w:r>
            <w:r>
              <w:rPr>
                <w:sz w:val="18"/>
              </w:rPr>
              <w:t>(0.034)</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Borders>
              <w:bottom w:val="single" w:sz="6" w:color="000000"/>
            </w:tcBorders>
          </w:tcPr>
          <w:p>
            <w:pPr>
              <w:spacing w:after="0" w:line="240" w:lineRule="auto"/>
            </w:pPr>
            <w:r/>
            <w:r>
              <w:rPr>
                <w:b/>
                <w:sz w:val="18"/>
              </w:rPr>
              <w:t>Doubly robust, ≤ 90th percentile</w:t>
            </w:r>
          </w:p>
        </w:tc>
        <w:tc>
          <w:tcPr>
            <w:tcW w:type="dxa" w:w="1584"/>
            <w:tcBorders>
              <w:bottom w:val="single" w:sz="6" w:color="000000"/>
            </w:tcBorders>
          </w:tcPr>
          <w:p>
            <w:pPr>
              <w:spacing w:after="0" w:line="240" w:lineRule="auto"/>
              <w:jc w:val="center"/>
            </w:pPr>
            <w:r/>
            <w:r>
              <w:rPr>
                <w:sz w:val="18"/>
              </w:rPr>
              <w:t>0.005</w:t>
            </w:r>
            <w:r>
              <w:br/>
            </w:r>
            <w:r>
              <w:rPr>
                <w:sz w:val="18"/>
              </w:rPr>
              <w:t>(0.029)</w:t>
            </w:r>
          </w:p>
        </w:tc>
        <w:tc>
          <w:tcPr>
            <w:tcW w:type="dxa" w:w="1656"/>
            <w:tcBorders>
              <w:bottom w:val="single" w:sz="6" w:color="000000"/>
            </w:tcBorders>
          </w:tcPr>
          <w:p>
            <w:pPr>
              <w:spacing w:after="0" w:line="240" w:lineRule="auto"/>
              <w:jc w:val="center"/>
            </w:pPr>
            <w:r/>
            <w:r>
              <w:rPr>
                <w:sz w:val="18"/>
              </w:rPr>
              <w:t>−0.061</w:t>
            </w:r>
            <w:r>
              <w:br/>
            </w:r>
            <w:r>
              <w:rPr>
                <w:sz w:val="18"/>
              </w:rPr>
              <w:t>(0.038)</w:t>
            </w:r>
          </w:p>
        </w:tc>
        <w:tc>
          <w:tcPr>
            <w:tcW w:type="dxa" w:w="1224"/>
            <w:tcBorders>
              <w:bottom w:val="single" w:sz="6" w:color="000000"/>
            </w:tcBorders>
          </w:tcPr>
          <w:p>
            <w:pPr>
              <w:spacing w:after="0" w:line="240" w:lineRule="auto"/>
              <w:jc w:val="center"/>
            </w:pPr>
            <w:r/>
            <w:r>
              <w:rPr>
                <w:sz w:val="18"/>
              </w:rPr>
              <w:t>420</w:t>
            </w:r>
          </w:p>
        </w:tc>
        <w:tc>
          <w:tcPr>
            <w:tcW w:type="dxa" w:w="1152"/>
            <w:tcBorders>
              <w:bottom w:val="single" w:sz="6" w:color="000000"/>
            </w:tcBorders>
          </w:tcPr>
          <w:p>
            <w:pPr>
              <w:spacing w:after="0" w:line="240" w:lineRule="auto"/>
              <w:jc w:val="center"/>
            </w:pPr>
            <w:r/>
            <w:r>
              <w:rPr>
                <w:sz w:val="18"/>
              </w:rPr>
              <w:t>2,407</w:t>
            </w:r>
          </w:p>
        </w:tc>
      </w:tr>
    </w:tbl>
    <w:p>
      <w:pPr>
        <w:spacing w:line="240" w:lineRule="auto" w:after="40" w:before="280"/>
        <w:jc w:val="both"/>
      </w:pPr>
      <w:r>
        <w:rPr>
          <w:sz w:val="18"/>
        </w:rPr>
        <w:t>Note: Outcome regression unless doubly robust, with firm-bootstrap standard errors; firm counts for ln(MTB). *, **, ***: 10%, 5%, 1%.</w:t>
      </w:r>
    </w:p>
    <w:p>
      <w:pPr>
        <w:spacing w:line="360" w:lineRule="auto" w:after="120" w:before="0"/>
        <w:ind w:firstLine="720"/>
        <w:jc w:val="both"/>
      </w:pPr>
      <w:r>
        <w:rPr/>
        <w:t>Market capitalization is more sensitive: its estimate is 0.016 without covariates, between −0.059 and −0.033 across the functional forms that adjust for size, and between −0.096 and −0.061 on the restricted supports, as expected when size enters both selection and the outcome.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while the retained firms are mostly Malaysian (71.5%). The restricted estimate thus describes mid-sized scored firms, largely from the Malaysian expansion, and says little about the largest firms.</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w:t>
            </w:r>
            <w:r>
              <w:br/>
            </w:r>
            <w:r>
              <w:rPr>
                <w:b/>
                <w:sz w:val="18"/>
              </w:rPr>
              <w:t>(all years)</w:t>
            </w:r>
          </w:p>
        </w:tc>
      </w:tr>
      <w:tr>
        <w:trPr>
          <w:cantSplit/>
        </w:trPr>
        <w:tc>
          <w:tcPr>
            <w:tcW w:type="dxa" w:w="4032"/>
          </w:tcPr>
          <w:p>
            <w:pPr>
              <w:keepNext/>
              <w:spacing w:after="0" w:line="240" w:lineRule="auto"/>
            </w:pPr>
            <w:r/>
            <w:r>
              <w:rPr>
                <w:b/>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b/>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b/>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b/>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b/>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b/>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sz w:val="18"/>
        </w:rPr>
        <w:t>Note: Scored firms in the ln(MTB) estimate, measured in base year g − 1; never-scored firms over all firm-years.</w:t>
      </w:r>
    </w:p>
    <w:p>
      <w:pPr>
        <w:spacing w:line="360" w:lineRule="auto" w:after="120" w:before="0"/>
        <w:ind w:firstLine="720"/>
        <w:jc w:val="both"/>
      </w:pPr>
      <w:r>
        <w:rPr/>
        <w:t>Missing MTB ratios are not random. Firm-years without one are more often highly levered (book leverage above 0.5 in 25.4% of never-scored firm-years without an MTB ratio, against 8.4% with one) and more often Indonesian (36.2% against 24.1%; Table S8 of the supplementary material). Only 36.7% of never-scored and 36.6% of scored firm-years without an MTB ratio have a market capitalization, so most gaps are missing market data, not negative book equity alone. 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t>Table 7 checks whether these gaps and the recording errors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using the lower threshold of twice total assets, or winsorizing within each market and year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888"/>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sz w:val="18"/>
              </w:rPr>
              <w:t>−0.023</w:t>
            </w:r>
            <w:r>
              <w:br/>
            </w:r>
            <w:r>
              <w:rPr>
                <w:sz w:val="18"/>
              </w:rPr>
              <w:t>(0.029)</w:t>
            </w:r>
          </w:p>
        </w:tc>
        <w:tc>
          <w:tcPr>
            <w:tcW w:type="dxa" w:w="1152"/>
          </w:tcPr>
          <w:p>
            <w:pPr>
              <w:keepNext/>
              <w:spacing w:after="0" w:line="240" w:lineRule="auto"/>
              <w:jc w:val="center"/>
            </w:pPr>
            <w:r/>
            <w:r>
              <w:rPr>
                <w:sz w:val="18"/>
              </w:rPr>
              <w:t>624</w:t>
            </w:r>
          </w:p>
        </w:tc>
        <w:tc>
          <w:tcPr>
            <w:tcW w:type="dxa" w:w="1080"/>
          </w:tcPr>
          <w:p>
            <w:pPr>
              <w:keepNext/>
              <w:spacing w:after="0" w:line="240" w:lineRule="auto"/>
              <w:jc w:val="center"/>
            </w:pPr>
            <w:r/>
            <w:r>
              <w:rPr>
                <w:sz w:val="18"/>
              </w:rPr>
              <w:t>2,409</w:t>
            </w:r>
          </w:p>
        </w:tc>
      </w:tr>
      <w:tr>
        <w:trPr>
          <w:cantSplit/>
        </w:trPr>
        <w:tc>
          <w:tcPr>
            <w:tcW w:type="dxa" w:w="3888"/>
          </w:tcPr>
          <w:p>
            <w:pPr>
              <w:keepNext/>
              <w:spacing w:after="0" w:line="240" w:lineRule="auto"/>
            </w:pPr>
            <w:r/>
            <w:r>
              <w:rPr>
                <w:b/>
                <w:sz w:val="18"/>
              </w:rPr>
              <w:t>Complete MTB series, scored and control firms</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1,152</w:t>
            </w:r>
          </w:p>
        </w:tc>
      </w:tr>
      <w:tr>
        <w:trPr>
          <w:cantSplit/>
        </w:trPr>
        <w:tc>
          <w:tcPr>
            <w:tcW w:type="dxa" w:w="3888"/>
          </w:tcPr>
          <w:p>
            <w:pPr>
              <w:keepNext/>
              <w:spacing w:after="0" w:line="240" w:lineRule="auto"/>
            </w:pPr>
            <w:r/>
            <w:r>
              <w:rPr>
                <w:b/>
                <w:sz w:val="18"/>
              </w:rPr>
              <w:t>Complete MTB series, scored firms only</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Flagged firm-years removed</w:t>
            </w:r>
          </w:p>
        </w:tc>
        <w:tc>
          <w:tcPr>
            <w:tcW w:type="dxa" w:w="1584"/>
          </w:tcPr>
          <w:p>
            <w:pPr>
              <w:keepNext/>
              <w:spacing w:after="0" w:line="240" w:lineRule="auto"/>
              <w:jc w:val="center"/>
            </w:pPr>
            <w:r/>
            <w:r>
              <w:rPr>
                <w:sz w:val="18"/>
              </w:rPr>
              <w:t>−0.007</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2,408</w:t>
            </w:r>
          </w:p>
        </w:tc>
      </w:tr>
      <w:tr>
        <w:trPr>
          <w:cantSplit/>
        </w:trPr>
        <w:tc>
          <w:tcPr>
            <w:tcW w:type="dxa" w:w="3888"/>
          </w:tcPr>
          <w:p>
            <w:pPr>
              <w:keepNext/>
              <w:spacing w:after="0" w:line="240" w:lineRule="auto"/>
            </w:pPr>
            <w:r/>
            <w:r>
              <w:rPr>
                <w:b/>
                <w:sz w:val="18"/>
              </w:rPr>
              <w:t>Firms with any flagged year removed</w:t>
            </w:r>
          </w:p>
        </w:tc>
        <w:tc>
          <w:tcPr>
            <w:tcW w:type="dxa" w:w="1584"/>
          </w:tcPr>
          <w:p>
            <w:pPr>
              <w:keepNext/>
              <w:spacing w:after="0" w:line="240" w:lineRule="auto"/>
              <w:jc w:val="center"/>
            </w:pPr>
            <w:r/>
            <w:r>
              <w:rPr>
                <w:sz w:val="18"/>
              </w:rPr>
              <w:t>−0.008</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2,385</w:t>
            </w:r>
          </w:p>
        </w:tc>
      </w:tr>
      <w:tr>
        <w:trPr>
          <w:cantSplit/>
        </w:trPr>
        <w:tc>
          <w:tcPr>
            <w:tcW w:type="dxa" w:w="3888"/>
          </w:tcPr>
          <w:p>
            <w:pPr>
              <w:keepNext/>
              <w:spacing w:after="0" w:line="240" w:lineRule="auto"/>
            </w:pPr>
            <w:r/>
            <w:r>
              <w:rPr>
                <w:b/>
                <w:sz w:val="18"/>
              </w:rPr>
              <w:t>Firm-years with implied book equity above twice total assets removed</w:t>
            </w:r>
          </w:p>
        </w:tc>
        <w:tc>
          <w:tcPr>
            <w:tcW w:type="dxa" w:w="1584"/>
          </w:tcPr>
          <w:p>
            <w:pPr>
              <w:keepNext/>
              <w:spacing w:after="0" w:line="240" w:lineRule="auto"/>
              <w:jc w:val="center"/>
            </w:pPr>
            <w:r/>
            <w:r>
              <w:rPr>
                <w:sz w:val="18"/>
              </w:rPr>
              <w:t>−0.019</w:t>
            </w:r>
            <w:r>
              <w:br/>
            </w:r>
            <w:r>
              <w:rPr>
                <w:sz w:val="18"/>
              </w:rPr>
              <w:t>(0.023)</w:t>
            </w:r>
          </w:p>
        </w:tc>
        <w:tc>
          <w:tcPr>
            <w:tcW w:type="dxa" w:w="1656"/>
          </w:tcPr>
          <w:p>
            <w:pPr>
              <w:keepNext/>
              <w:spacing w:after="0" w:line="240" w:lineRule="auto"/>
              <w:jc w:val="center"/>
            </w:pPr>
            <w:r/>
            <w:r>
              <w:rPr>
                <w:sz w:val="18"/>
              </w:rPr>
              <w:t>−0.039</w:t>
            </w:r>
            <w:r>
              <w:br/>
            </w:r>
            <w:r>
              <w:rPr>
                <w:sz w:val="18"/>
              </w:rPr>
              <w:t>(0.028)</w:t>
            </w:r>
          </w:p>
        </w:tc>
        <w:tc>
          <w:tcPr>
            <w:tcW w:type="dxa" w:w="1152"/>
          </w:tcPr>
          <w:p>
            <w:pPr>
              <w:keepNext/>
              <w:spacing w:after="0" w:line="240" w:lineRule="auto"/>
              <w:jc w:val="center"/>
            </w:pPr>
            <w:r/>
            <w:r>
              <w:rPr>
                <w:sz w:val="18"/>
              </w:rPr>
              <w:t>597</w:t>
            </w:r>
          </w:p>
        </w:tc>
        <w:tc>
          <w:tcPr>
            <w:tcW w:type="dxa" w:w="1080"/>
          </w:tcPr>
          <w:p>
            <w:pPr>
              <w:keepNext/>
              <w:spacing w:after="0" w:line="240" w:lineRule="auto"/>
              <w:jc w:val="center"/>
            </w:pPr>
            <w:r/>
            <w:r>
              <w:rPr>
                <w:sz w:val="18"/>
              </w:rPr>
              <w:t>2,393</w:t>
            </w:r>
          </w:p>
        </w:tc>
      </w:tr>
      <w:tr>
        <w:trPr>
          <w:cantSplit/>
        </w:trPr>
        <w:tc>
          <w:tcPr>
            <w:tcW w:type="dxa" w:w="3888"/>
            <w:tcBorders>
              <w:bottom w:val="single" w:sz="6" w:color="000000"/>
            </w:tcBorders>
          </w:tcPr>
          <w:p>
            <w:pPr>
              <w:spacing w:after="0" w:line="240" w:lineRule="auto"/>
            </w:pPr>
            <w:r/>
            <w:r>
              <w:rPr>
                <w:b/>
                <w:sz w:val="18"/>
              </w:rPr>
              <w:t>Winsorized within market and year</w:t>
            </w:r>
          </w:p>
        </w:tc>
        <w:tc>
          <w:tcPr>
            <w:tcW w:type="dxa" w:w="1584"/>
            <w:tcBorders>
              <w:bottom w:val="single" w:sz="6" w:color="000000"/>
            </w:tcBorders>
          </w:tcPr>
          <w:p>
            <w:pPr>
              <w:spacing w:after="0" w:line="240" w:lineRule="auto"/>
              <w:jc w:val="center"/>
            </w:pPr>
            <w:r/>
            <w:r>
              <w:rPr>
                <w:sz w:val="18"/>
              </w:rPr>
              <w:t>0.005</w:t>
            </w:r>
            <w:r>
              <w:br/>
            </w:r>
            <w:r>
              <w:rPr>
                <w:sz w:val="18"/>
              </w:rPr>
              <w:t>(0.024)</w:t>
            </w:r>
          </w:p>
        </w:tc>
        <w:tc>
          <w:tcPr>
            <w:tcW w:type="dxa" w:w="1656"/>
            <w:tcBorders>
              <w:bottom w:val="single" w:sz="6" w:color="000000"/>
            </w:tcBorders>
          </w:tcPr>
          <w:p>
            <w:pPr>
              <w:spacing w:after="0" w:line="240" w:lineRule="auto"/>
              <w:jc w:val="center"/>
            </w:pPr>
            <w:r/>
            <w:r>
              <w:rPr>
                <w:sz w:val="18"/>
              </w:rPr>
              <w:t>−0.064**</w:t>
            </w:r>
            <w:r>
              <w:br/>
            </w:r>
            <w:r>
              <w:rPr>
                <w:sz w:val="18"/>
              </w:rPr>
              <w:t>(0.031)</w:t>
            </w:r>
          </w:p>
        </w:tc>
        <w:tc>
          <w:tcPr>
            <w:tcW w:type="dxa" w:w="1152"/>
            <w:tcBorders>
              <w:bottom w:val="single" w:sz="6" w:color="000000"/>
            </w:tcBorders>
          </w:tcPr>
          <w:p>
            <w:pPr>
              <w:spacing w:after="0" w:line="240" w:lineRule="auto"/>
              <w:jc w:val="center"/>
            </w:pPr>
            <w:r/>
            <w:r>
              <w:rPr>
                <w:sz w:val="18"/>
              </w:rPr>
              <w:t>625</w:t>
            </w:r>
          </w:p>
        </w:tc>
        <w:tc>
          <w:tcPr>
            <w:tcW w:type="dxa" w:w="1080"/>
            <w:tcBorders>
              <w:bottom w:val="single" w:sz="6" w:color="000000"/>
            </w:tcBorders>
          </w:tcPr>
          <w:p>
            <w:pPr>
              <w:spacing w:after="0" w:line="240" w:lineRule="auto"/>
              <w:jc w:val="center"/>
            </w:pPr>
            <w:r/>
            <w:r>
              <w:rPr>
                <w:sz w:val="18"/>
              </w:rPr>
              <w:t>2,412</w:t>
            </w:r>
          </w:p>
        </w:tc>
      </w:tr>
    </w:tbl>
    <w:p>
      <w:pPr>
        <w:spacing w:line="240" w:lineRule="auto" w:after="40" w:before="280"/>
        <w:jc w:val="both"/>
      </w:pPr>
      <w:r>
        <w:rPr>
          <w:sz w:val="18"/>
        </w:rPr>
        <w:t>Note: Outcome regression with firm-bootstrap standard errors; flags mark implied book equity above ten times total assets. *, **, ***: 10%, 5%, 1%.</w:t>
      </w:r>
    </w:p>
    <w:p>
      <w:pPr>
        <w:spacing w:line="360" w:lineRule="auto" w:after="120" w:before="0"/>
        <w:ind w:firstLine="720"/>
        <w:jc w:val="both"/>
      </w:pPr>
      <w:r>
        <w:rPr/>
        <w:t>None of the four pre-specified robustness checks (not-yet-scored controls, no covariates, no 2020–2021 cohorts, and size-trimmed controls) shows an MTB effect that differs from zero at the 10% level (estimates from −0.001 to 0.031), while the market capitalization and total assets results are less stable. Excluding one market at a time (Table S9) gives MTB effects from −0.007 to 0.017. The placebo yields 0.059 on log MTB (p = 0.010), restating the pre-coverage growth in Figure 1. The static TWFE regression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00"/>
          <w:sz w:val="24"/>
        </w:rPr>
        <w:t>4.4 Initial Scores and What the Pooled Estimate Represents</w:t>
      </w:r>
    </w:p>
    <w:p>
      <w:pPr>
        <w:spacing w:line="360" w:lineRule="auto" w:after="120" w:before="0"/>
        <w:ind w:firstLine="720"/>
        <w:jc w:val="both"/>
      </w:pPr>
      <w:r>
        <w:rPr/>
        <w:t>The last three rows of Table 3 divide scored firms at the cohort median of their first recorded ESG score. The difference between high- and low-score entrants is −0.041 (standard error 0.040, p = 0.307). Because the score rises with firm size (correlation 0.35 with base-year log total assets), Table S4 repeats the split after purging the score of size, country, and cohort; the difference is then −0.027 (p = 0.491). 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t>The pooled estimate weights cohorts and event years by the number of scored firms in each cell. Malaysian firms carry 55.2% of the weight in the headline MTB estimate and Thai firms 26.7%, together 81.9%; the Malaysian wave of 2021 and 2022 alone carries 44.1%, and firm-years from 2021 to 2024 carry 87.2% (Table S10). 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 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price rise at S&amp;P 500 inclusion (Shleifer, 1986), part of which reverses within weeks (Harris &amp; Gurel, 1986), our estimates concern lasting revaluation (Chen et al., 2004). 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5. Discussion and Conclusion</w:t>
      </w:r>
    </w:p>
    <w:p>
      <w:pPr>
        <w:spacing w:line="360" w:lineRule="auto" w:after="120" w:before="0"/>
        <w:ind w:firstLine="720"/>
        <w:jc w:val="both"/>
      </w:pPr>
      <w:r>
        <w:rPr/>
        <w:t>The clearest result is an ordering of events: firms entered the scored universe after their MTB ratio and market capitalization had grown faster than those of never-scored firms, and their MTB ratio stopped gaining afterward. The provider may have added firms once they were large and visible enough to matter to its clients, consistent with its higher scores for larger firms (Dobrick et al., 2023; Drempetic et al., 2020), or firms may have become scoreable by reporting, which mandatory disclosure rules make more likely (Krueger et al., 2024), by joining an index, or by issuing equity; the fall in leverage toward the base year fits equity issuance. This ordering does not rest on parallel trends or on the dating of publication, although its size depends on conditioning on base-year size: without covariates, the MTB run-up is 6.6% (pre-trend p = 0.028). 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 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t>The absence of a detected gain fits the evidence on certification by sustainability indices (Durand et al., 2019; Hawn et al., 2018) and contrasts with the price effects of MSCI rating changes (Berg, Heeb, et al., 2022; Shanaev &amp; Ghimire, 2022). U.S. 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Berg, Kölbel, et al., 2022; Christensen et al., 2022; Gibson Brandon et al., 2021), entry into one provider's coverage need not change how investors who rely on other ratings value a firm. Scored firms were also large and visible before coverage, which leaves less room for recognition (Merton, 1987). Unlike U.S. evidence that coverage changes firm conduct and payout (Bikmetova &amp; Pirinsky, 2026; Tsang et al., 2024, 2025), we find no detected change in leverage (0.8 percentage points, Holm p = 0.134) and a total-assets increase that loses significance after Holm adjustment. 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report pre-entry dynamics, and record the download date of their rating data. For providers, publishing the date on which each firm's coverage began, with the vintages of revised scores, would separate what was known from what was filled in later. For investors, a portfolio screened on ESG scores in these markets holds firms that, on average, entered coverage after outgrowing their peers. For exchanges, regulators, and listed firms, broad expansions such as the Malaysian wave appear to select less on prior growth, and we detect no MTB gain within them, although the interval (−0.053 to 0.091) admits gains larger than the pooled upper bound; arguments for expanding coverage should therefore rest on grounds other than an expected rise in issuer valuations.</w:t>
      </w:r>
    </w:p>
    <w:p>
      <w:pPr>
        <w:spacing w:line="360" w:lineRule="auto" w:after="120" w:before="0"/>
        <w:ind w:firstLine="720"/>
        <w:jc w:val="both"/>
      </w:pPr>
      <w:r>
        <w:rPr/>
        <w:t>The study has limitations. The post-coverage estimates rest on conditional parallel trends that the pre-coverage estimates question, and our bound is a simplified version of Rambachan and Roth (2023). We observe neither publication dates, returns, ownership, nor index membership, and only LSEG coverage, and flagging implausible market capitalization removes order-of-magnitude recording errors but not smaller ones. 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t>In conclusion, entry into LSEG ESG coverage in five Southeast Asian markets was selective. 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 After entry, the valuation gap stopped widening, but whether coverage itself changed valuations cannot be settled: the answer moves from no detected change to a decline of 6.6% depending on when investors are assumed to have seen the score. 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(2023). </w:t>
      </w:r>
      <w:r>
        <w:rPr>
          <w:i/>
        </w:rPr>
        <w:t>Refinitiv Data Platform ESG bulk point in time user guide</w:t>
      </w:r>
      <w:r>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