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w:t>
      </w:r>
      <w:r>
        <w:rPr>
          <w:color w:val="0000FF"/>
        </w:rPr>
        <w:t>Coverage Selection and Firm Value in Five Southeast Asian Markets." It presents the supplementary tables and figures first and then Appendix A, which discusses additional results.</w:t>
      </w:r>
      <w:r>
        <w:rPr/>
        <w:t xml:space="preserve"> The pre-analysis plan is provided with the replication package.</w:t>
      </w:r>
    </w:p>
    <w:p>
      <w:pPr>
        <w:keepNext/>
        <w:spacing w:line="240" w:lineRule="auto" w:after="120" w:before="240"/>
        <w:jc w:val="center"/>
      </w:pPr>
      <w:r>
        <w:rPr>
          <w:sz w:val="22"/>
        </w:rPr>
        <w:t xml:space="preserve">Table S1. </w:t>
      </w:r>
      <w:r>
        <w:rPr>
          <w:color w:val="0000FF"/>
          <w:sz w:val="22"/>
        </w:rPr>
        <w:t>Number of non-financial firms by year of first recorded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color w:val="0000FF"/>
                <w:sz w:val="18"/>
              </w:rPr>
              <w:t>First recorded score year</w:t>
            </w:r>
          </w:p>
        </w:tc>
        <w:tc>
          <w:tcPr>
            <w:tcW w:type="dxa" w:w="1224"/>
            <w:tcBorders>
              <w:top w:val="single" w:sz="6" w:color="000000"/>
              <w:bottom w:val="single" w:sz="6" w:color="000000"/>
            </w:tcBorders>
          </w:tcPr>
          <w:p>
            <w:pPr>
              <w:keepNext/>
              <w:spacing w:after="0" w:line="240" w:lineRule="auto"/>
              <w:jc w:val="center"/>
            </w:pPr>
            <w:r/>
            <w:r>
              <w:rPr>
                <w:b/>
                <w:sz w:val="18"/>
              </w:rPr>
              <w:t>Indonesia</w:t>
            </w:r>
          </w:p>
        </w:tc>
        <w:tc>
          <w:tcPr>
            <w:tcW w:type="dxa" w:w="1224"/>
            <w:tcBorders>
              <w:top w:val="single" w:sz="6" w:color="000000"/>
              <w:bottom w:val="single" w:sz="6" w:color="000000"/>
            </w:tcBorders>
          </w:tcPr>
          <w:p>
            <w:pPr>
              <w:keepNext/>
              <w:spacing w:after="0" w:line="240" w:lineRule="auto"/>
              <w:jc w:val="center"/>
            </w:pPr>
            <w:r/>
            <w:r>
              <w:rPr>
                <w:b/>
                <w:sz w:val="18"/>
              </w:rPr>
              <w:t>Malaysia</w:t>
            </w:r>
          </w:p>
        </w:tc>
        <w:tc>
          <w:tcPr>
            <w:tcW w:type="dxa" w:w="1296"/>
            <w:tcBorders>
              <w:top w:val="single" w:sz="6" w:color="000000"/>
              <w:bottom w:val="single" w:sz="6" w:color="000000"/>
            </w:tcBorders>
          </w:tcPr>
          <w:p>
            <w:pPr>
              <w:keepNext/>
              <w:spacing w:after="0" w:line="240" w:lineRule="auto"/>
              <w:jc w:val="center"/>
            </w:pPr>
            <w:r/>
            <w:r>
              <w:rPr>
                <w:b/>
                <w:sz w:val="18"/>
              </w:rPr>
              <w:t>Philippines</w:t>
            </w:r>
          </w:p>
        </w:tc>
        <w:tc>
          <w:tcPr>
            <w:tcW w:type="dxa" w:w="1296"/>
            <w:tcBorders>
              <w:top w:val="single" w:sz="6" w:color="000000"/>
              <w:bottom w:val="single" w:sz="6" w:color="000000"/>
            </w:tcBorders>
          </w:tcPr>
          <w:p>
            <w:pPr>
              <w:keepNext/>
              <w:spacing w:after="0" w:line="240" w:lineRule="auto"/>
              <w:jc w:val="center"/>
            </w:pPr>
            <w:r/>
            <w:r>
              <w:rPr>
                <w:b/>
                <w:sz w:val="18"/>
              </w:rPr>
              <w:t>Singapore</w:t>
            </w:r>
          </w:p>
        </w:tc>
        <w:tc>
          <w:tcPr>
            <w:tcW w:type="dxa" w:w="1224"/>
            <w:tcBorders>
              <w:top w:val="single" w:sz="6" w:color="000000"/>
              <w:bottom w:val="single" w:sz="6" w:color="000000"/>
            </w:tcBorders>
          </w:tcPr>
          <w:p>
            <w:pPr>
              <w:keepNext/>
              <w:spacing w:after="0" w:line="240" w:lineRule="auto"/>
              <w:jc w:val="center"/>
            </w:pPr>
            <w:r/>
            <w:r>
              <w:rPr>
                <w:b/>
                <w:sz w:val="18"/>
              </w:rPr>
              <w:t>Thailand</w:t>
            </w:r>
          </w:p>
        </w:tc>
        <w:tc>
          <w:tcPr>
            <w:tcW w:type="dxa" w:w="1080"/>
            <w:tcBorders>
              <w:top w:val="single" w:sz="6" w:color="000000"/>
              <w:bottom w:val="single" w:sz="6" w:color="000000"/>
            </w:tcBorders>
          </w:tcPr>
          <w:p>
            <w:pPr>
              <w:keepNext/>
              <w:spacing w:after="0" w:line="240" w:lineRule="auto"/>
              <w:jc w:val="center"/>
            </w:pPr>
            <w:r/>
            <w:r>
              <w:rPr>
                <w:b/>
                <w:sz w:val="18"/>
              </w:rPr>
              <w:t>Total</w:t>
            </w:r>
          </w:p>
        </w:tc>
      </w:tr>
      <w:tr>
        <w:trPr>
          <w:cantSplit/>
        </w:trPr>
        <w:tc>
          <w:tcPr>
            <w:tcW w:type="dxa" w:w="1872"/>
          </w:tcPr>
          <w:p>
            <w:pPr>
              <w:keepNext/>
              <w:spacing w:after="0" w:line="240" w:lineRule="auto"/>
            </w:pPr>
            <w:r/>
            <w:r>
              <w:rPr>
                <w:b/>
                <w:sz w:val="18"/>
              </w:rPr>
              <w:t>2015</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4</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2016</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9</w:t>
            </w:r>
          </w:p>
        </w:tc>
      </w:tr>
      <w:tr>
        <w:trPr>
          <w:cantSplit/>
        </w:trPr>
        <w:tc>
          <w:tcPr>
            <w:tcW w:type="dxa" w:w="1872"/>
          </w:tcPr>
          <w:p>
            <w:pPr>
              <w:keepNext/>
              <w:spacing w:after="0" w:line="240" w:lineRule="auto"/>
            </w:pPr>
            <w:r/>
            <w:r>
              <w:rPr>
                <w:b/>
                <w:sz w:val="18"/>
              </w:rPr>
              <w:t>2017</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4</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7</w:t>
            </w:r>
          </w:p>
        </w:tc>
      </w:tr>
      <w:tr>
        <w:trPr>
          <w:cantSplit/>
        </w:trPr>
        <w:tc>
          <w:tcPr>
            <w:tcW w:type="dxa" w:w="1872"/>
          </w:tcPr>
          <w:p>
            <w:pPr>
              <w:keepNext/>
              <w:spacing w:after="0" w:line="240" w:lineRule="auto"/>
            </w:pPr>
            <w:r/>
            <w:r>
              <w:rPr>
                <w:b/>
                <w:sz w:val="18"/>
              </w:rPr>
              <w:t>2018</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3</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2019</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9</w:t>
            </w:r>
          </w:p>
        </w:tc>
        <w:tc>
          <w:tcPr>
            <w:tcW w:type="dxa" w:w="1224"/>
          </w:tcPr>
          <w:p>
            <w:pPr>
              <w:keepNext/>
              <w:spacing w:after="0" w:line="240" w:lineRule="auto"/>
              <w:jc w:val="center"/>
            </w:pPr>
            <w:r/>
            <w:r>
              <w:rPr>
                <w:sz w:val="18"/>
              </w:rPr>
              <w:t>18</w:t>
            </w:r>
          </w:p>
        </w:tc>
        <w:tc>
          <w:tcPr>
            <w:tcW w:type="dxa" w:w="1080"/>
          </w:tcPr>
          <w:p>
            <w:pPr>
              <w:keepNext/>
              <w:spacing w:after="0" w:line="240" w:lineRule="auto"/>
              <w:jc w:val="center"/>
            </w:pPr>
            <w:r/>
            <w:r>
              <w:rPr>
                <w:sz w:val="18"/>
              </w:rPr>
              <w:t>30</w:t>
            </w:r>
          </w:p>
        </w:tc>
      </w:tr>
      <w:tr>
        <w:trPr>
          <w:cantSplit/>
        </w:trPr>
        <w:tc>
          <w:tcPr>
            <w:tcW w:type="dxa" w:w="1872"/>
          </w:tcPr>
          <w:p>
            <w:pPr>
              <w:keepNext/>
              <w:spacing w:after="0" w:line="240" w:lineRule="auto"/>
            </w:pPr>
            <w:r/>
            <w:r>
              <w:rPr>
                <w:b/>
                <w:sz w:val="18"/>
              </w:rPr>
              <w:t>2020</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5</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34</w:t>
            </w:r>
          </w:p>
        </w:tc>
        <w:tc>
          <w:tcPr>
            <w:tcW w:type="dxa" w:w="1224"/>
          </w:tcPr>
          <w:p>
            <w:pPr>
              <w:keepNext/>
              <w:spacing w:after="0" w:line="240" w:lineRule="auto"/>
              <w:jc w:val="center"/>
            </w:pPr>
            <w:r/>
            <w:r>
              <w:rPr>
                <w:sz w:val="18"/>
              </w:rPr>
              <w:t>47</w:t>
            </w:r>
          </w:p>
        </w:tc>
        <w:tc>
          <w:tcPr>
            <w:tcW w:type="dxa" w:w="1080"/>
          </w:tcPr>
          <w:p>
            <w:pPr>
              <w:keepNext/>
              <w:spacing w:after="0" w:line="240" w:lineRule="auto"/>
              <w:jc w:val="center"/>
            </w:pPr>
            <w:r/>
            <w:r>
              <w:rPr>
                <w:sz w:val="18"/>
              </w:rPr>
              <w:t>90</w:t>
            </w:r>
          </w:p>
        </w:tc>
      </w:tr>
      <w:tr>
        <w:trPr>
          <w:cantSplit/>
        </w:trPr>
        <w:tc>
          <w:tcPr>
            <w:tcW w:type="dxa" w:w="1872"/>
          </w:tcPr>
          <w:p>
            <w:pPr>
              <w:keepNext/>
              <w:spacing w:after="0" w:line="240" w:lineRule="auto"/>
            </w:pPr>
            <w:r/>
            <w:r>
              <w:rPr>
                <w:b/>
                <w:sz w:val="18"/>
              </w:rPr>
              <w:t>2021</w:t>
            </w:r>
          </w:p>
        </w:tc>
        <w:tc>
          <w:tcPr>
            <w:tcW w:type="dxa" w:w="1224"/>
          </w:tcPr>
          <w:p>
            <w:pPr>
              <w:keepNext/>
              <w:spacing w:after="0" w:line="240" w:lineRule="auto"/>
              <w:jc w:val="center"/>
            </w:pPr>
            <w:r/>
            <w:r>
              <w:rPr>
                <w:sz w:val="18"/>
              </w:rPr>
              <w:t>6</w:t>
            </w:r>
          </w:p>
        </w:tc>
        <w:tc>
          <w:tcPr>
            <w:tcW w:type="dxa" w:w="1224"/>
          </w:tcPr>
          <w:p>
            <w:pPr>
              <w:keepNext/>
              <w:spacing w:after="0" w:line="240" w:lineRule="auto"/>
              <w:jc w:val="center"/>
            </w:pPr>
            <w:r/>
            <w:r>
              <w:rPr>
                <w:sz w:val="18"/>
              </w:rPr>
              <w:t>96</w:t>
            </w:r>
          </w:p>
        </w:tc>
        <w:tc>
          <w:tcPr>
            <w:tcW w:type="dxa" w:w="1296"/>
          </w:tcPr>
          <w:p>
            <w:pPr>
              <w:keepNext/>
              <w:spacing w:after="0" w:line="240" w:lineRule="auto"/>
              <w:jc w:val="center"/>
            </w:pPr>
            <w:r/>
            <w:r>
              <w:rPr>
                <w:sz w:val="18"/>
              </w:rPr>
              <w:t>5</w:t>
            </w:r>
          </w:p>
        </w:tc>
        <w:tc>
          <w:tcPr>
            <w:tcW w:type="dxa" w:w="1296"/>
          </w:tcPr>
          <w:p>
            <w:pPr>
              <w:keepNext/>
              <w:spacing w:after="0" w:line="240" w:lineRule="auto"/>
              <w:jc w:val="center"/>
            </w:pPr>
            <w:r/>
            <w:r>
              <w:rPr>
                <w:sz w:val="18"/>
              </w:rPr>
              <w:t>3</w:t>
            </w:r>
          </w:p>
        </w:tc>
        <w:tc>
          <w:tcPr>
            <w:tcW w:type="dxa" w:w="1224"/>
          </w:tcPr>
          <w:p>
            <w:pPr>
              <w:keepNext/>
              <w:spacing w:after="0" w:line="240" w:lineRule="auto"/>
              <w:jc w:val="center"/>
            </w:pPr>
            <w:r/>
            <w:r>
              <w:rPr>
                <w:sz w:val="18"/>
              </w:rPr>
              <w:t>31</w:t>
            </w:r>
          </w:p>
        </w:tc>
        <w:tc>
          <w:tcPr>
            <w:tcW w:type="dxa" w:w="1080"/>
          </w:tcPr>
          <w:p>
            <w:pPr>
              <w:keepNext/>
              <w:spacing w:after="0" w:line="240" w:lineRule="auto"/>
              <w:jc w:val="center"/>
            </w:pPr>
            <w:r/>
            <w:r>
              <w:rPr>
                <w:sz w:val="18"/>
              </w:rPr>
              <w:t>141</w:t>
            </w:r>
          </w:p>
        </w:tc>
      </w:tr>
      <w:tr>
        <w:trPr>
          <w:cantSplit/>
        </w:trPr>
        <w:tc>
          <w:tcPr>
            <w:tcW w:type="dxa" w:w="1872"/>
          </w:tcPr>
          <w:p>
            <w:pPr>
              <w:keepNext/>
              <w:spacing w:after="0" w:line="240" w:lineRule="auto"/>
            </w:pPr>
            <w:r/>
            <w:r>
              <w:rPr>
                <w:b/>
                <w:sz w:val="18"/>
              </w:rPr>
              <w:t>2022</w:t>
            </w:r>
          </w:p>
        </w:tc>
        <w:tc>
          <w:tcPr>
            <w:tcW w:type="dxa" w:w="1224"/>
          </w:tcPr>
          <w:p>
            <w:pPr>
              <w:keepNext/>
              <w:spacing w:after="0" w:line="240" w:lineRule="auto"/>
              <w:jc w:val="center"/>
            </w:pPr>
            <w:r/>
            <w:r>
              <w:rPr>
                <w:sz w:val="18"/>
              </w:rPr>
              <w:t>13</w:t>
            </w:r>
          </w:p>
        </w:tc>
        <w:tc>
          <w:tcPr>
            <w:tcW w:type="dxa" w:w="1224"/>
          </w:tcPr>
          <w:p>
            <w:pPr>
              <w:keepNext/>
              <w:spacing w:after="0" w:line="240" w:lineRule="auto"/>
              <w:jc w:val="center"/>
            </w:pPr>
            <w:r/>
            <w:r>
              <w:rPr>
                <w:sz w:val="18"/>
              </w:rPr>
              <w:t>193</w:t>
            </w:r>
          </w:p>
        </w:tc>
        <w:tc>
          <w:tcPr>
            <w:tcW w:type="dxa" w:w="1296"/>
          </w:tcPr>
          <w:p>
            <w:pPr>
              <w:keepNext/>
              <w:spacing w:after="0" w:line="240" w:lineRule="auto"/>
              <w:jc w:val="center"/>
            </w:pPr>
            <w:r/>
            <w:r>
              <w:rPr>
                <w:sz w:val="18"/>
              </w:rPr>
              <w:t>4</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26</w:t>
            </w:r>
          </w:p>
        </w:tc>
        <w:tc>
          <w:tcPr>
            <w:tcW w:type="dxa" w:w="1080"/>
          </w:tcPr>
          <w:p>
            <w:pPr>
              <w:keepNext/>
              <w:spacing w:after="0" w:line="240" w:lineRule="auto"/>
              <w:jc w:val="center"/>
            </w:pPr>
            <w:r/>
            <w:r>
              <w:rPr>
                <w:sz w:val="18"/>
              </w:rPr>
              <w:t>237</w:t>
            </w:r>
          </w:p>
        </w:tc>
      </w:tr>
      <w:tr>
        <w:trPr>
          <w:cantSplit/>
        </w:trPr>
        <w:tc>
          <w:tcPr>
            <w:tcW w:type="dxa" w:w="1872"/>
          </w:tcPr>
          <w:p>
            <w:pPr>
              <w:keepNext/>
              <w:spacing w:after="0" w:line="240" w:lineRule="auto"/>
            </w:pPr>
            <w:r/>
            <w:r>
              <w:rPr>
                <w:b/>
                <w:sz w:val="18"/>
              </w:rPr>
              <w:t>2023</w:t>
            </w:r>
          </w:p>
        </w:tc>
        <w:tc>
          <w:tcPr>
            <w:tcW w:type="dxa" w:w="1224"/>
          </w:tcPr>
          <w:p>
            <w:pPr>
              <w:keepNext/>
              <w:spacing w:after="0" w:line="240" w:lineRule="auto"/>
              <w:jc w:val="center"/>
            </w:pPr>
            <w:r/>
            <w:r>
              <w:rPr>
                <w:sz w:val="18"/>
              </w:rPr>
              <w:t>8</w:t>
            </w:r>
          </w:p>
        </w:tc>
        <w:tc>
          <w:tcPr>
            <w:tcW w:type="dxa" w:w="1224"/>
          </w:tcPr>
          <w:p>
            <w:pPr>
              <w:keepNext/>
              <w:spacing w:after="0" w:line="240" w:lineRule="auto"/>
              <w:jc w:val="center"/>
            </w:pPr>
            <w:r/>
            <w:r>
              <w:rPr>
                <w:sz w:val="18"/>
              </w:rPr>
              <w:t>83</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24"/>
          </w:tcPr>
          <w:p>
            <w:pPr>
              <w:keepNext/>
              <w:spacing w:after="0" w:line="240" w:lineRule="auto"/>
              <w:jc w:val="center"/>
            </w:pPr>
            <w:r/>
            <w:r>
              <w:rPr>
                <w:sz w:val="18"/>
              </w:rPr>
              <w:t>16</w:t>
            </w:r>
          </w:p>
        </w:tc>
        <w:tc>
          <w:tcPr>
            <w:tcW w:type="dxa" w:w="1080"/>
          </w:tcPr>
          <w:p>
            <w:pPr>
              <w:keepNext/>
              <w:spacing w:after="0" w:line="240" w:lineRule="auto"/>
              <w:jc w:val="center"/>
            </w:pPr>
            <w:r/>
            <w:r>
              <w:rPr>
                <w:sz w:val="18"/>
              </w:rPr>
              <w:t>109</w:t>
            </w:r>
          </w:p>
        </w:tc>
      </w:tr>
      <w:tr>
        <w:trPr>
          <w:cantSplit/>
        </w:trPr>
        <w:tc>
          <w:tcPr>
            <w:tcW w:type="dxa" w:w="1872"/>
            <w:tcBorders>
              <w:bottom w:val="single" w:sz="6" w:color="000000"/>
            </w:tcBorders>
          </w:tcPr>
          <w:p>
            <w:pPr>
              <w:spacing w:after="0" w:line="240" w:lineRule="auto"/>
            </w:pPr>
            <w:r/>
            <w:r>
              <w:rPr>
                <w:b/>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spacing w:line="240" w:lineRule="auto" w:after="40" w:before="280"/>
        <w:jc w:val="both"/>
      </w:pPr>
      <w:r>
        <w:rPr>
          <w:sz w:val="18"/>
        </w:rPr>
        <w:t>Note: Firms first scored in 2014 are excluded because they have no pre-coverage year.</w:t>
      </w:r>
    </w:p>
    <w:p>
      <w:pPr>
        <w:keepNext/>
        <w:spacing w:line="240" w:lineRule="auto" w:after="120" w:before="240"/>
        <w:jc w:val="center"/>
      </w:pPr>
      <w:r>
        <w:rPr>
          <w:sz w:val="22"/>
        </w:rPr>
        <w:t xml:space="preserve">Figure S1. </w:t>
      </w:r>
      <w:r>
        <w:rPr>
          <w:color w:val="0000FF"/>
          <w:sz w:val="22"/>
        </w:rPr>
        <w:t>Number of non-financial firms by year of first recorded LSEG ESG score</w:t>
      </w:r>
    </w:p>
    <w:p>
      <w:pPr>
        <w:keepNext/>
        <w:jc w:val="center"/>
      </w:pPr>
      <w:r>
        <w:drawing>
          <wp:inline xmlns:a="http://schemas.openxmlformats.org/drawingml/2006/main" xmlns:pic="http://schemas.openxmlformats.org/drawingml/2006/picture">
            <wp:extent cx="5943600" cy="310896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108960"/>
                    </a:xfrm>
                    <a:prstGeom prst="rect"/>
                  </pic:spPr>
                </pic:pic>
              </a:graphicData>
            </a:graphic>
          </wp:inline>
        </w:drawing>
      </w:r>
    </w:p>
    <w:p>
      <w:pPr>
        <w:spacing w:line="240" w:lineRule="auto" w:after="40" w:before="280"/>
        <w:jc w:val="both"/>
      </w:pPr>
      <w:r>
        <w:rPr>
          <w:color w:val="0000FF"/>
          <w:sz w:val="18"/>
        </w:rPr>
        <w:t>Note: Firms in the estimation sample, all five markets combined.</w:t>
      </w:r>
    </w:p>
    <w:p>
      <w:pPr>
        <w:keepNext/>
        <w:spacing w:line="240" w:lineRule="auto" w:after="120" w:before="240"/>
        <w:jc w:val="center"/>
      </w:pPr>
      <w:r>
        <w:rPr>
          <w:sz w:val="22"/>
        </w:rPr>
        <w:t>Table S2.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1440"/>
            <w:tcBorders>
              <w:top w:val="single" w:sz="6" w:color="000000"/>
              <w:bottom w:val="single" w:sz="6" w:color="000000"/>
            </w:tcBorders>
          </w:tcPr>
          <w:p>
            <w:pPr>
              <w:keepNext/>
              <w:spacing w:after="0" w:line="240" w:lineRule="auto"/>
              <w:jc w:val="center"/>
            </w:pPr>
            <w:r/>
            <w:r>
              <w:rPr>
                <w:b/>
                <w:sz w:val="18"/>
              </w:rPr>
              <w:t>Scored firm-years</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c>
          <w:tcPr>
            <w:tcW w:type="dxa" w:w="1440"/>
            <w:tcBorders>
              <w:top w:val="single" w:sz="6" w:color="000000"/>
              <w:bottom w:val="single" w:sz="6" w:color="000000"/>
            </w:tcBorders>
          </w:tcPr>
          <w:p>
            <w:pPr>
              <w:keepNext/>
              <w:spacing w:after="0" w:line="240" w:lineRule="auto"/>
              <w:jc w:val="center"/>
            </w:pPr>
            <w:r/>
            <w:r>
              <w:rPr>
                <w:b/>
                <w:sz w:val="18"/>
              </w:rPr>
              <w:t>Never-scored firm-years</w:t>
            </w:r>
          </w:p>
        </w:tc>
        <w:tc>
          <w:tcPr>
            <w:tcW w:type="dxa" w:w="1296"/>
            <w:tcBorders>
              <w:top w:val="single" w:sz="6" w:color="000000"/>
              <w:bottom w:val="single" w:sz="6" w:color="000000"/>
            </w:tcBorders>
          </w:tcPr>
          <w:p>
            <w:pPr>
              <w:keepNext/>
              <w:spacing w:after="0" w:line="240" w:lineRule="auto"/>
              <w:jc w:val="center"/>
            </w:pPr>
            <w:r/>
            <w:r>
              <w:rPr>
                <w:b/>
                <w:sz w:val="18"/>
              </w:rPr>
              <w:t>Never-scored firms</w:t>
            </w:r>
          </w:p>
        </w:tc>
        <w:tc>
          <w:tcPr>
            <w:tcW w:type="dxa" w:w="1440"/>
            <w:tcBorders>
              <w:top w:val="single" w:sz="6" w:color="000000"/>
              <w:bottom w:val="single" w:sz="6" w:color="000000"/>
            </w:tcBorders>
          </w:tcPr>
          <w:p>
            <w:pPr>
              <w:keepNext/>
              <w:spacing w:after="0" w:line="240" w:lineRule="auto"/>
              <w:jc w:val="center"/>
            </w:pPr>
            <w:r/>
            <w:r>
              <w:rPr>
                <w:b/>
                <w:sz w:val="18"/>
              </w:rPr>
              <w:t>Share missing</w:t>
            </w:r>
          </w:p>
        </w:tc>
      </w:tr>
      <w:tr>
        <w:trPr>
          <w:cantSplit/>
        </w:trPr>
        <w:tc>
          <w:tcPr>
            <w:tcW w:type="dxa" w:w="2448"/>
          </w:tcPr>
          <w:p>
            <w:pPr>
              <w:keepNext/>
              <w:spacing w:after="0" w:line="240" w:lineRule="auto"/>
            </w:pPr>
            <w:r/>
            <w:r>
              <w:rPr>
                <w:b/>
                <w:sz w:val="18"/>
              </w:rPr>
              <w:t>ln(MTB)</w:t>
            </w:r>
          </w:p>
        </w:tc>
        <w:tc>
          <w:tcPr>
            <w:tcW w:type="dxa" w:w="1440"/>
          </w:tcPr>
          <w:p>
            <w:pPr>
              <w:keepNext/>
              <w:spacing w:after="0" w:line="240" w:lineRule="auto"/>
              <w:jc w:val="center"/>
            </w:pPr>
            <w:r/>
            <w:r>
              <w:rPr>
                <w:sz w:val="18"/>
              </w:rPr>
              <w:t>6,482</w:t>
            </w:r>
          </w:p>
        </w:tc>
        <w:tc>
          <w:tcPr>
            <w:tcW w:type="dxa" w:w="1296"/>
          </w:tcPr>
          <w:p>
            <w:pPr>
              <w:keepNext/>
              <w:spacing w:after="0" w:line="240" w:lineRule="auto"/>
              <w:jc w:val="center"/>
            </w:pPr>
            <w:r/>
            <w:r>
              <w:rPr>
                <w:sz w:val="18"/>
              </w:rPr>
              <w:t>674</w:t>
            </w:r>
          </w:p>
        </w:tc>
        <w:tc>
          <w:tcPr>
            <w:tcW w:type="dxa" w:w="1440"/>
          </w:tcPr>
          <w:p>
            <w:pPr>
              <w:keepNext/>
              <w:spacing w:after="0" w:line="240" w:lineRule="auto"/>
              <w:jc w:val="center"/>
            </w:pPr>
            <w:r/>
            <w:r>
              <w:rPr>
                <w:sz w:val="18"/>
              </w:rPr>
              <w:t>20,706</w:t>
            </w:r>
          </w:p>
        </w:tc>
        <w:tc>
          <w:tcPr>
            <w:tcW w:type="dxa" w:w="1296"/>
          </w:tcPr>
          <w:p>
            <w:pPr>
              <w:keepNext/>
              <w:spacing w:after="0" w:line="240" w:lineRule="auto"/>
              <w:jc w:val="center"/>
            </w:pPr>
            <w:r/>
            <w:r>
              <w:rPr>
                <w:sz w:val="18"/>
              </w:rPr>
              <w:t>2,552</w:t>
            </w:r>
          </w:p>
        </w:tc>
        <w:tc>
          <w:tcPr>
            <w:tcW w:type="dxa" w:w="1440"/>
          </w:tcPr>
          <w:p>
            <w:pPr>
              <w:keepNext/>
              <w:spacing w:after="0" w:line="240" w:lineRule="auto"/>
              <w:jc w:val="center"/>
            </w:pPr>
            <w:r/>
            <w:r>
              <w:rPr>
                <w:color w:val="0000FF"/>
                <w:sz w:val="18"/>
              </w:rPr>
              <w:t>0.164</w:t>
            </w:r>
          </w:p>
        </w:tc>
      </w:tr>
      <w:tr>
        <w:trPr>
          <w:cantSplit/>
        </w:trPr>
        <w:tc>
          <w:tcPr>
            <w:tcW w:type="dxa" w:w="2448"/>
          </w:tcPr>
          <w:p>
            <w:pPr>
              <w:keepNext/>
              <w:spacing w:after="0" w:line="240" w:lineRule="auto"/>
            </w:pPr>
            <w:r/>
            <w:r>
              <w:rPr>
                <w:b/>
                <w:sz w:val="18"/>
              </w:rPr>
              <w:t>ln(market cap)</w:t>
            </w:r>
          </w:p>
        </w:tc>
        <w:tc>
          <w:tcPr>
            <w:tcW w:type="dxa" w:w="1440"/>
          </w:tcPr>
          <w:p>
            <w:pPr>
              <w:keepNext/>
              <w:spacing w:after="0" w:line="240" w:lineRule="auto"/>
              <w:jc w:val="center"/>
            </w:pPr>
            <w:r/>
            <w:r>
              <w:rPr>
                <w:sz w:val="18"/>
              </w:rPr>
              <w:t>6,710</w:t>
            </w:r>
          </w:p>
        </w:tc>
        <w:tc>
          <w:tcPr>
            <w:tcW w:type="dxa" w:w="1296"/>
          </w:tcPr>
          <w:p>
            <w:pPr>
              <w:keepNext/>
              <w:spacing w:after="0" w:line="240" w:lineRule="auto"/>
              <w:jc w:val="center"/>
            </w:pPr>
            <w:r/>
            <w:r>
              <w:rPr>
                <w:sz w:val="18"/>
              </w:rPr>
              <w:t>675</w:t>
            </w:r>
          </w:p>
        </w:tc>
        <w:tc>
          <w:tcPr>
            <w:tcW w:type="dxa" w:w="1440"/>
          </w:tcPr>
          <w:p>
            <w:pPr>
              <w:keepNext/>
              <w:spacing w:after="0" w:line="240" w:lineRule="auto"/>
              <w:jc w:val="center"/>
            </w:pPr>
            <w:r/>
            <w:r>
              <w:rPr>
                <w:sz w:val="18"/>
              </w:rPr>
              <w:t>22,417</w:t>
            </w:r>
          </w:p>
        </w:tc>
        <w:tc>
          <w:tcPr>
            <w:tcW w:type="dxa" w:w="1296"/>
          </w:tcPr>
          <w:p>
            <w:pPr>
              <w:keepNext/>
              <w:spacing w:after="0" w:line="240" w:lineRule="auto"/>
              <w:jc w:val="center"/>
            </w:pPr>
            <w:r/>
            <w:r>
              <w:rPr>
                <w:sz w:val="18"/>
              </w:rPr>
              <w:t>2,576</w:t>
            </w:r>
          </w:p>
        </w:tc>
        <w:tc>
          <w:tcPr>
            <w:tcW w:type="dxa" w:w="1440"/>
          </w:tcPr>
          <w:p>
            <w:pPr>
              <w:keepNext/>
              <w:spacing w:after="0" w:line="240" w:lineRule="auto"/>
              <w:jc w:val="center"/>
            </w:pPr>
            <w:r/>
            <w:r>
              <w:rPr>
                <w:color w:val="0000FF"/>
                <w:sz w:val="18"/>
              </w:rPr>
              <w:t>0.104</w:t>
            </w:r>
          </w:p>
        </w:tc>
      </w:tr>
      <w:tr>
        <w:trPr>
          <w:cantSplit/>
        </w:trPr>
        <w:tc>
          <w:tcPr>
            <w:tcW w:type="dxa" w:w="2448"/>
          </w:tcPr>
          <w:p>
            <w:pPr>
              <w:keepNext/>
              <w:spacing w:after="0" w:line="240" w:lineRule="auto"/>
            </w:pPr>
            <w:r/>
            <w:r>
              <w:rPr>
                <w:b/>
                <w:sz w:val="18"/>
              </w:rPr>
              <w:t>Leverage</w:t>
            </w:r>
            <w:r>
              <w:br/>
            </w:r>
            <w:r>
              <w:rPr>
                <w:b/>
                <w:sz w:val="18"/>
              </w:rPr>
              <w:t>(ratio)</w:t>
            </w:r>
          </w:p>
        </w:tc>
        <w:tc>
          <w:tcPr>
            <w:tcW w:type="dxa" w:w="1440"/>
          </w:tcPr>
          <w:p>
            <w:pPr>
              <w:keepNext/>
              <w:spacing w:after="0" w:line="240" w:lineRule="auto"/>
              <w:jc w:val="center"/>
            </w:pPr>
            <w:r/>
            <w:r>
              <w:rPr>
                <w:sz w:val="18"/>
              </w:rPr>
              <w:t>6,524</w:t>
            </w:r>
          </w:p>
        </w:tc>
        <w:tc>
          <w:tcPr>
            <w:tcW w:type="dxa" w:w="1296"/>
          </w:tcPr>
          <w:p>
            <w:pPr>
              <w:keepNext/>
              <w:spacing w:after="0" w:line="240" w:lineRule="auto"/>
              <w:jc w:val="center"/>
            </w:pPr>
            <w:r/>
            <w:r>
              <w:rPr>
                <w:sz w:val="18"/>
              </w:rPr>
              <w:t>672</w:t>
            </w:r>
          </w:p>
        </w:tc>
        <w:tc>
          <w:tcPr>
            <w:tcW w:type="dxa" w:w="1440"/>
          </w:tcPr>
          <w:p>
            <w:pPr>
              <w:keepNext/>
              <w:spacing w:after="0" w:line="240" w:lineRule="auto"/>
              <w:jc w:val="center"/>
            </w:pPr>
            <w:r/>
            <w:r>
              <w:rPr>
                <w:sz w:val="18"/>
              </w:rPr>
              <w:t>22,333</w:t>
            </w:r>
          </w:p>
        </w:tc>
        <w:tc>
          <w:tcPr>
            <w:tcW w:type="dxa" w:w="1296"/>
          </w:tcPr>
          <w:p>
            <w:pPr>
              <w:keepNext/>
              <w:spacing w:after="0" w:line="240" w:lineRule="auto"/>
              <w:jc w:val="center"/>
            </w:pPr>
            <w:r/>
            <w:r>
              <w:rPr>
                <w:sz w:val="18"/>
              </w:rPr>
              <w:t>2,547</w:t>
            </w:r>
          </w:p>
        </w:tc>
        <w:tc>
          <w:tcPr>
            <w:tcW w:type="dxa" w:w="1440"/>
          </w:tcPr>
          <w:p>
            <w:pPr>
              <w:keepNext/>
              <w:spacing w:after="0" w:line="240" w:lineRule="auto"/>
              <w:jc w:val="center"/>
            </w:pPr>
            <w:r/>
            <w:r>
              <w:rPr>
                <w:color w:val="0000FF"/>
                <w:sz w:val="18"/>
              </w:rPr>
              <w:t>0.113</w:t>
            </w:r>
          </w:p>
        </w:tc>
      </w:tr>
      <w:tr>
        <w:trPr>
          <w:cantSplit/>
        </w:trPr>
        <w:tc>
          <w:tcPr>
            <w:tcW w:type="dxa" w:w="2448"/>
            <w:tcBorders>
              <w:bottom w:val="single" w:sz="6" w:color="000000"/>
            </w:tcBorders>
          </w:tcPr>
          <w:p>
            <w:pPr>
              <w:spacing w:after="0" w:line="240" w:lineRule="auto"/>
            </w:pPr>
            <w:r/>
            <w:r>
              <w:rPr>
                <w:b/>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0.024</w:t>
            </w:r>
          </w:p>
        </w:tc>
      </w:tr>
    </w:tbl>
    <w:p>
      <w:pPr>
        <w:spacing w:line="240" w:lineRule="auto" w:after="40" w:before="280"/>
        <w:jc w:val="both"/>
      </w:pPr>
      <w:r>
        <w:rPr>
          <w:color w:val="0000FF"/>
          <w:sz w:val="18"/>
        </w:rPr>
        <w:t>Note: Estimation sample; the last column is the share of listed firm-years with a missing outcome.</w:t>
      </w:r>
    </w:p>
    <w:p>
      <w:pPr>
        <w:keepNext/>
        <w:spacing w:line="240" w:lineRule="auto" w:after="120" w:before="240"/>
        <w:jc w:val="center"/>
      </w:pPr>
      <w:r>
        <w:rPr>
          <w:sz w:val="22"/>
        </w:rPr>
        <w:t>Table S3.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18"/>
              </w:rPr>
              <w:t>Event year</w:t>
            </w:r>
          </w:p>
        </w:tc>
        <w:tc>
          <w:tcPr>
            <w:tcW w:type="dxa" w:w="1872"/>
            <w:tcBorders>
              <w:top w:val="single" w:sz="6" w:color="000000"/>
              <w:bottom w:val="single" w:sz="6" w:color="000000"/>
            </w:tcBorders>
          </w:tcPr>
          <w:p>
            <w:pPr>
              <w:keepNext/>
              <w:spacing w:after="0" w:line="240" w:lineRule="auto"/>
              <w:jc w:val="center"/>
            </w:pPr>
            <w:r/>
            <w:r>
              <w:rPr>
                <w:b/>
                <w:sz w:val="18"/>
              </w:rPr>
              <w:t>Scored firms</w:t>
            </w:r>
          </w:p>
        </w:tc>
        <w:tc>
          <w:tcPr>
            <w:tcW w:type="dxa" w:w="1584"/>
            <w:tcBorders>
              <w:top w:val="single" w:sz="6" w:color="000000"/>
              <w:bottom w:val="single" w:sz="6" w:color="000000"/>
            </w:tcBorders>
          </w:tcPr>
          <w:p>
            <w:pPr>
              <w:keepNext/>
              <w:spacing w:after="0" w:line="240" w:lineRule="auto"/>
              <w:jc w:val="center"/>
            </w:pPr>
            <w:r/>
            <w:r>
              <w:rPr>
                <w:b/>
                <w:sz w:val="18"/>
              </w:rPr>
              <w:t>Cohorts</w:t>
            </w:r>
          </w:p>
        </w:tc>
        <w:tc>
          <w:tcPr>
            <w:tcW w:type="dxa" w:w="3168"/>
            <w:tcBorders>
              <w:top w:val="single" w:sz="6" w:color="000000"/>
              <w:bottom w:val="single" w:sz="6" w:color="000000"/>
            </w:tcBorders>
          </w:tcPr>
          <w:p>
            <w:pPr>
              <w:keepNext/>
              <w:spacing w:after="0" w:line="240" w:lineRule="auto"/>
              <w:jc w:val="center"/>
            </w:pPr>
            <w:r/>
            <w:r>
              <w:rPr>
                <w:b/>
                <w:sz w:val="18"/>
              </w:rPr>
              <w:t>Control firms (range)</w:t>
            </w:r>
          </w:p>
        </w:tc>
      </w:tr>
      <w:tr>
        <w:trPr>
          <w:cantSplit/>
        </w:trPr>
        <w:tc>
          <w:tcPr>
            <w:tcW w:type="dxa" w:w="1728"/>
          </w:tcPr>
          <w:p>
            <w:pPr>
              <w:keepNext/>
              <w:spacing w:after="0" w:line="240" w:lineRule="auto"/>
            </w:pPr>
            <w:r/>
            <w:r>
              <w:rPr>
                <w:b/>
                <w:sz w:val="18"/>
              </w:rPr>
              <w:t>−5</w:t>
            </w:r>
          </w:p>
        </w:tc>
        <w:tc>
          <w:tcPr>
            <w:tcW w:type="dxa" w:w="1872"/>
          </w:tcPr>
          <w:p>
            <w:pPr>
              <w:keepNext/>
              <w:spacing w:after="0" w:line="240" w:lineRule="auto"/>
              <w:jc w:val="center"/>
            </w:pPr>
            <w:r/>
            <w:r>
              <w:rPr>
                <w:sz w:val="18"/>
              </w:rPr>
              <w:t>497</w:t>
            </w:r>
          </w:p>
        </w:tc>
        <w:tc>
          <w:tcPr>
            <w:tcW w:type="dxa" w:w="1584"/>
          </w:tcPr>
          <w:p>
            <w:pPr>
              <w:keepNext/>
              <w:spacing w:after="0" w:line="240" w:lineRule="auto"/>
              <w:jc w:val="center"/>
            </w:pPr>
            <w:r/>
            <w:r>
              <w:rPr>
                <w:sz w:val="18"/>
              </w:rPr>
              <w:t>6</w:t>
            </w:r>
          </w:p>
        </w:tc>
        <w:tc>
          <w:tcPr>
            <w:tcW w:type="dxa" w:w="3168"/>
          </w:tcPr>
          <w:p>
            <w:pPr>
              <w:keepNext/>
              <w:spacing w:after="0" w:line="240" w:lineRule="auto"/>
              <w:jc w:val="center"/>
            </w:pPr>
            <w:r/>
            <w:r>
              <w:rPr>
                <w:sz w:val="18"/>
              </w:rPr>
              <w:t>1,420–1,732</w:t>
            </w:r>
          </w:p>
        </w:tc>
      </w:tr>
      <w:tr>
        <w:trPr>
          <w:cantSplit/>
        </w:trPr>
        <w:tc>
          <w:tcPr>
            <w:tcW w:type="dxa" w:w="1728"/>
          </w:tcPr>
          <w:p>
            <w:pPr>
              <w:keepNext/>
              <w:spacing w:after="0" w:line="240" w:lineRule="auto"/>
            </w:pPr>
            <w:r/>
            <w:r>
              <w:rPr>
                <w:b/>
                <w:sz w:val="18"/>
              </w:rPr>
              <w:t>−4</w:t>
            </w:r>
          </w:p>
        </w:tc>
        <w:tc>
          <w:tcPr>
            <w:tcW w:type="dxa" w:w="1872"/>
          </w:tcPr>
          <w:p>
            <w:pPr>
              <w:keepNext/>
              <w:spacing w:after="0" w:line="240" w:lineRule="auto"/>
              <w:jc w:val="center"/>
            </w:pPr>
            <w:r/>
            <w:r>
              <w:rPr>
                <w:sz w:val="18"/>
              </w:rPr>
              <w:t>521</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1,431–1,800</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549</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1,444–1,899</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581</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1,455–2,065</w:t>
            </w:r>
          </w:p>
        </w:tc>
      </w:tr>
      <w:tr>
        <w:trPr>
          <w:cantSplit/>
        </w:trPr>
        <w:tc>
          <w:tcPr>
            <w:tcW w:type="dxa" w:w="1728"/>
          </w:tcPr>
          <w:p>
            <w:pPr>
              <w:keepNext/>
              <w:spacing w:after="0" w:line="240" w:lineRule="auto"/>
            </w:pPr>
            <w:r/>
            <w:r>
              <w:rPr>
                <w:b/>
                <w:sz w:val="18"/>
              </w:rPr>
              <w:t>0</w:t>
            </w:r>
          </w:p>
        </w:tc>
        <w:tc>
          <w:tcPr>
            <w:tcW w:type="dxa" w:w="1872"/>
          </w:tcPr>
          <w:p>
            <w:pPr>
              <w:keepNext/>
              <w:spacing w:after="0" w:line="240" w:lineRule="auto"/>
              <w:jc w:val="center"/>
            </w:pPr>
            <w:r/>
            <w:r>
              <w:rPr>
                <w:sz w:val="18"/>
              </w:rPr>
              <w:t>615</w:t>
            </w:r>
          </w:p>
        </w:tc>
        <w:tc>
          <w:tcPr>
            <w:tcW w:type="dxa" w:w="1584"/>
          </w:tcPr>
          <w:p>
            <w:pPr>
              <w:keepNext/>
              <w:spacing w:after="0" w:line="240" w:lineRule="auto"/>
              <w:jc w:val="center"/>
            </w:pPr>
            <w:r/>
            <w:r>
              <w:rPr>
                <w:sz w:val="18"/>
              </w:rPr>
              <w:t>10</w:t>
            </w:r>
          </w:p>
        </w:tc>
        <w:tc>
          <w:tcPr>
            <w:tcW w:type="dxa" w:w="3168"/>
          </w:tcPr>
          <w:p>
            <w:pPr>
              <w:keepNext/>
              <w:spacing w:after="0" w:line="240" w:lineRule="auto"/>
              <w:jc w:val="center"/>
            </w:pPr>
            <w:r/>
            <w:r>
              <w:rPr>
                <w:sz w:val="18"/>
              </w:rPr>
              <w:t>1,453–2,189</w:t>
            </w:r>
          </w:p>
        </w:tc>
      </w:tr>
      <w:tr>
        <w:trPr>
          <w:cantSplit/>
        </w:trPr>
        <w:tc>
          <w:tcPr>
            <w:tcW w:type="dxa" w:w="1728"/>
          </w:tcPr>
          <w:p>
            <w:pPr>
              <w:keepNext/>
              <w:spacing w:after="0" w:line="240" w:lineRule="auto"/>
            </w:pPr>
            <w:r/>
            <w:r>
              <w:rPr>
                <w:b/>
                <w:sz w:val="18"/>
              </w:rPr>
              <w:t>1</w:t>
            </w:r>
          </w:p>
        </w:tc>
        <w:tc>
          <w:tcPr>
            <w:tcW w:type="dxa" w:w="1872"/>
          </w:tcPr>
          <w:p>
            <w:pPr>
              <w:keepNext/>
              <w:spacing w:after="0" w:line="240" w:lineRule="auto"/>
              <w:jc w:val="center"/>
            </w:pPr>
            <w:r/>
            <w:r>
              <w:rPr>
                <w:sz w:val="18"/>
              </w:rPr>
              <w:t>578</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1,442–2,034</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483</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1,430–1,895</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270</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1,418–1,796</w:t>
            </w:r>
          </w:p>
        </w:tc>
      </w:tr>
      <w:tr>
        <w:trPr>
          <w:cantSplit/>
        </w:trPr>
        <w:tc>
          <w:tcPr>
            <w:tcW w:type="dxa" w:w="1728"/>
            <w:tcBorders>
              <w:bottom w:val="single" w:sz="6" w:color="000000"/>
            </w:tcBorders>
          </w:tcPr>
          <w:p>
            <w:pPr>
              <w:spacing w:after="0" w:line="240" w:lineRule="auto"/>
            </w:pPr>
            <w:r/>
            <w:r>
              <w:rPr>
                <w:b/>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spacing w:line="240" w:lineRule="auto" w:after="40" w:before="280"/>
        <w:jc w:val="both"/>
      </w:pPr>
      <w:r>
        <w:rPr>
          <w:color w:val="0000FF"/>
          <w:sz w:val="18"/>
        </w:rPr>
        <w:t>Note: Scored firms are summed over cohorts; control firms show the range across cohort cells.</w:t>
      </w:r>
    </w:p>
    <w:p>
      <w:pPr>
        <w:keepNext/>
        <w:spacing w:line="240" w:lineRule="auto" w:after="120" w:before="240"/>
        <w:jc w:val="center"/>
      </w:pPr>
      <w:r>
        <w:rPr>
          <w:sz w:val="22"/>
        </w:rPr>
        <w:t xml:space="preserve">Table S4. </w:t>
      </w:r>
      <w:r>
        <w:rPr>
          <w:color w:val="0000FF"/>
          <w:sz w:val="22"/>
        </w:rPr>
        <w:t>Alternative specifications, inference, and initial-score splits for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080"/>
            <w:tcBorders>
              <w:top w:val="single" w:sz="6" w:color="000000"/>
              <w:bottom w:val="single" w:sz="6" w:color="000000"/>
            </w:tcBorders>
          </w:tcPr>
          <w:p>
            <w:pPr>
              <w:keepNext/>
              <w:spacing w:after="0" w:line="240" w:lineRule="auto"/>
              <w:jc w:val="center"/>
            </w:pPr>
            <w:r/>
            <w:r>
              <w:rPr>
                <w:b/>
                <w:sz w:val="18"/>
              </w:rPr>
              <w:t>Pre-trend p</w:t>
            </w:r>
          </w:p>
        </w:tc>
        <w:tc>
          <w:tcPr>
            <w:tcW w:type="dxa" w:w="1584"/>
            <w:tcBorders>
              <w:top w:val="single" w:sz="6" w:color="000000"/>
              <w:bottom w:val="single" w:sz="6" w:color="000000"/>
            </w:tcBorders>
          </w:tcPr>
          <w:p>
            <w:pPr>
              <w:keepNext/>
              <w:spacing w:after="0" w:line="240" w:lineRule="auto"/>
              <w:jc w:val="center"/>
            </w:pPr>
            <w:r/>
            <w:r>
              <w:rPr>
                <w:b/>
                <w:sz w:val="18"/>
              </w:rPr>
              <w:t>ln(market cap)</w:t>
            </w:r>
          </w:p>
        </w:tc>
        <w:tc>
          <w:tcPr>
            <w:tcW w:type="dxa" w:w="1080"/>
            <w:tcBorders>
              <w:top w:val="single" w:sz="6" w:color="000000"/>
              <w:bottom w:val="single" w:sz="6" w:color="000000"/>
            </w:tcBorders>
          </w:tcPr>
          <w:p>
            <w:pPr>
              <w:keepNext/>
              <w:spacing w:after="0" w:line="240" w:lineRule="auto"/>
              <w:jc w:val="center"/>
            </w:pPr>
            <w:r/>
            <w:r>
              <w:rPr>
                <w:b/>
                <w:sz w:val="18"/>
              </w:rPr>
              <w:t xml:space="preserve">Pre-trend p </w:t>
            </w:r>
          </w:p>
        </w:tc>
      </w:tr>
      <w:tr>
        <w:trPr>
          <w:cantSplit/>
        </w:trPr>
        <w:tc>
          <w:tcPr>
            <w:tcW w:type="dxa" w:w="3312"/>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080"/>
          </w:tcPr>
          <w:p>
            <w:pPr>
              <w:keepNext/>
              <w:spacing w:after="0" w:line="240" w:lineRule="auto"/>
              <w:jc w:val="center"/>
            </w:pPr>
            <w:r/>
            <w:r>
              <w:rPr>
                <w:sz w:val="18"/>
              </w:rPr>
              <w:t>0.074</w:t>
            </w:r>
          </w:p>
        </w:tc>
        <w:tc>
          <w:tcPr>
            <w:tcW w:type="dxa" w:w="1584"/>
          </w:tcPr>
          <w:p>
            <w:pPr>
              <w:keepNext/>
              <w:spacing w:after="0" w:line="240" w:lineRule="auto"/>
              <w:jc w:val="center"/>
            </w:pPr>
            <w:r/>
            <w:r>
              <w:rPr>
                <w:sz w:val="18"/>
              </w:rPr>
              <w:t>−0.055*</w:t>
            </w:r>
            <w:r>
              <w:br/>
            </w:r>
            <w:r>
              <w:rPr>
                <w:sz w:val="18"/>
              </w:rPr>
              <w:t>(0.030)</w:t>
            </w:r>
          </w:p>
        </w:tc>
        <w:tc>
          <w:tcPr>
            <w:tcW w:type="dxa" w:w="1080"/>
          </w:tcPr>
          <w:p>
            <w:pPr>
              <w:keepNext/>
              <w:spacing w:after="0" w:line="240" w:lineRule="auto"/>
              <w:jc w:val="center"/>
            </w:pPr>
            <w:r/>
            <w:r>
              <w:rPr>
                <w:sz w:val="18"/>
              </w:rPr>
              <w:t>0.022</w:t>
            </w:r>
          </w:p>
        </w:tc>
      </w:tr>
      <w:tr>
        <w:trPr>
          <w:cantSplit/>
        </w:trPr>
        <w:tc>
          <w:tcPr>
            <w:tcW w:type="dxa" w:w="3312"/>
          </w:tcPr>
          <w:p>
            <w:pPr>
              <w:keepNext/>
              <w:spacing w:after="0" w:line="240" w:lineRule="auto"/>
            </w:pPr>
            <w:r/>
            <w:r>
              <w:rPr>
                <w:b/>
                <w:sz w:val="18"/>
              </w:rPr>
              <w:t>Baseline, market-by-industry cluster bootstrap</w:t>
            </w:r>
          </w:p>
        </w:tc>
        <w:tc>
          <w:tcPr>
            <w:tcW w:type="dxa" w:w="1584"/>
          </w:tcPr>
          <w:p>
            <w:pPr>
              <w:keepNext/>
              <w:spacing w:after="0" w:line="240" w:lineRule="auto"/>
              <w:jc w:val="center"/>
            </w:pPr>
            <w:r/>
            <w:r>
              <w:rPr>
                <w:sz w:val="18"/>
              </w:rPr>
              <w:t>0.002</w:t>
            </w:r>
            <w:r>
              <w:br/>
            </w:r>
            <w:r>
              <w:rPr>
                <w:sz w:val="18"/>
              </w:rPr>
              <w:t>(0.027)</w:t>
            </w:r>
          </w:p>
        </w:tc>
        <w:tc>
          <w:tcPr>
            <w:tcW w:type="dxa" w:w="1080"/>
          </w:tcPr>
          <w:p>
            <w:pPr>
              <w:keepNext/>
              <w:spacing w:after="0" w:line="240" w:lineRule="auto"/>
              <w:jc w:val="center"/>
            </w:pPr>
            <w:r/>
            <w:r>
              <w:rPr>
                <w:sz w:val="18"/>
              </w:rPr>
              <w:t>0.225</w:t>
            </w:r>
          </w:p>
        </w:tc>
        <w:tc>
          <w:tcPr>
            <w:tcW w:type="dxa" w:w="1584"/>
          </w:tcPr>
          <w:p>
            <w:pPr>
              <w:keepNext/>
              <w:spacing w:after="0" w:line="240" w:lineRule="auto"/>
              <w:jc w:val="center"/>
            </w:pPr>
            <w:r/>
            <w:r>
              <w:rPr>
                <w:sz w:val="18"/>
              </w:rPr>
              <w:t>−0.055</w:t>
            </w:r>
            <w:r>
              <w:br/>
            </w:r>
            <w:r>
              <w:rPr>
                <w:sz w:val="18"/>
              </w:rPr>
              <w:t>(0.037)</w:t>
            </w:r>
          </w:p>
        </w:tc>
        <w:tc>
          <w:tcPr>
            <w:tcW w:type="dxa" w:w="1080"/>
          </w:tcPr>
          <w:p>
            <w:pPr>
              <w:keepNext/>
              <w:spacing w:after="0" w:line="240" w:lineRule="auto"/>
              <w:jc w:val="center"/>
            </w:pPr>
            <w:r/>
            <w:r>
              <w:rPr>
                <w:sz w:val="18"/>
              </w:rPr>
              <w:t>0.001</w:t>
            </w:r>
          </w:p>
        </w:tc>
      </w:tr>
      <w:tr>
        <w:trPr>
          <w:cantSplit/>
        </w:trPr>
        <w:tc>
          <w:tcPr>
            <w:tcW w:type="dxa" w:w="3312"/>
          </w:tcPr>
          <w:p>
            <w:pPr>
              <w:keepNext/>
              <w:spacing w:after="0" w:line="240" w:lineRule="auto"/>
            </w:pPr>
            <w:r/>
            <w:r>
              <w:rPr>
                <w:b/>
                <w:color w:val="0000FF"/>
                <w:sz w:val="18"/>
              </w:rPr>
              <w:t>One year later, market-by-industry cluster bootstrap</w:t>
            </w:r>
          </w:p>
        </w:tc>
        <w:tc>
          <w:tcPr>
            <w:tcW w:type="dxa" w:w="1584"/>
          </w:tcPr>
          <w:p>
            <w:pPr>
              <w:keepNext/>
              <w:spacing w:after="0" w:line="240" w:lineRule="auto"/>
              <w:jc w:val="center"/>
            </w:pPr>
            <w:r/>
            <w:r>
              <w:rPr>
                <w:sz w:val="18"/>
              </w:rPr>
              <w:t>−0.068***</w:t>
            </w:r>
            <w:r>
              <w:br/>
            </w:r>
            <w:r>
              <w:rPr>
                <w:sz w:val="18"/>
              </w:rPr>
              <w:t>(0.026)</w:t>
            </w:r>
          </w:p>
        </w:tc>
        <w:tc>
          <w:tcPr>
            <w:tcW w:type="dxa" w:w="1080"/>
          </w:tcPr>
          <w:p>
            <w:pPr>
              <w:keepNext/>
              <w:spacing w:after="0" w:line="240" w:lineRule="auto"/>
              <w:jc w:val="center"/>
            </w:pPr>
            <w:r/>
            <w:r>
              <w:rPr>
                <w:sz w:val="18"/>
              </w:rPr>
              <w:t>0.237</w:t>
            </w:r>
          </w:p>
        </w:tc>
        <w:tc>
          <w:tcPr>
            <w:tcW w:type="dxa" w:w="1584"/>
          </w:tcPr>
          <w:p>
            <w:pPr>
              <w:keepNext/>
              <w:spacing w:after="0" w:line="240" w:lineRule="auto"/>
              <w:jc w:val="center"/>
            </w:pPr>
            <w:r/>
            <w:r>
              <w:rPr>
                <w:sz w:val="18"/>
              </w:rPr>
              <w:t>−0.073**</w:t>
            </w:r>
            <w:r>
              <w:br/>
            </w:r>
            <w:r>
              <w:rPr>
                <w:sz w:val="18"/>
              </w:rPr>
              <w:t>(0.031)</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080"/>
          </w:tcPr>
          <w:p>
            <w:pPr>
              <w:keepNext/>
              <w:spacing w:after="0" w:line="240" w:lineRule="auto"/>
              <w:jc w:val="center"/>
            </w:pPr>
            <w:r/>
            <w:r>
              <w:rPr>
                <w:sz w:val="18"/>
              </w:rPr>
              <w:t>0.028</w:t>
            </w:r>
          </w:p>
        </w:tc>
        <w:tc>
          <w:tcPr>
            <w:tcW w:type="dxa" w:w="1584"/>
          </w:tcPr>
          <w:p>
            <w:pPr>
              <w:keepNext/>
              <w:spacing w:after="0" w:line="240" w:lineRule="auto"/>
              <w:jc w:val="center"/>
            </w:pPr>
            <w:r/>
            <w:r>
              <w:rPr>
                <w:sz w:val="18"/>
              </w:rPr>
              <w:t>0.016</w:t>
            </w:r>
            <w:r>
              <w:br/>
            </w:r>
            <w:r>
              <w:rPr>
                <w:sz w:val="18"/>
              </w:rPr>
              <w:t>(0.025)</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measured at g − 3</w:t>
            </w:r>
          </w:p>
        </w:tc>
        <w:tc>
          <w:tcPr>
            <w:tcW w:type="dxa" w:w="1584"/>
          </w:tcPr>
          <w:p>
            <w:pPr>
              <w:keepNext/>
              <w:spacing w:after="0" w:line="240" w:lineRule="auto"/>
              <w:jc w:val="center"/>
            </w:pPr>
            <w:r/>
            <w:r>
              <w:rPr>
                <w:sz w:val="18"/>
              </w:rPr>
              <w:t>−0.008</w:t>
            </w:r>
            <w:r>
              <w:br/>
            </w:r>
            <w:r>
              <w:rPr>
                <w:sz w:val="18"/>
              </w:rPr>
              <w:t>(0.025)</w:t>
            </w:r>
          </w:p>
        </w:tc>
        <w:tc>
          <w:tcPr>
            <w:tcW w:type="dxa" w:w="1080"/>
          </w:tcPr>
          <w:p>
            <w:pPr>
              <w:keepNext/>
              <w:spacing w:after="0" w:line="240" w:lineRule="auto"/>
              <w:jc w:val="center"/>
            </w:pPr>
            <w:r/>
            <w:r>
              <w:rPr>
                <w:sz w:val="18"/>
              </w:rPr>
              <w:t>0.176</w:t>
            </w:r>
          </w:p>
        </w:tc>
        <w:tc>
          <w:tcPr>
            <w:tcW w:type="dxa" w:w="1584"/>
          </w:tcPr>
          <w:p>
            <w:pPr>
              <w:keepNext/>
              <w:spacing w:after="0" w:line="240" w:lineRule="auto"/>
              <w:jc w:val="center"/>
            </w:pPr>
            <w:r/>
            <w:r>
              <w:rPr>
                <w:sz w:val="18"/>
              </w:rPr>
              <w:t>−0.059*</w:t>
            </w:r>
            <w:r>
              <w:br/>
            </w:r>
            <w:r>
              <w:rPr>
                <w:sz w:val="18"/>
              </w:rPr>
              <w:t>(0.032)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−0.053*</w:t>
            </w:r>
            <w:r>
              <w:br/>
            </w:r>
            <w:r>
              <w:rPr>
                <w:sz w:val="18"/>
              </w:rPr>
              <w:t>(0.029)</w:t>
            </w:r>
          </w:p>
        </w:tc>
        <w:tc>
          <w:tcPr>
            <w:tcW w:type="dxa" w:w="1080"/>
          </w:tcPr>
          <w:p>
            <w:pPr>
              <w:keepNext/>
              <w:spacing w:after="0" w:line="240" w:lineRule="auto"/>
              <w:jc w:val="center"/>
            </w:pPr>
            <w:r/>
            <w:r>
              <w:rPr>
                <w:sz w:val="18"/>
              </w:rPr>
              <w:t>0.016</w:t>
            </w:r>
          </w:p>
        </w:tc>
      </w:tr>
      <w:tr>
        <w:trPr>
          <w:cantSplit/>
        </w:trPr>
        <w:tc>
          <w:tcPr>
            <w:tcW w:type="dxa" w:w="3312"/>
          </w:tcPr>
          <w:p>
            <w:pPr>
              <w:keepNext/>
              <w:spacing w:after="0" w:line="240" w:lineRule="auto"/>
            </w:pPr>
            <w:r/>
            <w:r>
              <w:rPr>
                <w:b/>
                <w:sz w:val="18"/>
              </w:rPr>
              <w:t>Scored firms within control size range</w:t>
            </w:r>
          </w:p>
        </w:tc>
        <w:tc>
          <w:tcPr>
            <w:tcW w:type="dxa" w:w="1584"/>
          </w:tcPr>
          <w:p>
            <w:pPr>
              <w:keepNext/>
              <w:spacing w:after="0" w:line="240" w:lineRule="auto"/>
              <w:jc w:val="center"/>
            </w:pPr>
            <w:r/>
            <w:r>
              <w:rPr>
                <w:sz w:val="18"/>
              </w:rPr>
              <w:t>−0.021</w:t>
            </w:r>
            <w:r>
              <w:br/>
            </w:r>
            <w:r>
              <w:rPr>
                <w:sz w:val="18"/>
              </w:rPr>
              <w:t>(0.026)</w:t>
            </w:r>
          </w:p>
        </w:tc>
        <w:tc>
          <w:tcPr>
            <w:tcW w:type="dxa" w:w="1080"/>
          </w:tcPr>
          <w:p>
            <w:pPr>
              <w:keepNext/>
              <w:spacing w:after="0" w:line="240" w:lineRule="auto"/>
              <w:jc w:val="center"/>
            </w:pPr>
            <w:r/>
            <w:r>
              <w:rPr>
                <w:sz w:val="18"/>
              </w:rPr>
              <w:t>0.212</w:t>
            </w:r>
          </w:p>
        </w:tc>
        <w:tc>
          <w:tcPr>
            <w:tcW w:type="dxa" w:w="1584"/>
          </w:tcPr>
          <w:p>
            <w:pPr>
              <w:keepNext/>
              <w:spacing w:after="0" w:line="240" w:lineRule="auto"/>
              <w:jc w:val="center"/>
            </w:pPr>
            <w:r/>
            <w:r>
              <w:rPr>
                <w:sz w:val="18"/>
              </w:rPr>
              <w:t>−0.096***</w:t>
            </w:r>
            <w:r>
              <w:br/>
            </w:r>
            <w:r>
              <w:rPr>
                <w:sz w:val="18"/>
              </w:rPr>
              <w:t>(0.035)</w:t>
            </w:r>
          </w:p>
        </w:tc>
        <w:tc>
          <w:tcPr>
            <w:tcW w:type="dxa" w:w="1080"/>
          </w:tcPr>
          <w:p>
            <w:pPr>
              <w:keepNext/>
              <w:spacing w:after="0" w:line="240" w:lineRule="auto"/>
              <w:jc w:val="center"/>
            </w:pPr>
            <w:r/>
            <w:r>
              <w:rPr>
                <w:sz w:val="18"/>
              </w:rPr>
              <w:t>0.133</w:t>
            </w:r>
          </w:p>
        </w:tc>
      </w:tr>
      <w:tr>
        <w:trPr>
          <w:cantSplit/>
        </w:trPr>
        <w:tc>
          <w:tcPr>
            <w:tcW w:type="dxa" w:w="3312"/>
          </w:tcPr>
          <w:p>
            <w:pPr>
              <w:keepNext/>
              <w:spacing w:after="0" w:line="240" w:lineRule="auto"/>
            </w:pPr>
            <w:r/>
            <w:r>
              <w:rPr>
                <w:b/>
                <w:color w:val="0000FF"/>
                <w:sz w:val="18"/>
              </w:rPr>
              <w:t>Dated one year later</w:t>
            </w:r>
          </w:p>
        </w:tc>
        <w:tc>
          <w:tcPr>
            <w:tcW w:type="dxa" w:w="1584"/>
          </w:tcPr>
          <w:p>
            <w:pPr>
              <w:keepNext/>
              <w:spacing w:after="0" w:line="240" w:lineRule="auto"/>
              <w:jc w:val="center"/>
            </w:pPr>
            <w:r/>
            <w:r>
              <w:rPr>
                <w:sz w:val="18"/>
              </w:rPr>
              <w:t>−0.068***</w:t>
            </w:r>
            <w:r>
              <w:br/>
            </w:r>
            <w:r>
              <w:rPr>
                <w:sz w:val="18"/>
              </w:rPr>
              <w:t>(0.024)</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−0.073**</w:t>
            </w:r>
            <w:r>
              <w:br/>
            </w:r>
            <w:r>
              <w:rPr>
                <w:sz w:val="18"/>
              </w:rPr>
              <w:t>(0.030)</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color w:val="0000FF"/>
                <w:sz w:val="18"/>
              </w:rPr>
              <w:t>One year later, size at original g − 1</w:t>
            </w:r>
          </w:p>
        </w:tc>
        <w:tc>
          <w:tcPr>
            <w:tcW w:type="dxa" w:w="1584"/>
          </w:tcPr>
          <w:p>
            <w:pPr>
              <w:keepNext/>
              <w:spacing w:after="0" w:line="240" w:lineRule="auto"/>
              <w:jc w:val="center"/>
            </w:pPr>
            <w:r/>
            <w:r>
              <w:rPr>
                <w:sz w:val="18"/>
              </w:rPr>
              <w:t>−0.074***</w:t>
            </w:r>
            <w:r>
              <w:br/>
            </w:r>
            <w:r>
              <w:rPr>
                <w:sz w:val="18"/>
              </w:rPr>
              <w:t>(0.024)</w:t>
            </w:r>
          </w:p>
        </w:tc>
        <w:tc>
          <w:tcPr>
            <w:tcW w:type="dxa" w:w="1080"/>
          </w:tcPr>
          <w:p>
            <w:pPr>
              <w:keepNext/>
              <w:spacing w:after="0" w:line="240" w:lineRule="auto"/>
              <w:jc w:val="center"/>
            </w:pPr>
            <w:r/>
            <w:r>
              <w:rPr>
                <w:sz w:val="18"/>
              </w:rPr>
              <w:t>0.066</w:t>
            </w:r>
          </w:p>
        </w:tc>
        <w:tc>
          <w:tcPr>
            <w:tcW w:type="dxa" w:w="1584"/>
          </w:tcPr>
          <w:p>
            <w:pPr>
              <w:keepNext/>
              <w:spacing w:after="0" w:line="240" w:lineRule="auto"/>
              <w:jc w:val="center"/>
            </w:pPr>
            <w:r/>
            <w:r>
              <w:rPr>
                <w:sz w:val="18"/>
              </w:rPr>
              <w:t>−0.060**</w:t>
            </w:r>
            <w:r>
              <w:br/>
            </w:r>
            <w:r>
              <w:rPr>
                <w:sz w:val="18"/>
              </w:rPr>
              <w:t>(0.029)</w:t>
            </w:r>
          </w:p>
        </w:tc>
        <w:tc>
          <w:tcPr>
            <w:tcW w:type="dxa" w:w="1080"/>
          </w:tcPr>
          <w:p>
            <w:pPr>
              <w:keepNext/>
              <w:spacing w:after="0" w:line="240" w:lineRule="auto"/>
              <w:jc w:val="center"/>
            </w:pPr>
            <w:r/>
            <w:r>
              <w:rPr>
                <w:sz w:val="18"/>
              </w:rPr>
              <w:t>0.005</w:t>
            </w:r>
          </w:p>
        </w:tc>
      </w:tr>
      <w:tr>
        <w:trPr>
          <w:cantSplit/>
        </w:trPr>
        <w:tc>
          <w:tcPr>
            <w:tcW w:type="dxa" w:w="3312"/>
          </w:tcPr>
          <w:p>
            <w:pPr>
              <w:keepNext/>
              <w:spacing w:after="0" w:line="240" w:lineRule="auto"/>
            </w:pPr>
            <w:r/>
            <w:r>
              <w:rPr>
                <w:b/>
                <w:sz w:val="18"/>
              </w:rPr>
              <w:t>Dated two years later</w:t>
            </w:r>
          </w:p>
        </w:tc>
        <w:tc>
          <w:tcPr>
            <w:tcW w:type="dxa" w:w="1584"/>
          </w:tcPr>
          <w:p>
            <w:pPr>
              <w:keepNext/>
              <w:spacing w:after="0" w:line="240" w:lineRule="auto"/>
              <w:jc w:val="center"/>
            </w:pPr>
            <w:r/>
            <w:r>
              <w:rPr>
                <w:sz w:val="18"/>
              </w:rPr>
              <w:t>−0.048*</w:t>
            </w:r>
            <w:r>
              <w:br/>
            </w:r>
            <w:r>
              <w:rPr>
                <w:sz w:val="18"/>
              </w:rPr>
              <w:t>(0.025)</w:t>
            </w:r>
          </w:p>
        </w:tc>
        <w:tc>
          <w:tcPr>
            <w:tcW w:type="dxa" w:w="1080"/>
          </w:tcPr>
          <w:p>
            <w:pPr>
              <w:keepNext/>
              <w:spacing w:after="0" w:line="240" w:lineRule="auto"/>
              <w:jc w:val="center"/>
            </w:pPr>
            <w:r/>
            <w:r>
              <w:rPr>
                <w:sz w:val="18"/>
              </w:rPr>
              <w:t>0.023</w:t>
            </w:r>
          </w:p>
        </w:tc>
        <w:tc>
          <w:tcPr>
            <w:tcW w:type="dxa" w:w="1584"/>
          </w:tcPr>
          <w:p>
            <w:pPr>
              <w:keepNext/>
              <w:spacing w:after="0" w:line="240" w:lineRule="auto"/>
              <w:jc w:val="center"/>
            </w:pPr>
            <w:r/>
            <w:r>
              <w:rPr>
                <w:sz w:val="18"/>
              </w:rPr>
              <w:t>−0.022</w:t>
            </w:r>
            <w:r>
              <w:br/>
            </w:r>
            <w:r>
              <w:rPr>
                <w:sz w:val="18"/>
              </w:rPr>
              <w:t>(0.028)</w:t>
            </w:r>
          </w:p>
        </w:tc>
        <w:tc>
          <w:tcPr>
            <w:tcW w:type="dxa" w:w="1080"/>
          </w:tcPr>
          <w:p>
            <w:pPr>
              <w:keepNext/>
              <w:spacing w:after="0" w:line="240" w:lineRule="auto"/>
              <w:jc w:val="center"/>
            </w:pPr>
            <w:r/>
            <w:r>
              <w:rPr>
                <w:sz w:val="18"/>
              </w:rPr>
              <w:t>0.076</w:t>
            </w:r>
          </w:p>
        </w:tc>
      </w:tr>
      <w:tr>
        <w:trPr>
          <w:cantSplit/>
        </w:trPr>
        <w:tc>
          <w:tcPr>
            <w:tcW w:type="dxa" w:w="3312"/>
          </w:tcPr>
          <w:p>
            <w:pPr>
              <w:keepNext/>
              <w:spacing w:after="0" w:line="240" w:lineRule="auto"/>
            </w:pPr>
            <w:r/>
            <w:r>
              <w:rPr>
                <w:b/>
                <w:color w:val="0000FF"/>
                <w:sz w:val="18"/>
              </w:rPr>
              <w:t>Malaysia, first recorded 2021–2022</w:t>
            </w:r>
          </w:p>
        </w:tc>
        <w:tc>
          <w:tcPr>
            <w:tcW w:type="dxa" w:w="1584"/>
          </w:tcPr>
          <w:p>
            <w:pPr>
              <w:keepNext/>
              <w:spacing w:after="0" w:line="240" w:lineRule="auto"/>
              <w:jc w:val="center"/>
            </w:pPr>
            <w:r/>
            <w:r>
              <w:rPr>
                <w:sz w:val="18"/>
              </w:rPr>
              <w:t>0.021</w:t>
            </w:r>
            <w:r>
              <w:br/>
            </w:r>
            <w:r>
              <w:rPr>
                <w:sz w:val="18"/>
              </w:rPr>
              <w:t>(0.037)</w:t>
            </w:r>
          </w:p>
        </w:tc>
        <w:tc>
          <w:tcPr>
            <w:tcW w:type="dxa" w:w="1080"/>
          </w:tcPr>
          <w:p>
            <w:pPr>
              <w:keepNext/>
              <w:spacing w:after="0" w:line="240" w:lineRule="auto"/>
              <w:jc w:val="center"/>
            </w:pPr>
            <w:r/>
            <w:r>
              <w:rPr>
                <w:sz w:val="18"/>
              </w:rPr>
              <w:t>0.549</w:t>
            </w:r>
          </w:p>
        </w:tc>
        <w:tc>
          <w:tcPr>
            <w:tcW w:type="dxa" w:w="1584"/>
          </w:tcPr>
          <w:p>
            <w:pPr>
              <w:keepNext/>
              <w:spacing w:after="0" w:line="240" w:lineRule="auto"/>
              <w:jc w:val="center"/>
            </w:pPr>
            <w:r/>
            <w:r>
              <w:rPr>
                <w:sz w:val="18"/>
              </w:rPr>
              <w:t>−0.146***</w:t>
            </w:r>
            <w:r>
              <w:br/>
            </w:r>
            <w:r>
              <w:rPr>
                <w:sz w:val="18"/>
              </w:rPr>
              <w:t>(0.051)</w:t>
            </w:r>
          </w:p>
        </w:tc>
        <w:tc>
          <w:tcPr>
            <w:tcW w:type="dxa" w:w="1080"/>
          </w:tcPr>
          <w:p>
            <w:pPr>
              <w:keepNext/>
              <w:spacing w:after="0" w:line="240" w:lineRule="auto"/>
              <w:jc w:val="center"/>
            </w:pPr>
            <w:r/>
            <w:r>
              <w:rPr>
                <w:sz w:val="18"/>
              </w:rPr>
              <w:t>0.491</w:t>
            </w:r>
          </w:p>
        </w:tc>
      </w:tr>
      <w:tr>
        <w:trPr>
          <w:cantSplit/>
        </w:trPr>
        <w:tc>
          <w:tcPr>
            <w:tcW w:type="dxa" w:w="3312"/>
          </w:tcPr>
          <w:p>
            <w:pPr>
              <w:keepNext/>
              <w:spacing w:after="0" w:line="240" w:lineRule="auto"/>
            </w:pPr>
            <w:r/>
            <w:r>
              <w:rPr>
                <w:b/>
                <w:sz w:val="18"/>
              </w:rPr>
              <w:t>Thailand and Singapore, 2019–2020</w:t>
            </w:r>
          </w:p>
        </w:tc>
        <w:tc>
          <w:tcPr>
            <w:tcW w:type="dxa" w:w="1584"/>
          </w:tcPr>
          <w:p>
            <w:pPr>
              <w:keepNext/>
              <w:spacing w:after="0" w:line="240" w:lineRule="auto"/>
              <w:jc w:val="center"/>
            </w:pPr>
            <w:r/>
            <w:r>
              <w:rPr>
                <w:sz w:val="18"/>
              </w:rPr>
              <w:t>−0.009</w:t>
            </w:r>
            <w:r>
              <w:br/>
            </w:r>
            <w:r>
              <w:rPr>
                <w:sz w:val="18"/>
              </w:rPr>
              <w:t>(0.048)</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0.041</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All other cohorts</w:t>
            </w:r>
          </w:p>
        </w:tc>
        <w:tc>
          <w:tcPr>
            <w:tcW w:type="dxa" w:w="1584"/>
          </w:tcPr>
          <w:p>
            <w:pPr>
              <w:keepNext/>
              <w:spacing w:after="0" w:line="240" w:lineRule="auto"/>
              <w:jc w:val="center"/>
            </w:pPr>
            <w:r/>
            <w:r>
              <w:rPr>
                <w:sz w:val="18"/>
              </w:rPr>
              <w:t>−0.016</w:t>
            </w:r>
            <w:r>
              <w:br/>
            </w:r>
            <w:r>
              <w:rPr>
                <w:sz w:val="18"/>
              </w:rPr>
              <w:t>(0.034)</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0.005</w:t>
            </w:r>
            <w:r>
              <w:br/>
            </w:r>
            <w:r>
              <w:rPr>
                <w:sz w:val="18"/>
              </w:rPr>
              <w:t>(0.037)</w:t>
            </w:r>
          </w:p>
        </w:tc>
        <w:tc>
          <w:tcPr>
            <w:tcW w:type="dxa" w:w="1080"/>
          </w:tcPr>
          <w:p>
            <w:pPr>
              <w:keepNext/>
              <w:spacing w:after="0" w:line="240" w:lineRule="auto"/>
              <w:jc w:val="center"/>
            </w:pPr>
            <w:r/>
            <w:r>
              <w:rPr>
                <w:sz w:val="18"/>
              </w:rPr>
              <w:t>0.652</w:t>
            </w:r>
          </w:p>
        </w:tc>
      </w:tr>
      <w:tr>
        <w:trPr>
          <w:cantSplit/>
        </w:trPr>
        <w:tc>
          <w:tcPr>
            <w:tcW w:type="dxa" w:w="3312"/>
          </w:tcPr>
          <w:p>
            <w:pPr>
              <w:keepNext/>
              <w:spacing w:after="0" w:line="240" w:lineRule="auto"/>
            </w:pPr>
            <w:r/>
            <w:r>
              <w:rPr>
                <w:b/>
                <w:sz w:val="18"/>
              </w:rPr>
              <w:t>Cohorts first scored by 2019</w:t>
            </w:r>
          </w:p>
        </w:tc>
        <w:tc>
          <w:tcPr>
            <w:tcW w:type="dxa" w:w="1584"/>
          </w:tcPr>
          <w:p>
            <w:pPr>
              <w:keepNext/>
              <w:spacing w:after="0" w:line="240" w:lineRule="auto"/>
              <w:jc w:val="center"/>
            </w:pPr>
            <w:r/>
            <w:r>
              <w:rPr>
                <w:sz w:val="18"/>
              </w:rPr>
              <w:t>0.094**</w:t>
            </w:r>
            <w:r>
              <w:br/>
            </w:r>
            <w:r>
              <w:rPr>
                <w:sz w:val="18"/>
              </w:rPr>
              <w:t>(0.047)</w:t>
            </w:r>
          </w:p>
        </w:tc>
        <w:tc>
          <w:tcPr>
            <w:tcW w:type="dxa" w:w="1080"/>
          </w:tcPr>
          <w:p>
            <w:pPr>
              <w:keepNext/>
              <w:spacing w:after="0" w:line="240" w:lineRule="auto"/>
              <w:jc w:val="center"/>
            </w:pPr>
            <w:r/>
            <w:r>
              <w:rPr>
                <w:sz w:val="18"/>
              </w:rPr>
              <w:t>0.003</w:t>
            </w:r>
          </w:p>
        </w:tc>
        <w:tc>
          <w:tcPr>
            <w:tcW w:type="dxa" w:w="1584"/>
          </w:tcPr>
          <w:p>
            <w:pPr>
              <w:keepNext/>
              <w:spacing w:after="0" w:line="240" w:lineRule="auto"/>
              <w:jc w:val="center"/>
            </w:pPr>
            <w:r/>
            <w:r>
              <w:rPr>
                <w:sz w:val="18"/>
              </w:rPr>
              <w:t>0.185***</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Cohorts first scored from 2020</w:t>
            </w:r>
          </w:p>
        </w:tc>
        <w:tc>
          <w:tcPr>
            <w:tcW w:type="dxa" w:w="1584"/>
          </w:tcPr>
          <w:p>
            <w:pPr>
              <w:keepNext/>
              <w:spacing w:after="0" w:line="240" w:lineRule="auto"/>
              <w:jc w:val="center"/>
            </w:pPr>
            <w:r/>
            <w:r>
              <w:rPr>
                <w:sz w:val="18"/>
              </w:rPr>
              <w:t>−0.010</w:t>
            </w:r>
            <w:r>
              <w:br/>
            </w:r>
            <w:r>
              <w:rPr>
                <w:sz w:val="18"/>
              </w:rPr>
              <w:t>(0.026)</w:t>
            </w:r>
          </w:p>
        </w:tc>
        <w:tc>
          <w:tcPr>
            <w:tcW w:type="dxa" w:w="1080"/>
          </w:tcPr>
          <w:p>
            <w:pPr>
              <w:keepNext/>
              <w:spacing w:after="0" w:line="240" w:lineRule="auto"/>
              <w:jc w:val="center"/>
            </w:pPr>
            <w:r/>
            <w:r>
              <w:rPr>
                <w:sz w:val="18"/>
              </w:rPr>
              <w:t>0.199</w:t>
            </w:r>
          </w:p>
        </w:tc>
        <w:tc>
          <w:tcPr>
            <w:tcW w:type="dxa" w:w="1584"/>
          </w:tcPr>
          <w:p>
            <w:pPr>
              <w:keepNext/>
              <w:spacing w:after="0" w:line="240" w:lineRule="auto"/>
              <w:jc w:val="center"/>
            </w:pPr>
            <w:r/>
            <w:r>
              <w:rPr>
                <w:sz w:val="18"/>
              </w:rPr>
              <w:t>−0.087***</w:t>
            </w:r>
            <w:r>
              <w:br/>
            </w:r>
            <w:r>
              <w:rPr>
                <w:sz w:val="18"/>
              </w:rPr>
              <w:t>(0.033)</w:t>
            </w:r>
          </w:p>
        </w:tc>
        <w:tc>
          <w:tcPr>
            <w:tcW w:type="dxa" w:w="1080"/>
          </w:tcPr>
          <w:p>
            <w:pPr>
              <w:keepNext/>
              <w:spacing w:after="0" w:line="240" w:lineRule="auto"/>
              <w:jc w:val="center"/>
            </w:pPr>
            <w:r/>
            <w:r>
              <w:rPr>
                <w:sz w:val="18"/>
              </w:rPr>
              <w:t>0.106</w:t>
            </w:r>
          </w:p>
        </w:tc>
      </w:tr>
      <w:tr>
        <w:trPr>
          <w:cantSplit/>
        </w:trPr>
        <w:tc>
          <w:tcPr>
            <w:tcW w:type="dxa" w:w="3312"/>
          </w:tcPr>
          <w:p>
            <w:pPr>
              <w:keepNext/>
              <w:spacing w:after="0" w:line="240" w:lineRule="auto"/>
            </w:pPr>
            <w:r/>
            <w:r>
              <w:rPr>
                <w:b/>
                <w:sz w:val="18"/>
              </w:rPr>
              <w:t>High residual initial score</w:t>
            </w:r>
          </w:p>
        </w:tc>
        <w:tc>
          <w:tcPr>
            <w:tcW w:type="dxa" w:w="1584"/>
          </w:tcPr>
          <w:p>
            <w:pPr>
              <w:keepNext/>
              <w:spacing w:after="0" w:line="240" w:lineRule="auto"/>
              <w:jc w:val="center"/>
            </w:pPr>
            <w:r/>
            <w:r>
              <w:rPr>
                <w:sz w:val="18"/>
              </w:rPr>
              <w:t>−0.012</w:t>
            </w:r>
            <w:r>
              <w:br/>
            </w:r>
            <w:r>
              <w:rPr>
                <w:sz w:val="18"/>
              </w:rPr>
              <w:t>(0.029)</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−0.051</w:t>
            </w:r>
            <w:r>
              <w:br/>
            </w:r>
            <w:r>
              <w:rPr>
                <w:sz w:val="18"/>
              </w:rPr>
              <w:t>(0.035)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b/>
                <w:sz w:val="18"/>
              </w:rPr>
              <w:t>Low residual initial score</w:t>
            </w:r>
          </w:p>
        </w:tc>
        <w:tc>
          <w:tcPr>
            <w:tcW w:type="dxa" w:w="1584"/>
          </w:tcPr>
          <w:p>
            <w:pPr>
              <w:keepNext/>
              <w:spacing w:after="0" w:line="240" w:lineRule="auto"/>
              <w:jc w:val="center"/>
            </w:pPr>
            <w:r/>
            <w:r>
              <w:rPr>
                <w:sz w:val="18"/>
              </w:rPr>
              <w:t>0.016</w:t>
            </w:r>
            <w:r>
              <w:br/>
            </w:r>
            <w:r>
              <w:rPr>
                <w:sz w:val="18"/>
              </w:rPr>
              <w:t>(0.033)</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−0.059</w:t>
            </w:r>
            <w:r>
              <w:br/>
            </w:r>
            <w:r>
              <w:rPr>
                <w:sz w:val="18"/>
              </w:rPr>
              <w:t>(0.041)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b/>
                <w:sz w:val="18"/>
              </w:rPr>
              <w:t>High minus low</w:t>
            </w:r>
          </w:p>
        </w:tc>
        <w:tc>
          <w:tcPr>
            <w:tcW w:type="dxa" w:w="1584"/>
            <w:tcBorders>
              <w:bottom w:val="single" w:sz="6" w:color="000000"/>
            </w:tcBorders>
          </w:tcPr>
          <w:p>
            <w:pPr>
              <w:spacing w:after="0" w:line="240" w:lineRule="auto"/>
              <w:jc w:val="center"/>
            </w:pPr>
            <w:r/>
            <w:r>
              <w:rPr>
                <w:sz w:val="18"/>
              </w:rPr>
              <w:t>−0.027</w:t>
            </w:r>
            <w:r>
              <w:br/>
            </w:r>
            <w:r>
              <w:rPr>
                <w:sz w:val="18"/>
              </w:rPr>
              <w:t>(0.040)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w:t>
            </w:r>
            <w:r>
              <w:br/>
            </w:r>
            <w:r>
              <w:rPr>
                <w:sz w:val="18"/>
              </w:rPr>
              <w:t>(0.046)</w:t>
            </w:r>
          </w:p>
        </w:tc>
        <w:tc>
          <w:tcPr>
            <w:tcW w:type="dxa" w:w="1080"/>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Exploratory outcome-regression estimates with firm-bootstrap standard errors (cluster bootstrap where labeled) and the joint pre-trend p. *, **, ***: 10%, 5%, 1% (unadjusted).</w:t>
      </w:r>
    </w:p>
    <w:p>
      <w:pPr>
        <w:keepNext/>
        <w:spacing w:line="240" w:lineRule="auto" w:after="120" w:before="240"/>
        <w:jc w:val="center"/>
      </w:pPr>
      <w:r>
        <w:rPr>
          <w:sz w:val="22"/>
        </w:rPr>
        <w:t>Table S5.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18"/>
              </w:rPr>
              <w:t>Estimator</w:t>
            </w:r>
          </w:p>
        </w:tc>
        <w:tc>
          <w:tcPr>
            <w:tcW w:type="dxa" w:w="2016"/>
            <w:tcBorders>
              <w:top w:val="single" w:sz="6" w:color="000000"/>
              <w:bottom w:val="single" w:sz="6" w:color="000000"/>
            </w:tcBorders>
          </w:tcPr>
          <w:p>
            <w:pPr>
              <w:keepNext/>
              <w:spacing w:after="0" w:line="240" w:lineRule="auto"/>
              <w:jc w:val="center"/>
            </w:pPr>
            <w:r/>
            <w:r>
              <w:rPr>
                <w:b/>
                <w:sz w:val="18"/>
              </w:rPr>
              <w:t>ln(MTB)</w:t>
            </w:r>
          </w:p>
        </w:tc>
        <w:tc>
          <w:tcPr>
            <w:tcW w:type="dxa" w:w="2016"/>
            <w:tcBorders>
              <w:top w:val="single" w:sz="6" w:color="000000"/>
              <w:bottom w:val="single" w:sz="6" w:color="000000"/>
            </w:tcBorders>
          </w:tcPr>
          <w:p>
            <w:pPr>
              <w:keepNext/>
              <w:spacing w:after="0" w:line="240" w:lineRule="auto"/>
              <w:jc w:val="center"/>
            </w:pPr>
            <w:r/>
            <w:r>
              <w:rPr>
                <w:b/>
                <w:sz w:val="18"/>
              </w:rPr>
              <w:t>ln(market cap)</w:t>
            </w:r>
          </w:p>
        </w:tc>
      </w:tr>
      <w:tr>
        <w:trPr>
          <w:cantSplit/>
        </w:trPr>
        <w:tc>
          <w:tcPr>
            <w:tcW w:type="dxa" w:w="4320"/>
          </w:tcPr>
          <w:p>
            <w:pPr>
              <w:keepNext/>
              <w:spacing w:after="0" w:line="240" w:lineRule="auto"/>
            </w:pPr>
            <w:r/>
            <w:r>
              <w:rPr>
                <w:b/>
                <w:color w:val="0000FF"/>
                <w:sz w:val="18"/>
              </w:rPr>
              <w:t>Static TWFE, all firm-years</w:t>
            </w:r>
          </w:p>
        </w:tc>
        <w:tc>
          <w:tcPr>
            <w:tcW w:type="dxa" w:w="2016"/>
          </w:tcPr>
          <w:p>
            <w:pPr>
              <w:keepNext/>
              <w:spacing w:after="0" w:line="240" w:lineRule="auto"/>
              <w:jc w:val="center"/>
            </w:pPr>
            <w:r/>
            <w:r>
              <w:rPr>
                <w:sz w:val="18"/>
              </w:rPr>
              <w:t>0.064**</w:t>
            </w:r>
            <w:r>
              <w:br/>
            </w:r>
            <w:r>
              <w:rPr>
                <w:sz w:val="18"/>
              </w:rPr>
              <w:t>(0.026)</w:t>
            </w:r>
          </w:p>
        </w:tc>
        <w:tc>
          <w:tcPr>
            <w:tcW w:type="dxa" w:w="2016"/>
          </w:tcPr>
          <w:p>
            <w:pPr>
              <w:keepNext/>
              <w:spacing w:after="0" w:line="240" w:lineRule="auto"/>
              <w:jc w:val="center"/>
            </w:pPr>
            <w:r/>
            <w:r>
              <w:rPr>
                <w:sz w:val="18"/>
              </w:rPr>
              <w:t>0.185***</w:t>
            </w:r>
            <w:r>
              <w:br/>
            </w:r>
            <w:r>
              <w:rPr>
                <w:sz w:val="18"/>
              </w:rPr>
              <w:t>(0.032)</w:t>
            </w:r>
          </w:p>
        </w:tc>
      </w:tr>
      <w:tr>
        <w:trPr>
          <w:cantSplit/>
        </w:trPr>
        <w:tc>
          <w:tcPr>
            <w:tcW w:type="dxa" w:w="4320"/>
          </w:tcPr>
          <w:p>
            <w:pPr>
              <w:keepNext/>
              <w:spacing w:after="0" w:line="240" w:lineRule="auto"/>
            </w:pPr>
            <w:r/>
            <w:r>
              <w:rPr>
                <w:b/>
                <w:sz w:val="18"/>
              </w:rPr>
              <w:t>Static TWFE, never-scored controls, event years −5 to 3</w:t>
            </w:r>
          </w:p>
        </w:tc>
        <w:tc>
          <w:tcPr>
            <w:tcW w:type="dxa" w:w="2016"/>
          </w:tcPr>
          <w:p>
            <w:pPr>
              <w:keepNext/>
              <w:spacing w:after="0" w:line="240" w:lineRule="auto"/>
              <w:jc w:val="center"/>
            </w:pPr>
            <w:r/>
            <w:r>
              <w:rPr>
                <w:sz w:val="18"/>
              </w:rPr>
              <w:t>0.058**</w:t>
            </w:r>
            <w:r>
              <w:br/>
            </w:r>
            <w:r>
              <w:rPr>
                <w:sz w:val="18"/>
              </w:rPr>
              <w:t>(0.025)</w:t>
            </w:r>
          </w:p>
        </w:tc>
        <w:tc>
          <w:tcPr>
            <w:tcW w:type="dxa" w:w="2016"/>
          </w:tcPr>
          <w:p>
            <w:pPr>
              <w:keepNext/>
              <w:spacing w:after="0" w:line="240" w:lineRule="auto"/>
              <w:jc w:val="center"/>
            </w:pPr>
            <w:r/>
            <w:r>
              <w:rPr>
                <w:sz w:val="18"/>
              </w:rPr>
              <w:t>0.149***</w:t>
            </w:r>
            <w:r>
              <w:br/>
            </w:r>
            <w:r>
              <w:rPr>
                <w:sz w:val="18"/>
              </w:rPr>
              <w:t>(0.030)</w:t>
            </w:r>
          </w:p>
        </w:tc>
      </w:tr>
      <w:tr>
        <w:trPr>
          <w:cantSplit/>
        </w:trPr>
        <w:tc>
          <w:tcPr>
            <w:tcW w:type="dxa" w:w="4320"/>
          </w:tcPr>
          <w:p>
            <w:pPr>
              <w:keepNext/>
              <w:spacing w:after="0" w:line="240" w:lineRule="auto"/>
            </w:pPr>
            <w:r/>
            <w:r>
              <w:rPr>
                <w:b/>
                <w:color w:val="0000FF"/>
                <w:sz w:val="18"/>
              </w:rPr>
              <w:t>Heterogeneity-robust, no covariates</w:t>
            </w:r>
          </w:p>
        </w:tc>
        <w:tc>
          <w:tcPr>
            <w:tcW w:type="dxa" w:w="2016"/>
          </w:tcPr>
          <w:p>
            <w:pPr>
              <w:keepNext/>
              <w:spacing w:after="0" w:line="240" w:lineRule="auto"/>
              <w:jc w:val="center"/>
            </w:pPr>
            <w:r/>
            <w:r>
              <w:rPr>
                <w:sz w:val="18"/>
              </w:rPr>
              <w:t>0.025</w:t>
            </w:r>
            <w:r>
              <w:br/>
            </w:r>
            <w:r>
              <w:rPr>
                <w:sz w:val="18"/>
              </w:rPr>
              <w:t>(0.022)</w:t>
            </w:r>
          </w:p>
        </w:tc>
        <w:tc>
          <w:tcPr>
            <w:tcW w:type="dxa" w:w="2016"/>
          </w:tcPr>
          <w:p>
            <w:pPr>
              <w:keepNext/>
              <w:spacing w:after="0" w:line="240" w:lineRule="auto"/>
              <w:jc w:val="center"/>
            </w:pPr>
            <w:r/>
            <w:r>
              <w:rPr>
                <w:sz w:val="18"/>
              </w:rPr>
              <w:t>0.016</w:t>
            </w:r>
            <w:r>
              <w:br/>
            </w:r>
            <w:r>
              <w:rPr>
                <w:sz w:val="18"/>
              </w:rPr>
              <w:t>(0.025)</w:t>
            </w:r>
          </w:p>
        </w:tc>
      </w:tr>
      <w:tr>
        <w:trPr>
          <w:cantSplit/>
        </w:trPr>
        <w:tc>
          <w:tcPr>
            <w:tcW w:type="dxa" w:w="4320"/>
            <w:tcBorders>
              <w:bottom w:val="single" w:sz="6" w:color="000000"/>
            </w:tcBorders>
          </w:tcPr>
          <w:p>
            <w:pPr>
              <w:spacing w:after="0" w:line="240" w:lineRule="auto"/>
            </w:pPr>
            <w:r/>
            <w:r>
              <w:rPr>
                <w:b/>
                <w:sz w:val="18"/>
              </w:rPr>
              <w:t>Heterogeneity-robust baseline</w:t>
            </w:r>
          </w:p>
        </w:tc>
        <w:tc>
          <w:tcPr>
            <w:tcW w:type="dxa" w:w="2016"/>
            <w:tcBorders>
              <w:bottom w:val="single" w:sz="6" w:color="000000"/>
            </w:tcBorders>
          </w:tcPr>
          <w:p>
            <w:pPr>
              <w:spacing w:after="0" w:line="240" w:lineRule="auto"/>
              <w:jc w:val="center"/>
            </w:pPr>
            <w:r/>
            <w:r>
              <w:rPr>
                <w:sz w:val="18"/>
              </w:rPr>
              <w:t>0.002</w:t>
            </w:r>
            <w:r>
              <w:br/>
            </w:r>
            <w:r>
              <w:rPr>
                <w:sz w:val="18"/>
              </w:rPr>
              <w:t>(0.024)</w:t>
            </w:r>
          </w:p>
        </w:tc>
        <w:tc>
          <w:tcPr>
            <w:tcW w:type="dxa" w:w="2016"/>
            <w:tcBorders>
              <w:bottom w:val="single" w:sz="6" w:color="000000"/>
            </w:tcBorders>
          </w:tcPr>
          <w:p>
            <w:pPr>
              <w:spacing w:after="0" w:line="240" w:lineRule="auto"/>
              <w:jc w:val="center"/>
            </w:pPr>
            <w:r/>
            <w:r>
              <w:rPr>
                <w:sz w:val="18"/>
              </w:rPr>
              <w:t>−0.055*</w:t>
            </w:r>
            <w:r>
              <w:br/>
            </w:r>
            <w:r>
              <w:rPr>
                <w:sz w:val="18"/>
              </w:rPr>
              <w:t>(0.030)</w:t>
            </w:r>
          </w:p>
        </w:tc>
      </w:tr>
    </w:tbl>
    <w:p>
      <w:pPr>
        <w:spacing w:line="240" w:lineRule="auto" w:after="40" w:before="280"/>
        <w:jc w:val="both"/>
      </w:pPr>
      <w:r>
        <w:rPr>
          <w:color w:val="0000FF"/>
          <w:sz w:val="18"/>
        </w:rPr>
        <w:t>Note: Steps from the static TWFE regression to the baseline estimate; standard errors firm-clustered for TWFE, firm-bootstrap otherwise. *, **, ***: 10%, 5%, 1%.</w:t>
      </w:r>
    </w:p>
    <w:p>
      <w:pPr>
        <w:keepNext/>
        <w:spacing w:line="240" w:lineRule="auto" w:after="120" w:before="240"/>
        <w:jc w:val="center"/>
      </w:pPr>
      <w:r>
        <w:rPr>
          <w:color w:val="0000FF"/>
          <w:sz w:val="22"/>
        </w:rPr>
        <w:t>Table S6.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color w:val="0000FF"/>
                <w:sz w:val="18"/>
              </w:rPr>
              <w:t>Wave</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ln(MTB)</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ln(market cap)</w:t>
            </w:r>
          </w:p>
        </w:tc>
      </w:tr>
      <w:tr>
        <w:trPr>
          <w:cantSplit/>
        </w:trPr>
        <w:tc>
          <w:tcPr>
            <w:tcW w:type="dxa" w:w="2736"/>
          </w:tcPr>
          <w:p>
            <w:pPr>
              <w:keepNext/>
              <w:spacing w:after="0" w:line="240" w:lineRule="auto"/>
            </w:pPr>
            <w:r/>
            <w:r>
              <w:rPr>
                <w:b/>
                <w:color w:val="0000FF"/>
                <w:sz w:val="18"/>
              </w:rPr>
              <w:t>Malaysian wave (first recorded 2021–2022)</w:t>
            </w:r>
          </w:p>
        </w:tc>
        <w:tc>
          <w:tcPr>
            <w:tcW w:type="dxa" w:w="1656"/>
          </w:tcPr>
          <w:p>
            <w:pPr>
              <w:keepNext/>
              <w:spacing w:after="0" w:line="240" w:lineRule="auto"/>
              <w:jc w:val="center"/>
            </w:pPr>
            <w:r/>
            <w:r>
              <w:rPr>
                <w:color w:val="0000FF"/>
                <w:sz w:val="18"/>
              </w:rPr>
              <w:t>0.021</w:t>
            </w:r>
            <w:r>
              <w:br/>
            </w:r>
            <w:r>
              <w:rPr>
                <w:color w:val="0000FF"/>
                <w:sz w:val="18"/>
              </w:rPr>
              <w:t>(0.037)</w:t>
            </w:r>
          </w:p>
        </w:tc>
        <w:tc>
          <w:tcPr>
            <w:tcW w:type="dxa" w:w="1656"/>
          </w:tcPr>
          <w:p>
            <w:pPr>
              <w:keepNext/>
              <w:spacing w:after="0" w:line="240" w:lineRule="auto"/>
              <w:jc w:val="center"/>
            </w:pPr>
            <w:r/>
            <w:r>
              <w:rPr>
                <w:color w:val="0000FF"/>
                <w:sz w:val="18"/>
              </w:rPr>
              <w:t>0.012</w:t>
            </w:r>
            <w:r>
              <w:br/>
            </w:r>
            <w:r>
              <w:rPr>
                <w:color w:val="0000FF"/>
                <w:sz w:val="18"/>
              </w:rPr>
              <w:t>(0.033)</w:t>
            </w:r>
          </w:p>
        </w:tc>
        <w:tc>
          <w:tcPr>
            <w:tcW w:type="dxa" w:w="1656"/>
          </w:tcPr>
          <w:p>
            <w:pPr>
              <w:keepNext/>
              <w:spacing w:after="0" w:line="240" w:lineRule="auto"/>
              <w:jc w:val="center"/>
            </w:pPr>
            <w:r/>
            <w:r>
              <w:rPr>
                <w:color w:val="0000FF"/>
                <w:sz w:val="18"/>
              </w:rPr>
              <w:t>−0.146***</w:t>
            </w:r>
            <w:r>
              <w:br/>
            </w:r>
            <w:r>
              <w:rPr>
                <w:color w:val="0000FF"/>
                <w:sz w:val="18"/>
              </w:rPr>
              <w:t>(0.051)</w:t>
            </w:r>
          </w:p>
        </w:tc>
        <w:tc>
          <w:tcPr>
            <w:tcW w:type="dxa" w:w="1656"/>
          </w:tcPr>
          <w:p>
            <w:pPr>
              <w:keepNext/>
              <w:spacing w:after="0" w:line="240" w:lineRule="auto"/>
              <w:jc w:val="center"/>
            </w:pPr>
            <w:r/>
            <w:r>
              <w:rPr>
                <w:color w:val="0000FF"/>
                <w:sz w:val="18"/>
              </w:rPr>
              <w:t>−0.094*</w:t>
            </w:r>
            <w:r>
              <w:br/>
            </w:r>
            <w:r>
              <w:rPr>
                <w:color w:val="0000FF"/>
                <w:sz w:val="18"/>
              </w:rPr>
              <w:t>(0.052)</w:t>
            </w:r>
          </w:p>
        </w:tc>
      </w:tr>
      <w:tr>
        <w:trPr>
          <w:cantSplit/>
        </w:trPr>
        <w:tc>
          <w:tcPr>
            <w:tcW w:type="dxa" w:w="2736"/>
          </w:tcPr>
          <w:p>
            <w:pPr>
              <w:keepNext/>
              <w:spacing w:after="0" w:line="240" w:lineRule="auto"/>
            </w:pPr>
            <w:r/>
            <w:r>
              <w:rPr>
                <w:b/>
                <w:color w:val="0000FF"/>
                <w:sz w:val="18"/>
              </w:rPr>
              <w:t>Thai and Singaporean wave (2019–2020)</w:t>
            </w:r>
          </w:p>
        </w:tc>
        <w:tc>
          <w:tcPr>
            <w:tcW w:type="dxa" w:w="1656"/>
          </w:tcPr>
          <w:p>
            <w:pPr>
              <w:keepNext/>
              <w:spacing w:after="0" w:line="240" w:lineRule="auto"/>
              <w:jc w:val="center"/>
            </w:pPr>
            <w:r/>
            <w:r>
              <w:rPr>
                <w:color w:val="0000FF"/>
                <w:sz w:val="18"/>
              </w:rPr>
              <w:t>−0.009</w:t>
            </w:r>
            <w:r>
              <w:br/>
            </w:r>
            <w:r>
              <w:rPr>
                <w:color w:val="0000FF"/>
                <w:sz w:val="18"/>
              </w:rPr>
              <w:t>(0.048)</w:t>
            </w:r>
          </w:p>
        </w:tc>
        <w:tc>
          <w:tcPr>
            <w:tcW w:type="dxa" w:w="1656"/>
          </w:tcPr>
          <w:p>
            <w:pPr>
              <w:keepNext/>
              <w:spacing w:after="0" w:line="240" w:lineRule="auto"/>
              <w:jc w:val="center"/>
            </w:pPr>
            <w:r/>
            <w:r>
              <w:rPr>
                <w:color w:val="0000FF"/>
                <w:sz w:val="18"/>
              </w:rPr>
              <w:t>−0.136***</w:t>
            </w:r>
            <w:r>
              <w:br/>
            </w:r>
            <w:r>
              <w:rPr>
                <w:color w:val="0000FF"/>
                <w:sz w:val="18"/>
              </w:rPr>
              <w:t>(0.046)</w:t>
            </w:r>
          </w:p>
        </w:tc>
        <w:tc>
          <w:tcPr>
            <w:tcW w:type="dxa" w:w="1656"/>
          </w:tcPr>
          <w:p>
            <w:pPr>
              <w:keepNext/>
              <w:spacing w:after="0" w:line="240" w:lineRule="auto"/>
              <w:jc w:val="center"/>
            </w:pPr>
            <w:r/>
            <w:r>
              <w:rPr>
                <w:color w:val="0000FF"/>
                <w:sz w:val="18"/>
              </w:rPr>
              <w:t>0.041</w:t>
            </w:r>
            <w:r>
              <w:br/>
            </w:r>
            <w:r>
              <w:rPr>
                <w:color w:val="0000FF"/>
                <w:sz w:val="18"/>
              </w:rPr>
              <w:t>(0.052)</w:t>
            </w:r>
          </w:p>
        </w:tc>
        <w:tc>
          <w:tcPr>
            <w:tcW w:type="dxa" w:w="1656"/>
          </w:tcPr>
          <w:p>
            <w:pPr>
              <w:keepNext/>
              <w:spacing w:after="0" w:line="240" w:lineRule="auto"/>
              <w:jc w:val="center"/>
            </w:pPr>
            <w:r/>
            <w:r>
              <w:rPr>
                <w:color w:val="0000FF"/>
                <w:sz w:val="18"/>
              </w:rPr>
              <w:t>−0.038</w:t>
            </w:r>
            <w:r>
              <w:br/>
            </w:r>
            <w:r>
              <w:rPr>
                <w:color w:val="0000FF"/>
                <w:sz w:val="18"/>
              </w:rPr>
              <w:t>(0.053)</w:t>
            </w:r>
          </w:p>
        </w:tc>
      </w:tr>
      <w:tr>
        <w:trPr>
          <w:cantSplit/>
        </w:trPr>
        <w:tc>
          <w:tcPr>
            <w:tcW w:type="dxa" w:w="2736"/>
            <w:tcBorders>
              <w:bottom w:val="single" w:sz="6" w:color="000000"/>
            </w:tcBorders>
          </w:tcPr>
          <w:p>
            <w:pPr>
              <w:spacing w:after="0" w:line="240" w:lineRule="auto"/>
            </w:pPr>
            <w:r/>
            <w:r>
              <w:rPr>
                <w:b/>
                <w:color w:val="0000FF"/>
                <w:sz w:val="18"/>
              </w:rPr>
              <w:t>All other cohorts</w:t>
            </w:r>
          </w:p>
        </w:tc>
        <w:tc>
          <w:tcPr>
            <w:tcW w:type="dxa" w:w="1656"/>
            <w:tcBorders>
              <w:bottom w:val="single" w:sz="6" w:color="000000"/>
            </w:tcBorders>
          </w:tcPr>
          <w:p>
            <w:pPr>
              <w:spacing w:after="0" w:line="240" w:lineRule="auto"/>
              <w:jc w:val="center"/>
            </w:pPr>
            <w:r/>
            <w:r>
              <w:rPr>
                <w:color w:val="0000FF"/>
                <w:sz w:val="18"/>
              </w:rPr>
              <w:t>−0.016</w:t>
            </w:r>
            <w:r>
              <w:br/>
            </w:r>
            <w:r>
              <w:rPr>
                <w:color w:val="0000FF"/>
                <w:sz w:val="18"/>
              </w:rPr>
              <w:t>(0.034)</w:t>
            </w:r>
          </w:p>
        </w:tc>
        <w:tc>
          <w:tcPr>
            <w:tcW w:type="dxa" w:w="1656"/>
            <w:tcBorders>
              <w:bottom w:val="single" w:sz="6" w:color="000000"/>
            </w:tcBorders>
          </w:tcPr>
          <w:p>
            <w:pPr>
              <w:spacing w:after="0" w:line="240" w:lineRule="auto"/>
              <w:jc w:val="center"/>
            </w:pPr>
            <w:r/>
            <w:r>
              <w:rPr>
                <w:color w:val="0000FF"/>
                <w:sz w:val="18"/>
              </w:rPr>
              <w:t>−0.111***</w:t>
            </w:r>
            <w:r>
              <w:br/>
            </w:r>
            <w:r>
              <w:rPr>
                <w:color w:val="0000FF"/>
                <w:sz w:val="18"/>
              </w:rPr>
              <w:t>(0.037)</w:t>
            </w:r>
          </w:p>
        </w:tc>
        <w:tc>
          <w:tcPr>
            <w:tcW w:type="dxa" w:w="1656"/>
            <w:tcBorders>
              <w:bottom w:val="single" w:sz="6" w:color="000000"/>
            </w:tcBorders>
          </w:tcPr>
          <w:p>
            <w:pPr>
              <w:spacing w:after="0" w:line="240" w:lineRule="auto"/>
              <w:jc w:val="center"/>
            </w:pPr>
            <w:r/>
            <w:r>
              <w:rPr>
                <w:color w:val="0000FF"/>
                <w:sz w:val="18"/>
              </w:rPr>
              <w:t>0.005</w:t>
            </w:r>
            <w:r>
              <w:br/>
            </w:r>
            <w:r>
              <w:rPr>
                <w:color w:val="0000FF"/>
                <w:sz w:val="18"/>
              </w:rPr>
              <w:t>(0.037)</w:t>
            </w:r>
          </w:p>
        </w:tc>
        <w:tc>
          <w:tcPr>
            <w:tcW w:type="dxa" w:w="1656"/>
            <w:tcBorders>
              <w:bottom w:val="single" w:sz="6" w:color="000000"/>
            </w:tcBorders>
          </w:tcPr>
          <w:p>
            <w:pPr>
              <w:spacing w:after="0" w:line="240" w:lineRule="auto"/>
              <w:jc w:val="center"/>
            </w:pPr>
            <w:r/>
            <w:r>
              <w:rPr>
                <w:color w:val="0000FF"/>
                <w:sz w:val="18"/>
              </w:rPr>
              <w:t>−0.076*</w:t>
            </w:r>
            <w:r>
              <w:br/>
            </w:r>
            <w:r>
              <w:rPr>
                <w:color w:val="0000FF"/>
                <w:sz w:val="18"/>
              </w:rPr>
              <w:t>(0.040)</w:t>
            </w:r>
          </w:p>
        </w:tc>
      </w:tr>
    </w:tbl>
    <w:p>
      <w:pPr>
        <w:spacing w:line="240" w:lineRule="auto" w:after="40" w:before="280"/>
        <w:jc w:val="both"/>
      </w:pPr>
      <w:r>
        <w:rPr>
          <w:color w:val="0000FF"/>
          <w:sz w:val="18"/>
        </w:rPr>
        <w:t>Note: Outcome regression for each wave against all never-scored firms, with firm-bootstrap standard errors. *, **, ***: 10%, 5%, 1%.</w:t>
      </w:r>
    </w:p>
    <w:p>
      <w:pPr>
        <w:keepNext/>
        <w:spacing w:line="240" w:lineRule="auto" w:after="120" w:before="240"/>
        <w:jc w:val="center"/>
      </w:pPr>
      <w:r>
        <w:rPr>
          <w:sz w:val="22"/>
        </w:rPr>
        <w:t xml:space="preserve">Figure S2. </w:t>
      </w:r>
      <w:r>
        <w:rPr>
          <w:color w:val="0000FF"/>
          <w:sz w:val="22"/>
        </w:rPr>
        <w:t>Event-time changes in ln(MTB) under alternative specifications and dating</w:t>
      </w:r>
    </w:p>
    <w:p>
      <w:pPr>
        <w:keepNext/>
        <w:jc w:val="center"/>
      </w:pPr>
      <w:r>
        <w:drawing>
          <wp:inline xmlns:a="http://schemas.openxmlformats.org/drawingml/2006/main" xmlns:pic="http://schemas.openxmlformats.org/drawingml/2006/picture">
            <wp:extent cx="5943600" cy="585216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5852160"/>
                    </a:xfrm>
                    <a:prstGeom prst="rect"/>
                  </pic:spPr>
                </pic:pic>
              </a:graphicData>
            </a:graphic>
          </wp:inline>
        </w:drawing>
      </w:r>
    </w:p>
    <w:p>
      <w:pPr>
        <w:spacing w:line="240" w:lineRule="auto" w:after="40" w:before="280"/>
        <w:jc w:val="both"/>
      </w:pPr>
      <w:r>
        <w:rPr>
          <w:color w:val="0000FF"/>
          <w:sz w:val="18"/>
        </w:rPr>
        <w:t>Note: Outcome-regression estimates; panel (a) varies the size covariate and support, and panel (b) dates the event one year later.</w:t>
      </w:r>
      <w:r>
        <w:rPr>
          <w:sz w:val="18"/>
        </w:rPr>
        <w:t xml:space="preserve"> </w:t>
      </w:r>
      <w:r>
        <w:rPr>
          <w:color w:val="0000FF"/>
          <w:sz w:val="18"/>
        </w:rPr>
        <w:t>Firm-bootstrap 95% intervals.</w:t>
      </w:r>
    </w:p>
    <w:p>
      <w:pPr>
        <w:keepNext/>
        <w:spacing w:line="240" w:lineRule="auto" w:after="120" w:before="240"/>
        <w:jc w:val="center"/>
      </w:pPr>
      <w:r>
        <w:rPr>
          <w:sz w:val="22"/>
        </w:rPr>
        <w:t xml:space="preserve">Table S7. </w:t>
      </w:r>
      <w:r>
        <w:rPr>
          <w:color w:val="0000FF"/>
          <w:sz w:val="22"/>
        </w:rPr>
        <w:t>Relative-magnitude bounds for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M̄</w:t>
            </w:r>
          </w:p>
        </w:tc>
        <w:tc>
          <w:tcPr>
            <w:tcW w:type="dxa" w:w="1728"/>
            <w:tcBorders>
              <w:top w:val="single" w:sz="6" w:color="000000"/>
              <w:bottom w:val="single" w:sz="6" w:color="000000"/>
            </w:tcBorders>
          </w:tcPr>
          <w:p>
            <w:pPr>
              <w:keepNext/>
              <w:spacing w:after="0" w:line="240" w:lineRule="auto"/>
              <w:jc w:val="center"/>
            </w:pPr>
            <w:r/>
            <w:r>
              <w:rPr>
                <w:b/>
                <w:sz w:val="18"/>
              </w:rPr>
              <w:t>Max pre-period change</w:t>
            </w:r>
          </w:p>
        </w:tc>
        <w:tc>
          <w:tcPr>
            <w:tcW w:type="dxa" w:w="1296"/>
            <w:tcBorders>
              <w:top w:val="single" w:sz="6" w:color="000000"/>
              <w:bottom w:val="single" w:sz="6" w:color="000000"/>
            </w:tcBorders>
          </w:tcPr>
          <w:p>
            <w:pPr>
              <w:keepNext/>
              <w:spacing w:after="0" w:line="240" w:lineRule="auto"/>
              <w:jc w:val="center"/>
            </w:pPr>
            <w:r/>
            <w:r>
              <w:rPr>
                <w:b/>
                <w:sz w:val="18"/>
              </w:rPr>
              <w:t>Bias bound</w:t>
            </w:r>
          </w:p>
        </w:tc>
        <w:tc>
          <w:tcPr>
            <w:tcW w:type="dxa" w:w="2304"/>
            <w:tcBorders>
              <w:top w:val="single" w:sz="6" w:color="000000"/>
              <w:bottom w:val="single" w:sz="6" w:color="000000"/>
            </w:tcBorders>
          </w:tcPr>
          <w:p>
            <w:pPr>
              <w:keepNext/>
              <w:spacing w:after="0" w:line="240" w:lineRule="auto"/>
              <w:jc w:val="center"/>
            </w:pPr>
            <w:r/>
            <w:r>
              <w:rPr>
                <w:b/>
                <w:sz w:val="18"/>
              </w:rPr>
              <w:t>Robust 95% interval</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[−0.046, 0.048]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0.025</w:t>
            </w:r>
          </w:p>
        </w:tc>
        <w:tc>
          <w:tcPr>
            <w:tcW w:type="dxa" w:w="2304"/>
          </w:tcPr>
          <w:p>
            <w:pPr>
              <w:keepNext/>
              <w:spacing w:after="0" w:line="240" w:lineRule="auto"/>
              <w:jc w:val="center"/>
            </w:pPr>
            <w:r/>
            <w:r>
              <w:rPr>
                <w:sz w:val="18"/>
              </w:rPr>
              <w:t>[−0.071, 0.073]</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0.050</w:t>
            </w:r>
          </w:p>
        </w:tc>
        <w:tc>
          <w:tcPr>
            <w:tcW w:type="dxa" w:w="2304"/>
          </w:tcPr>
          <w:p>
            <w:pPr>
              <w:keepNext/>
              <w:spacing w:after="0" w:line="240" w:lineRule="auto"/>
              <w:jc w:val="center"/>
            </w:pPr>
            <w:r/>
            <w:r>
              <w:rPr>
                <w:sz w:val="18"/>
              </w:rPr>
              <w:t>[−0.096, 0.098]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0.101</w:t>
            </w:r>
          </w:p>
        </w:tc>
        <w:tc>
          <w:tcPr>
            <w:tcW w:type="dxa" w:w="2304"/>
          </w:tcPr>
          <w:p>
            <w:pPr>
              <w:keepNext/>
              <w:spacing w:after="0" w:line="240" w:lineRule="auto"/>
              <w:jc w:val="center"/>
            </w:pPr>
            <w:r/>
            <w:r>
              <w:rPr>
                <w:sz w:val="18"/>
              </w:rPr>
              <w:t>[−0.147, 0.148]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[−0.109, 0.003]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0.035</w:t>
            </w:r>
          </w:p>
        </w:tc>
        <w:tc>
          <w:tcPr>
            <w:tcW w:type="dxa" w:w="2304"/>
          </w:tcPr>
          <w:p>
            <w:pPr>
              <w:keepNext/>
              <w:spacing w:after="0" w:line="240" w:lineRule="auto"/>
              <w:jc w:val="center"/>
            </w:pPr>
            <w:r/>
            <w:r>
              <w:rPr>
                <w:sz w:val="18"/>
              </w:rPr>
              <w:t>[−0.144, 0.038]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0.070</w:t>
            </w:r>
          </w:p>
        </w:tc>
        <w:tc>
          <w:tcPr>
            <w:tcW w:type="dxa" w:w="2304"/>
          </w:tcPr>
          <w:p>
            <w:pPr>
              <w:keepNext/>
              <w:spacing w:after="0" w:line="240" w:lineRule="auto"/>
              <w:jc w:val="center"/>
            </w:pPr>
            <w:r/>
            <w:r>
              <w:rPr>
                <w:sz w:val="18"/>
              </w:rPr>
              <w:t>[−0.179, 0.073]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0.140</w:t>
            </w:r>
          </w:p>
        </w:tc>
        <w:tc>
          <w:tcPr>
            <w:tcW w:type="dxa" w:w="2304"/>
          </w:tcPr>
          <w:p>
            <w:pPr>
              <w:keepNext/>
              <w:spacing w:after="0" w:line="240" w:lineRule="auto"/>
              <w:jc w:val="center"/>
            </w:pPr>
            <w:r/>
            <w:r>
              <w:rPr>
                <w:sz w:val="18"/>
              </w:rPr>
              <w:t>[−0.249, 0.143]</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[−0.001, 0.018]</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0.007</w:t>
            </w:r>
          </w:p>
        </w:tc>
        <w:tc>
          <w:tcPr>
            <w:tcW w:type="dxa" w:w="2304"/>
          </w:tcPr>
          <w:p>
            <w:pPr>
              <w:keepNext/>
              <w:spacing w:after="0" w:line="240" w:lineRule="auto"/>
              <w:jc w:val="center"/>
            </w:pPr>
            <w:r/>
            <w:r>
              <w:rPr>
                <w:sz w:val="18"/>
              </w:rPr>
              <w:t>[−0.007, 0.025]</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0.013</w:t>
            </w:r>
          </w:p>
        </w:tc>
        <w:tc>
          <w:tcPr>
            <w:tcW w:type="dxa" w:w="2304"/>
          </w:tcPr>
          <w:p>
            <w:pPr>
              <w:keepNext/>
              <w:spacing w:after="0" w:line="240" w:lineRule="auto"/>
              <w:jc w:val="center"/>
            </w:pPr>
            <w:r/>
            <w:r>
              <w:rPr>
                <w:sz w:val="18"/>
              </w:rPr>
              <w:t>[−0.014, 0.031]</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0.026</w:t>
            </w:r>
          </w:p>
        </w:tc>
        <w:tc>
          <w:tcPr>
            <w:tcW w:type="dxa" w:w="2304"/>
          </w:tcPr>
          <w:p>
            <w:pPr>
              <w:keepNext/>
              <w:spacing w:after="0" w:line="240" w:lineRule="auto"/>
              <w:jc w:val="center"/>
            </w:pPr>
            <w:r/>
            <w:r>
              <w:rPr>
                <w:sz w:val="18"/>
              </w:rPr>
              <w:t>[−0.027, 0.044]</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[0.007, 0.081]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0.020</w:t>
            </w:r>
          </w:p>
        </w:tc>
        <w:tc>
          <w:tcPr>
            <w:tcW w:type="dxa" w:w="2304"/>
          </w:tcPr>
          <w:p>
            <w:pPr>
              <w:keepNext/>
              <w:spacing w:after="0" w:line="240" w:lineRule="auto"/>
              <w:jc w:val="center"/>
            </w:pPr>
            <w:r/>
            <w:r>
              <w:rPr>
                <w:sz w:val="18"/>
              </w:rPr>
              <w:t>[−0.012, 0.101]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0.039</w:t>
            </w:r>
          </w:p>
        </w:tc>
        <w:tc>
          <w:tcPr>
            <w:tcW w:type="dxa" w:w="2304"/>
          </w:tcPr>
          <w:p>
            <w:pPr>
              <w:keepNext/>
              <w:spacing w:after="0" w:line="240" w:lineRule="auto"/>
              <w:jc w:val="center"/>
            </w:pPr>
            <w:r/>
            <w:r>
              <w:rPr>
                <w:sz w:val="18"/>
              </w:rPr>
              <w:t>[−0.032, 0.120]</w:t>
            </w:r>
          </w:p>
        </w:tc>
      </w:tr>
      <w:tr>
        <w:trPr>
          <w:cantSplit/>
        </w:trPr>
        <w:tc>
          <w:tcPr>
            <w:tcW w:type="dxa" w:w="244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spacing w:line="240" w:lineRule="auto" w:after="40" w:before="280"/>
        <w:jc w:val="both"/>
      </w:pPr>
      <w:r>
        <w:rPr>
          <w:color w:val="0000FF"/>
          <w:sz w:val="18"/>
        </w:rPr>
        <w:t>Note: Relative-magnitude bias bound (Section 3.4); the robust interval widens the firm-bootstrap 95% interval by this bound.</w:t>
      </w:r>
    </w:p>
    <w:p>
      <w:pPr>
        <w:keepNext/>
        <w:spacing w:line="240" w:lineRule="auto" w:after="120" w:before="240"/>
        <w:jc w:val="center"/>
      </w:pPr>
      <w:r>
        <w:rPr>
          <w:color w:val="0000FF"/>
          <w:sz w:val="22"/>
        </w:rPr>
        <w:t>Table S8.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color w:val="0000FF"/>
                <w:sz w:val="18"/>
              </w:rPr>
              <w:t>Characteristic</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observed</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missing</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observed</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missing</w:t>
            </w:r>
          </w:p>
        </w:tc>
      </w:tr>
      <w:tr>
        <w:trPr>
          <w:cantSplit/>
        </w:trPr>
        <w:tc>
          <w:tcPr>
            <w:tcW w:type="dxa" w:w="3168"/>
          </w:tcPr>
          <w:p>
            <w:pPr>
              <w:keepNext/>
              <w:spacing w:after="0" w:line="240" w:lineRule="auto"/>
            </w:pPr>
            <w:r/>
            <w:r>
              <w:rPr>
                <w:b/>
                <w:color w:val="0000FF"/>
                <w:sz w:val="18"/>
              </w:rPr>
              <w:t>Firm-years</w:t>
            </w:r>
          </w:p>
        </w:tc>
        <w:tc>
          <w:tcPr>
            <w:tcW w:type="dxa" w:w="1512"/>
          </w:tcPr>
          <w:p>
            <w:pPr>
              <w:keepNext/>
              <w:spacing w:after="0" w:line="240" w:lineRule="auto"/>
              <w:jc w:val="center"/>
            </w:pPr>
            <w:r/>
            <w:r>
              <w:rPr>
                <w:color w:val="0000FF"/>
                <w:sz w:val="18"/>
              </w:rPr>
              <w:t>6,482</w:t>
            </w:r>
          </w:p>
        </w:tc>
        <w:tc>
          <w:tcPr>
            <w:tcW w:type="dxa" w:w="1512"/>
          </w:tcPr>
          <w:p>
            <w:pPr>
              <w:keepNext/>
              <w:spacing w:after="0" w:line="240" w:lineRule="auto"/>
              <w:jc w:val="center"/>
            </w:pPr>
            <w:r/>
            <w:r>
              <w:rPr>
                <w:color w:val="0000FF"/>
                <w:sz w:val="18"/>
              </w:rPr>
              <w:t>639</w:t>
            </w:r>
          </w:p>
        </w:tc>
        <w:tc>
          <w:tcPr>
            <w:tcW w:type="dxa" w:w="1584"/>
          </w:tcPr>
          <w:p>
            <w:pPr>
              <w:keepNext/>
              <w:spacing w:after="0" w:line="240" w:lineRule="auto"/>
              <w:jc w:val="center"/>
            </w:pPr>
            <w:r/>
            <w:r>
              <w:rPr>
                <w:color w:val="0000FF"/>
                <w:sz w:val="18"/>
              </w:rPr>
              <w:t>20,706</w:t>
            </w:r>
          </w:p>
        </w:tc>
        <w:tc>
          <w:tcPr>
            <w:tcW w:type="dxa" w:w="1584"/>
          </w:tcPr>
          <w:p>
            <w:pPr>
              <w:keepNext/>
              <w:spacing w:after="0" w:line="240" w:lineRule="auto"/>
              <w:jc w:val="center"/>
            </w:pPr>
            <w:r/>
            <w:r>
              <w:rPr>
                <w:color w:val="0000FF"/>
                <w:sz w:val="18"/>
              </w:rPr>
              <w:t>4,694</w:t>
            </w:r>
          </w:p>
        </w:tc>
      </w:tr>
      <w:tr>
        <w:trPr>
          <w:cantSplit/>
        </w:trPr>
        <w:tc>
          <w:tcPr>
            <w:tcW w:type="dxa" w:w="3168"/>
          </w:tcPr>
          <w:p>
            <w:pPr>
              <w:keepNext/>
              <w:spacing w:after="0" w:line="240" w:lineRule="auto"/>
            </w:pPr>
            <w:r/>
            <w:r>
              <w:rPr>
                <w:b/>
                <w:color w:val="0000FF"/>
                <w:sz w:val="18"/>
              </w:rPr>
              <w:t>Median total assets (USD million)</w:t>
            </w:r>
          </w:p>
        </w:tc>
        <w:tc>
          <w:tcPr>
            <w:tcW w:type="dxa" w:w="1512"/>
          </w:tcPr>
          <w:p>
            <w:pPr>
              <w:keepNext/>
              <w:spacing w:after="0" w:line="240" w:lineRule="auto"/>
              <w:jc w:val="center"/>
            </w:pPr>
            <w:r/>
            <w:r>
              <w:rPr>
                <w:color w:val="0000FF"/>
                <w:sz w:val="18"/>
              </w:rPr>
              <w:t>267.9</w:t>
            </w:r>
          </w:p>
        </w:tc>
        <w:tc>
          <w:tcPr>
            <w:tcW w:type="dxa" w:w="1512"/>
          </w:tcPr>
          <w:p>
            <w:pPr>
              <w:keepNext/>
              <w:spacing w:after="0" w:line="240" w:lineRule="auto"/>
              <w:jc w:val="center"/>
            </w:pPr>
            <w:r/>
            <w:r>
              <w:rPr>
                <w:color w:val="0000FF"/>
                <w:sz w:val="18"/>
              </w:rPr>
              <w:t>76.4</w:t>
            </w:r>
          </w:p>
        </w:tc>
        <w:tc>
          <w:tcPr>
            <w:tcW w:type="dxa" w:w="1584"/>
          </w:tcPr>
          <w:p>
            <w:pPr>
              <w:keepNext/>
              <w:spacing w:after="0" w:line="240" w:lineRule="auto"/>
              <w:jc w:val="center"/>
            </w:pPr>
            <w:r/>
            <w:r>
              <w:rPr>
                <w:color w:val="0000FF"/>
                <w:sz w:val="18"/>
              </w:rPr>
              <w:t>84.1</w:t>
            </w:r>
          </w:p>
        </w:tc>
        <w:tc>
          <w:tcPr>
            <w:tcW w:type="dxa" w:w="1584"/>
          </w:tcPr>
          <w:p>
            <w:pPr>
              <w:keepNext/>
              <w:spacing w:after="0" w:line="240" w:lineRule="auto"/>
              <w:jc w:val="center"/>
            </w:pPr>
            <w:r/>
            <w:r>
              <w:rPr>
                <w:color w:val="0000FF"/>
                <w:sz w:val="18"/>
              </w:rPr>
              <w:t>20.8</w:t>
            </w:r>
          </w:p>
        </w:tc>
      </w:tr>
      <w:tr>
        <w:trPr>
          <w:cantSplit/>
        </w:trPr>
        <w:tc>
          <w:tcPr>
            <w:tcW w:type="dxa" w:w="3168"/>
          </w:tcPr>
          <w:p>
            <w:pPr>
              <w:keepNext/>
              <w:spacing w:after="0" w:line="240" w:lineRule="auto"/>
            </w:pPr>
            <w:r/>
            <w:r>
              <w:rPr>
                <w:b/>
                <w:color w:val="0000FF"/>
                <w:sz w:val="18"/>
              </w:rPr>
              <w:t>Median market capitalization (USD million)</w:t>
            </w:r>
          </w:p>
        </w:tc>
        <w:tc>
          <w:tcPr>
            <w:tcW w:type="dxa" w:w="1512"/>
          </w:tcPr>
          <w:p>
            <w:pPr>
              <w:keepNext/>
              <w:spacing w:after="0" w:line="240" w:lineRule="auto"/>
              <w:jc w:val="center"/>
            </w:pPr>
            <w:r/>
            <w:r>
              <w:rPr>
                <w:color w:val="0000FF"/>
                <w:sz w:val="18"/>
              </w:rPr>
              <w:t>185.8</w:t>
            </w:r>
          </w:p>
        </w:tc>
        <w:tc>
          <w:tcPr>
            <w:tcW w:type="dxa" w:w="1512"/>
          </w:tcPr>
          <w:p>
            <w:pPr>
              <w:keepNext/>
              <w:spacing w:after="0" w:line="240" w:lineRule="auto"/>
              <w:jc w:val="center"/>
            </w:pPr>
            <w:r/>
            <w:r>
              <w:rPr>
                <w:color w:val="0000FF"/>
                <w:sz w:val="18"/>
              </w:rPr>
              <w:t>63.5</w:t>
            </w:r>
          </w:p>
        </w:tc>
        <w:tc>
          <w:tcPr>
            <w:tcW w:type="dxa" w:w="1584"/>
          </w:tcPr>
          <w:p>
            <w:pPr>
              <w:keepNext/>
              <w:spacing w:after="0" w:line="240" w:lineRule="auto"/>
              <w:jc w:val="center"/>
            </w:pPr>
            <w:r/>
            <w:r>
              <w:rPr>
                <w:color w:val="0000FF"/>
                <w:sz w:val="18"/>
              </w:rPr>
              <w:t>44.6</w:t>
            </w:r>
          </w:p>
        </w:tc>
        <w:tc>
          <w:tcPr>
            <w:tcW w:type="dxa" w:w="1584"/>
          </w:tcPr>
          <w:p>
            <w:pPr>
              <w:keepNext/>
              <w:spacing w:after="0" w:line="240" w:lineRule="auto"/>
              <w:jc w:val="center"/>
            </w:pPr>
            <w:r/>
            <w:r>
              <w:rPr>
                <w:color w:val="0000FF"/>
                <w:sz w:val="18"/>
              </w:rPr>
              <w:t>19.0</w:t>
            </w:r>
          </w:p>
        </w:tc>
      </w:tr>
      <w:tr>
        <w:trPr>
          <w:cantSplit/>
        </w:trPr>
        <w:tc>
          <w:tcPr>
            <w:tcW w:type="dxa" w:w="3168"/>
          </w:tcPr>
          <w:p>
            <w:pPr>
              <w:keepNext/>
              <w:spacing w:after="0" w:line="240" w:lineRule="auto"/>
            </w:pPr>
            <w:r/>
            <w:r>
              <w:rPr>
                <w:b/>
                <w:color w:val="0000FF"/>
                <w:sz w:val="18"/>
              </w:rPr>
              <w:t>Mean book leverage</w:t>
            </w:r>
          </w:p>
        </w:tc>
        <w:tc>
          <w:tcPr>
            <w:tcW w:type="dxa" w:w="1512"/>
          </w:tcPr>
          <w:p>
            <w:pPr>
              <w:keepNext/>
              <w:spacing w:after="0" w:line="240" w:lineRule="auto"/>
              <w:jc w:val="center"/>
            </w:pPr>
            <w:r/>
            <w:r>
              <w:rPr>
                <w:color w:val="0000FF"/>
                <w:sz w:val="18"/>
              </w:rPr>
              <w:t>0.236</w:t>
            </w:r>
          </w:p>
        </w:tc>
        <w:tc>
          <w:tcPr>
            <w:tcW w:type="dxa" w:w="1512"/>
          </w:tcPr>
          <w:p>
            <w:pPr>
              <w:keepNext/>
              <w:spacing w:after="0" w:line="240" w:lineRule="auto"/>
              <w:jc w:val="center"/>
            </w:pPr>
            <w:r/>
            <w:r>
              <w:rPr>
                <w:color w:val="0000FF"/>
                <w:sz w:val="18"/>
              </w:rPr>
              <w:t>0.307</w:t>
            </w:r>
          </w:p>
        </w:tc>
        <w:tc>
          <w:tcPr>
            <w:tcW w:type="dxa" w:w="1584"/>
          </w:tcPr>
          <w:p>
            <w:pPr>
              <w:keepNext/>
              <w:spacing w:after="0" w:line="240" w:lineRule="auto"/>
              <w:jc w:val="center"/>
            </w:pPr>
            <w:r/>
            <w:r>
              <w:rPr>
                <w:color w:val="0000FF"/>
                <w:sz w:val="18"/>
              </w:rPr>
              <w:t>0.222</w:t>
            </w:r>
          </w:p>
        </w:tc>
        <w:tc>
          <w:tcPr>
            <w:tcW w:type="dxa" w:w="1584"/>
          </w:tcPr>
          <w:p>
            <w:pPr>
              <w:keepNext/>
              <w:spacing w:after="0" w:line="240" w:lineRule="auto"/>
              <w:jc w:val="center"/>
            </w:pPr>
            <w:r/>
            <w:r>
              <w:rPr>
                <w:color w:val="0000FF"/>
                <w:sz w:val="18"/>
              </w:rPr>
              <w:t>0.339</w:t>
            </w:r>
          </w:p>
        </w:tc>
      </w:tr>
      <w:tr>
        <w:trPr>
          <w:cantSplit/>
        </w:trPr>
        <w:tc>
          <w:tcPr>
            <w:tcW w:type="dxa" w:w="3168"/>
          </w:tcPr>
          <w:p>
            <w:pPr>
              <w:keepNext/>
              <w:spacing w:after="0" w:line="240" w:lineRule="auto"/>
            </w:pPr>
            <w:r/>
            <w:r>
              <w:rPr>
                <w:b/>
                <w:color w:val="0000FF"/>
                <w:sz w:val="18"/>
              </w:rPr>
              <w:t>Share with leverage above 0.5</w:t>
            </w:r>
          </w:p>
        </w:tc>
        <w:tc>
          <w:tcPr>
            <w:tcW w:type="dxa" w:w="1512"/>
          </w:tcPr>
          <w:p>
            <w:pPr>
              <w:keepNext/>
              <w:spacing w:after="0" w:line="240" w:lineRule="auto"/>
              <w:jc w:val="center"/>
            </w:pPr>
            <w:r/>
            <w:r>
              <w:rPr>
                <w:color w:val="0000FF"/>
                <w:sz w:val="18"/>
              </w:rPr>
              <w:t>0.08</w:t>
            </w:r>
          </w:p>
        </w:tc>
        <w:tc>
          <w:tcPr>
            <w:tcW w:type="dxa" w:w="1512"/>
          </w:tcPr>
          <w:p>
            <w:pPr>
              <w:keepNext/>
              <w:spacing w:after="0" w:line="240" w:lineRule="auto"/>
              <w:jc w:val="center"/>
            </w:pPr>
            <w:r/>
            <w:r>
              <w:rPr>
                <w:color w:val="0000FF"/>
                <w:sz w:val="18"/>
              </w:rPr>
              <w:t>0.15</w:t>
            </w:r>
          </w:p>
        </w:tc>
        <w:tc>
          <w:tcPr>
            <w:tcW w:type="dxa" w:w="1584"/>
          </w:tcPr>
          <w:p>
            <w:pPr>
              <w:keepNext/>
              <w:spacing w:after="0" w:line="240" w:lineRule="auto"/>
              <w:jc w:val="center"/>
            </w:pPr>
            <w:r/>
            <w:r>
              <w:rPr>
                <w:color w:val="0000FF"/>
                <w:sz w:val="18"/>
              </w:rPr>
              <w:t>0.08</w:t>
            </w:r>
          </w:p>
        </w:tc>
        <w:tc>
          <w:tcPr>
            <w:tcW w:type="dxa" w:w="1584"/>
          </w:tcPr>
          <w:p>
            <w:pPr>
              <w:keepNext/>
              <w:spacing w:after="0" w:line="240" w:lineRule="auto"/>
              <w:jc w:val="center"/>
            </w:pPr>
            <w:r/>
            <w:r>
              <w:rPr>
                <w:color w:val="0000FF"/>
                <w:sz w:val="18"/>
              </w:rPr>
              <w:t>0.25</w:t>
            </w:r>
          </w:p>
        </w:tc>
      </w:tr>
      <w:tr>
        <w:trPr>
          <w:cantSplit/>
        </w:trPr>
        <w:tc>
          <w:tcPr>
            <w:tcW w:type="dxa" w:w="3168"/>
          </w:tcPr>
          <w:p>
            <w:pPr>
              <w:keepNext/>
              <w:spacing w:after="0" w:line="240" w:lineRule="auto"/>
            </w:pPr>
            <w:r/>
            <w:r>
              <w:rPr>
                <w:b/>
                <w:color w:val="0000FF"/>
                <w:sz w:val="18"/>
              </w:rPr>
              <w:t>Share Indonesian</w:t>
            </w:r>
          </w:p>
        </w:tc>
        <w:tc>
          <w:tcPr>
            <w:tcW w:type="dxa" w:w="1512"/>
          </w:tcPr>
          <w:p>
            <w:pPr>
              <w:keepNext/>
              <w:spacing w:after="0" w:line="240" w:lineRule="auto"/>
              <w:jc w:val="center"/>
            </w:pPr>
            <w:r/>
            <w:r>
              <w:rPr>
                <w:color w:val="0000FF"/>
                <w:sz w:val="18"/>
              </w:rPr>
              <w:t>0.06</w:t>
            </w:r>
          </w:p>
        </w:tc>
        <w:tc>
          <w:tcPr>
            <w:tcW w:type="dxa" w:w="1512"/>
          </w:tcPr>
          <w:p>
            <w:pPr>
              <w:keepNext/>
              <w:spacing w:after="0" w:line="240" w:lineRule="auto"/>
              <w:jc w:val="center"/>
            </w:pPr>
            <w:r/>
            <w:r>
              <w:rPr>
                <w:color w:val="0000FF"/>
                <w:sz w:val="18"/>
              </w:rPr>
              <w:t>0.06</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0.36</w:t>
            </w:r>
          </w:p>
        </w:tc>
      </w:tr>
      <w:tr>
        <w:trPr>
          <w:cantSplit/>
        </w:trPr>
        <w:tc>
          <w:tcPr>
            <w:tcW w:type="dxa" w:w="3168"/>
          </w:tcPr>
          <w:p>
            <w:pPr>
              <w:keepNext/>
              <w:spacing w:after="0" w:line="240" w:lineRule="auto"/>
            </w:pPr>
            <w:r/>
            <w:r>
              <w:rPr>
                <w:b/>
                <w:color w:val="0000FF"/>
                <w:sz w:val="18"/>
              </w:rPr>
              <w:t>Share Malaysian</w:t>
            </w:r>
          </w:p>
        </w:tc>
        <w:tc>
          <w:tcPr>
            <w:tcW w:type="dxa" w:w="1512"/>
          </w:tcPr>
          <w:p>
            <w:pPr>
              <w:keepNext/>
              <w:spacing w:after="0" w:line="240" w:lineRule="auto"/>
              <w:jc w:val="center"/>
            </w:pPr>
            <w:r/>
            <w:r>
              <w:rPr>
                <w:color w:val="0000FF"/>
                <w:sz w:val="18"/>
              </w:rPr>
              <w:t>0.59</w:t>
            </w:r>
          </w:p>
        </w:tc>
        <w:tc>
          <w:tcPr>
            <w:tcW w:type="dxa" w:w="1512"/>
          </w:tcPr>
          <w:p>
            <w:pPr>
              <w:keepNext/>
              <w:spacing w:after="0" w:line="240" w:lineRule="auto"/>
              <w:jc w:val="center"/>
            </w:pPr>
            <w:r/>
            <w:r>
              <w:rPr>
                <w:color w:val="0000FF"/>
                <w:sz w:val="18"/>
              </w:rPr>
              <w:t>0.65</w:t>
            </w:r>
          </w:p>
        </w:tc>
        <w:tc>
          <w:tcPr>
            <w:tcW w:type="dxa" w:w="1584"/>
          </w:tcPr>
          <w:p>
            <w:pPr>
              <w:keepNext/>
              <w:spacing w:after="0" w:line="240" w:lineRule="auto"/>
              <w:jc w:val="center"/>
            </w:pPr>
            <w:r/>
            <w:r>
              <w:rPr>
                <w:color w:val="0000FF"/>
                <w:sz w:val="18"/>
              </w:rPr>
              <w:t>0.21</w:t>
            </w:r>
          </w:p>
        </w:tc>
        <w:tc>
          <w:tcPr>
            <w:tcW w:type="dxa" w:w="1584"/>
          </w:tcPr>
          <w:p>
            <w:pPr>
              <w:keepNext/>
              <w:spacing w:after="0" w:line="240" w:lineRule="auto"/>
              <w:jc w:val="center"/>
            </w:pPr>
            <w:r/>
            <w:r>
              <w:rPr>
                <w:color w:val="0000FF"/>
                <w:sz w:val="18"/>
              </w:rPr>
              <w:t>0.22</w:t>
            </w:r>
          </w:p>
        </w:tc>
      </w:tr>
      <w:tr>
        <w:trPr>
          <w:cantSplit/>
        </w:trPr>
        <w:tc>
          <w:tcPr>
            <w:tcW w:type="dxa" w:w="3168"/>
          </w:tcPr>
          <w:p>
            <w:pPr>
              <w:keepNext/>
              <w:spacing w:after="0" w:line="240" w:lineRule="auto"/>
            </w:pPr>
            <w:r/>
            <w:r>
              <w:rPr>
                <w:b/>
                <w:color w:val="0000FF"/>
                <w:sz w:val="18"/>
              </w:rPr>
              <w:t>Mean calendar year</w:t>
            </w:r>
          </w:p>
        </w:tc>
        <w:tc>
          <w:tcPr>
            <w:tcW w:type="dxa" w:w="1512"/>
          </w:tcPr>
          <w:p>
            <w:pPr>
              <w:keepNext/>
              <w:spacing w:after="0" w:line="240" w:lineRule="auto"/>
              <w:jc w:val="center"/>
            </w:pPr>
            <w:r/>
            <w:r>
              <w:rPr>
                <w:color w:val="0000FF"/>
                <w:sz w:val="18"/>
              </w:rPr>
              <w:t>2019.3</w:t>
            </w:r>
          </w:p>
        </w:tc>
        <w:tc>
          <w:tcPr>
            <w:tcW w:type="dxa" w:w="1512"/>
          </w:tcPr>
          <w:p>
            <w:pPr>
              <w:keepNext/>
              <w:spacing w:after="0" w:line="240" w:lineRule="auto"/>
              <w:jc w:val="center"/>
            </w:pPr>
            <w:r/>
            <w:r>
              <w:rPr>
                <w:color w:val="0000FF"/>
                <w:sz w:val="18"/>
              </w:rPr>
              <w:t>2018.0</w:t>
            </w:r>
          </w:p>
        </w:tc>
        <w:tc>
          <w:tcPr>
            <w:tcW w:type="dxa" w:w="1584"/>
          </w:tcPr>
          <w:p>
            <w:pPr>
              <w:keepNext/>
              <w:spacing w:after="0" w:line="240" w:lineRule="auto"/>
              <w:jc w:val="center"/>
            </w:pPr>
            <w:r/>
            <w:r>
              <w:rPr>
                <w:color w:val="0000FF"/>
                <w:sz w:val="18"/>
              </w:rPr>
              <w:t>2019.5</w:t>
            </w:r>
          </w:p>
        </w:tc>
        <w:tc>
          <w:tcPr>
            <w:tcW w:type="dxa" w:w="1584"/>
          </w:tcPr>
          <w:p>
            <w:pPr>
              <w:keepNext/>
              <w:spacing w:after="0" w:line="240" w:lineRule="auto"/>
              <w:jc w:val="center"/>
            </w:pPr>
            <w:r/>
            <w:r>
              <w:rPr>
                <w:color w:val="0000FF"/>
                <w:sz w:val="18"/>
              </w:rPr>
              <w:t>2019.1</w:t>
            </w:r>
          </w:p>
        </w:tc>
      </w:tr>
      <w:tr>
        <w:trPr>
          <w:cantSplit/>
        </w:trPr>
        <w:tc>
          <w:tcPr>
            <w:tcW w:type="dxa" w:w="3168"/>
            <w:tcBorders>
              <w:bottom w:val="single" w:sz="6" w:color="000000"/>
            </w:tcBorders>
          </w:tcPr>
          <w:p>
            <w:pPr>
              <w:spacing w:after="0" w:line="240" w:lineRule="auto"/>
            </w:pPr>
            <w:r/>
            <w:r>
              <w:rPr>
                <w:b/>
                <w:color w:val="0000FF"/>
                <w:sz w:val="18"/>
              </w:rPr>
              <w:t>Share with market capitalization</w:t>
            </w:r>
          </w:p>
        </w:tc>
        <w:tc>
          <w:tcPr>
            <w:tcW w:type="dxa" w:w="1512"/>
            <w:tcBorders>
              <w:bottom w:val="single" w:sz="6" w:color="000000"/>
            </w:tcBorders>
          </w:tcPr>
          <w:p>
            <w:pPr>
              <w:spacing w:after="0" w:line="240" w:lineRule="auto"/>
              <w:jc w:val="center"/>
            </w:pPr>
            <w:r/>
            <w:r>
              <w:rPr>
                <w:color w:val="0000FF"/>
                <w:sz w:val="18"/>
              </w:rPr>
              <w:t>1.00</w:t>
            </w:r>
          </w:p>
        </w:tc>
        <w:tc>
          <w:tcPr>
            <w:tcW w:type="dxa" w:w="1512"/>
            <w:tcBorders>
              <w:bottom w:val="single" w:sz="6" w:color="000000"/>
            </w:tcBorders>
          </w:tcPr>
          <w:p>
            <w:pPr>
              <w:spacing w:after="0" w:line="240" w:lineRule="auto"/>
              <w:jc w:val="center"/>
            </w:pPr>
            <w:r/>
            <w:r>
              <w:rPr>
                <w:color w:val="0000FF"/>
                <w:sz w:val="18"/>
              </w:rPr>
              <w:t>0.37</w:t>
            </w:r>
          </w:p>
        </w:tc>
        <w:tc>
          <w:tcPr>
            <w:tcW w:type="dxa" w:w="1584"/>
            <w:tcBorders>
              <w:bottom w:val="single" w:sz="6" w:color="000000"/>
            </w:tcBorders>
          </w:tcPr>
          <w:p>
            <w:pPr>
              <w:spacing w:after="0" w:line="240" w:lineRule="auto"/>
              <w:jc w:val="center"/>
            </w:pPr>
            <w:r/>
            <w:r>
              <w:rPr>
                <w:color w:val="0000FF"/>
                <w:sz w:val="18"/>
              </w:rPr>
              <w:t>1.00</w:t>
            </w:r>
          </w:p>
        </w:tc>
        <w:tc>
          <w:tcPr>
            <w:tcW w:type="dxa" w:w="1584"/>
            <w:tcBorders>
              <w:bottom w:val="single" w:sz="6" w:color="000000"/>
            </w:tcBorders>
          </w:tcPr>
          <w:p>
            <w:pPr>
              <w:spacing w:after="0" w:line="240" w:lineRule="auto"/>
              <w:jc w:val="center"/>
            </w:pPr>
            <w:r/>
            <w:r>
              <w:rPr>
                <w:color w:val="0000FF"/>
                <w:sz w:val="18"/>
              </w:rPr>
              <w:t>0.37</w:t>
            </w:r>
          </w:p>
        </w:tc>
      </w:tr>
    </w:tbl>
    <w:p>
      <w:pPr>
        <w:spacing w:line="240" w:lineRule="auto" w:after="40" w:before="280"/>
        <w:jc w:val="both"/>
      </w:pPr>
      <w:r>
        <w:rPr>
          <w:color w:val="0000FF"/>
          <w:sz w:val="18"/>
        </w:rPr>
        <w:t>Note: Listed firm-years of the estimation sample, 2014–2024; amounts in U.S. dollars after winsorization at the 1st and 99th percentiles.</w:t>
      </w:r>
    </w:p>
    <w:p>
      <w:pPr>
        <w:keepNext/>
        <w:spacing w:line="240" w:lineRule="auto" w:after="120" w:before="240"/>
        <w:jc w:val="center"/>
      </w:pPr>
      <w:r>
        <w:rPr>
          <w:color w:val="0000FF"/>
          <w:sz w:val="22"/>
        </w:rPr>
        <w:t>Table S9.</w:t>
      </w:r>
      <w:r>
        <w:rPr>
          <w:sz w:val="22"/>
        </w:rPr>
        <w:t xml:space="preserve"> </w:t>
      </w:r>
      <w:r>
        <w:rPr>
          <w:color w:val="0000FF"/>
          <w:sz w:val="22"/>
        </w:rPr>
        <w:t>Leave-one-market-out estimates of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304"/>
        <w:gridCol w:w="1368"/>
        <w:gridCol w:w="1368"/>
        <w:gridCol w:w="1368"/>
        <w:gridCol w:w="1368"/>
        <w:gridCol w:w="1584"/>
      </w:tblGrid>
      <w:tr>
        <w:trPr>
          <w:cantSplit/>
          <w:tblHeader/>
        </w:trPr>
        <w:tc>
          <w:tcPr>
            <w:tcW w:type="dxa" w:w="2304"/>
            <w:tcBorders>
              <w:top w:val="single" w:sz="6" w:color="000000"/>
              <w:bottom w:val="single" w:sz="6" w:color="000000"/>
            </w:tcBorders>
          </w:tcPr>
          <w:p>
            <w:pPr>
              <w:keepNext/>
              <w:spacing w:after="0" w:line="240" w:lineRule="auto"/>
            </w:pPr>
            <w:r/>
            <w:r>
              <w:rPr>
                <w:b/>
                <w:sz w:val="18"/>
              </w:rPr>
              <w:t>Sample</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304"/>
          </w:tcPr>
          <w:p>
            <w:pPr>
              <w:keepNext/>
              <w:spacing w:after="0" w:line="240" w:lineRule="auto"/>
            </w:pPr>
            <w:r/>
            <w:r>
              <w:rPr>
                <w:b/>
                <w:sz w:val="18"/>
              </w:rPr>
              <w:t>Without Indonesia</w:t>
            </w:r>
          </w:p>
        </w:tc>
        <w:tc>
          <w:tcPr>
            <w:tcW w:type="dxa" w:w="1368"/>
          </w:tcPr>
          <w:p>
            <w:pPr>
              <w:keepNext/>
              <w:spacing w:after="0" w:line="240" w:lineRule="auto"/>
              <w:jc w:val="center"/>
            </w:pPr>
            <w:r/>
            <w:r>
              <w:rPr>
                <w:sz w:val="18"/>
              </w:rPr>
              <w:t>0.017</w:t>
            </w:r>
            <w:r>
              <w:br/>
            </w:r>
            <w:r>
              <w:rPr>
                <w:sz w:val="18"/>
              </w:rPr>
              <w:t>(0.024)</w:t>
            </w:r>
          </w:p>
        </w:tc>
        <w:tc>
          <w:tcPr>
            <w:tcW w:type="dxa" w:w="1368"/>
          </w:tcPr>
          <w:p>
            <w:pPr>
              <w:keepNext/>
              <w:spacing w:after="0" w:line="240" w:lineRule="auto"/>
              <w:jc w:val="center"/>
            </w:pPr>
            <w:r/>
            <w:r>
              <w:rPr>
                <w:sz w:val="18"/>
              </w:rPr>
              <w:t>−0.030</w:t>
            </w:r>
            <w:r>
              <w:br/>
            </w:r>
            <w:r>
              <w:rPr>
                <w:sz w:val="18"/>
              </w:rPr>
              <w:t>(0.030)</w:t>
            </w:r>
          </w:p>
        </w:tc>
        <w:tc>
          <w:tcPr>
            <w:tcW w:type="dxa" w:w="1368"/>
          </w:tcPr>
          <w:p>
            <w:pPr>
              <w:keepNext/>
              <w:spacing w:after="0" w:line="240" w:lineRule="auto"/>
              <w:jc w:val="center"/>
            </w:pPr>
            <w:r/>
            <w:r>
              <w:rPr>
                <w:sz w:val="18"/>
              </w:rPr>
              <w:t>0.011**</w:t>
            </w:r>
            <w:r>
              <w:br/>
            </w:r>
            <w:r>
              <w:rPr>
                <w:sz w:val="18"/>
              </w:rPr>
              <w:t>(0.005)</w:t>
            </w:r>
          </w:p>
        </w:tc>
        <w:tc>
          <w:tcPr>
            <w:tcW w:type="dxa" w:w="1368"/>
          </w:tcPr>
          <w:p>
            <w:pPr>
              <w:keepNext/>
              <w:spacing w:after="0" w:line="240" w:lineRule="auto"/>
              <w:jc w:val="center"/>
            </w:pPr>
            <w:r/>
            <w:r>
              <w:rPr>
                <w:sz w:val="18"/>
              </w:rPr>
              <w:t>0.037*</w:t>
            </w:r>
            <w:r>
              <w:br/>
            </w:r>
            <w:r>
              <w:rPr>
                <w:sz w:val="18"/>
              </w:rPr>
              <w:t>(0.020)</w:t>
            </w:r>
          </w:p>
        </w:tc>
        <w:tc>
          <w:tcPr>
            <w:tcW w:type="dxa" w:w="1584"/>
          </w:tcPr>
          <w:p>
            <w:pPr>
              <w:keepNext/>
              <w:spacing w:after="0" w:line="240" w:lineRule="auto"/>
              <w:jc w:val="center"/>
            </w:pPr>
            <w:r/>
            <w:r>
              <w:rPr>
                <w:color w:val="0000FF"/>
                <w:sz w:val="18"/>
              </w:rPr>
              <w:t>589 / 1,734</w:t>
            </w:r>
          </w:p>
        </w:tc>
      </w:tr>
      <w:tr>
        <w:trPr>
          <w:cantSplit/>
        </w:trPr>
        <w:tc>
          <w:tcPr>
            <w:tcW w:type="dxa" w:w="2304"/>
          </w:tcPr>
          <w:p>
            <w:pPr>
              <w:keepNext/>
              <w:spacing w:after="0" w:line="240" w:lineRule="auto"/>
            </w:pPr>
            <w:r/>
            <w:r>
              <w:rPr>
                <w:b/>
                <w:sz w:val="18"/>
              </w:rPr>
              <w:t>Without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584"/>
          </w:tcPr>
          <w:p>
            <w:pPr>
              <w:keepNext/>
              <w:spacing w:after="0" w:line="240" w:lineRule="auto"/>
              <w:jc w:val="center"/>
            </w:pPr>
            <w:r/>
            <w:r>
              <w:rPr>
                <w:color w:val="0000FF"/>
                <w:sz w:val="18"/>
              </w:rPr>
              <w:t>256 / 1,926</w:t>
            </w:r>
          </w:p>
        </w:tc>
      </w:tr>
      <w:tr>
        <w:trPr>
          <w:cantSplit/>
        </w:trPr>
        <w:tc>
          <w:tcPr>
            <w:tcW w:type="dxa" w:w="2304"/>
          </w:tcPr>
          <w:p>
            <w:pPr>
              <w:keepNext/>
              <w:spacing w:after="0" w:line="240" w:lineRule="auto"/>
            </w:pPr>
            <w:r/>
            <w:r>
              <w:rPr>
                <w:b/>
                <w:sz w:val="18"/>
              </w:rPr>
              <w:t>Without Philippines</w:t>
            </w:r>
          </w:p>
        </w:tc>
        <w:tc>
          <w:tcPr>
            <w:tcW w:type="dxa" w:w="1368"/>
          </w:tcPr>
          <w:p>
            <w:pPr>
              <w:keepNext/>
              <w:spacing w:after="0" w:line="240" w:lineRule="auto"/>
              <w:jc w:val="center"/>
            </w:pPr>
            <w:r/>
            <w:r>
              <w:rPr>
                <w:sz w:val="18"/>
              </w:rPr>
              <w:t>−0.001</w:t>
            </w:r>
            <w:r>
              <w:br/>
            </w:r>
            <w:r>
              <w:rPr>
                <w:sz w:val="18"/>
              </w:rPr>
              <w:t>(0.025)</w:t>
            </w:r>
          </w:p>
        </w:tc>
        <w:tc>
          <w:tcPr>
            <w:tcW w:type="dxa" w:w="1368"/>
          </w:tcPr>
          <w:p>
            <w:pPr>
              <w:keepNext/>
              <w:spacing w:after="0" w:line="240" w:lineRule="auto"/>
              <w:jc w:val="center"/>
            </w:pPr>
            <w:r/>
            <w:r>
              <w:rPr>
                <w:sz w:val="18"/>
              </w:rPr>
              <w:t>−0.066**</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0.031*</w:t>
            </w:r>
            <w:r>
              <w:br/>
            </w:r>
            <w:r>
              <w:rPr>
                <w:sz w:val="18"/>
              </w:rPr>
              <w:t>(0.019)</w:t>
            </w:r>
          </w:p>
        </w:tc>
        <w:tc>
          <w:tcPr>
            <w:tcW w:type="dxa" w:w="1584"/>
          </w:tcPr>
          <w:p>
            <w:pPr>
              <w:keepNext/>
              <w:spacing w:after="0" w:line="240" w:lineRule="auto"/>
              <w:jc w:val="center"/>
            </w:pPr>
            <w:r/>
            <w:r>
              <w:rPr>
                <w:color w:val="0000FF"/>
                <w:sz w:val="18"/>
              </w:rPr>
              <w:t>614 / 2,220</w:t>
            </w:r>
          </w:p>
        </w:tc>
      </w:tr>
      <w:tr>
        <w:trPr>
          <w:cantSplit/>
        </w:trPr>
        <w:tc>
          <w:tcPr>
            <w:tcW w:type="dxa" w:w="2304"/>
          </w:tcPr>
          <w:p>
            <w:pPr>
              <w:keepNext/>
              <w:spacing w:after="0" w:line="240" w:lineRule="auto"/>
            </w:pPr>
            <w:r/>
            <w:r>
              <w:rPr>
                <w:b/>
                <w:sz w:val="18"/>
              </w:rPr>
              <w:t>Without Singapore</w:t>
            </w:r>
          </w:p>
        </w:tc>
        <w:tc>
          <w:tcPr>
            <w:tcW w:type="dxa" w:w="1368"/>
          </w:tcPr>
          <w:p>
            <w:pPr>
              <w:keepNext/>
              <w:spacing w:after="0" w:line="240" w:lineRule="auto"/>
              <w:jc w:val="center"/>
            </w:pPr>
            <w:r/>
            <w:r>
              <w:rPr>
                <w:sz w:val="18"/>
              </w:rPr>
              <w:t>−0.007</w:t>
            </w:r>
            <w:r>
              <w:br/>
            </w:r>
            <w:r>
              <w:rPr>
                <w:sz w:val="18"/>
              </w:rPr>
              <w:t>(0.025)</w:t>
            </w:r>
          </w:p>
        </w:tc>
        <w:tc>
          <w:tcPr>
            <w:tcW w:type="dxa" w:w="1368"/>
          </w:tcPr>
          <w:p>
            <w:pPr>
              <w:keepNext/>
              <w:spacing w:after="0" w:line="240" w:lineRule="auto"/>
              <w:jc w:val="center"/>
            </w:pPr>
            <w:r/>
            <w:r>
              <w:rPr>
                <w:sz w:val="18"/>
              </w:rPr>
              <w:t>−0.066**</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0.063***</w:t>
            </w:r>
            <w:r>
              <w:br/>
            </w:r>
            <w:r>
              <w:rPr>
                <w:sz w:val="18"/>
              </w:rPr>
              <w:t>(0.019)</w:t>
            </w:r>
          </w:p>
        </w:tc>
        <w:tc>
          <w:tcPr>
            <w:tcW w:type="dxa" w:w="1584"/>
          </w:tcPr>
          <w:p>
            <w:pPr>
              <w:keepNext/>
              <w:spacing w:after="0" w:line="240" w:lineRule="auto"/>
              <w:jc w:val="center"/>
            </w:pPr>
            <w:r/>
            <w:r>
              <w:rPr>
                <w:color w:val="0000FF"/>
                <w:sz w:val="18"/>
              </w:rPr>
              <w:t>582 / 1,955</w:t>
            </w:r>
          </w:p>
        </w:tc>
      </w:tr>
      <w:tr>
        <w:trPr>
          <w:cantSplit/>
        </w:trPr>
        <w:tc>
          <w:tcPr>
            <w:tcW w:type="dxa" w:w="2304"/>
            <w:tcBorders>
              <w:bottom w:val="single" w:sz="6" w:color="000000"/>
            </w:tcBorders>
          </w:tcPr>
          <w:p>
            <w:pPr>
              <w:spacing w:after="0" w:line="240" w:lineRule="auto"/>
            </w:pPr>
            <w:r/>
            <w:r>
              <w:rPr>
                <w:b/>
                <w:sz w:val="18"/>
              </w:rPr>
              <w:t>Without Thailand</w:t>
            </w:r>
          </w:p>
        </w:tc>
        <w:tc>
          <w:tcPr>
            <w:tcW w:type="dxa" w:w="1368"/>
            <w:tcBorders>
              <w:bottom w:val="single" w:sz="6" w:color="000000"/>
            </w:tcBorders>
          </w:tcPr>
          <w:p>
            <w:pPr>
              <w:spacing w:after="0" w:line="240" w:lineRule="auto"/>
              <w:jc w:val="center"/>
            </w:pPr>
            <w:r/>
            <w:r>
              <w:rPr>
                <w:sz w:val="18"/>
              </w:rPr>
              <w:t>0.004</w:t>
            </w:r>
            <w:r>
              <w:br/>
            </w:r>
            <w:r>
              <w:rPr>
                <w:sz w:val="18"/>
              </w:rPr>
              <w:t>(0.029)</w:t>
            </w:r>
          </w:p>
        </w:tc>
        <w:tc>
          <w:tcPr>
            <w:tcW w:type="dxa" w:w="1368"/>
            <w:tcBorders>
              <w:bottom w:val="single" w:sz="6" w:color="000000"/>
            </w:tcBorders>
          </w:tcPr>
          <w:p>
            <w:pPr>
              <w:spacing w:after="0" w:line="240" w:lineRule="auto"/>
              <w:jc w:val="center"/>
            </w:pPr>
            <w:r/>
            <w:r>
              <w:rPr>
                <w:sz w:val="18"/>
              </w:rPr>
              <w:t>−0.096**</w:t>
            </w:r>
            <w:r>
              <w:br/>
            </w:r>
            <w:r>
              <w:rPr>
                <w:sz w:val="18"/>
              </w:rPr>
              <w:t>(0.037)</w:t>
            </w:r>
          </w:p>
        </w:tc>
        <w:tc>
          <w:tcPr>
            <w:tcW w:type="dxa" w:w="1368"/>
            <w:tcBorders>
              <w:bottom w:val="single" w:sz="6" w:color="000000"/>
            </w:tcBorders>
          </w:tcPr>
          <w:p>
            <w:pPr>
              <w:spacing w:after="0" w:line="240" w:lineRule="auto"/>
              <w:jc w:val="center"/>
            </w:pPr>
            <w:r/>
            <w:r>
              <w:rPr>
                <w:sz w:val="18"/>
              </w:rPr>
              <w:t>0.004</w:t>
            </w:r>
            <w:r>
              <w:br/>
            </w:r>
            <w:r>
              <w:rPr>
                <w:sz w:val="18"/>
              </w:rPr>
              <w:t>(0.005)</w:t>
            </w:r>
          </w:p>
        </w:tc>
        <w:tc>
          <w:tcPr>
            <w:tcW w:type="dxa" w:w="1368"/>
            <w:tcBorders>
              <w:bottom w:val="single" w:sz="6" w:color="000000"/>
            </w:tcBorders>
          </w:tcPr>
          <w:p>
            <w:pPr>
              <w:spacing w:after="0" w:line="240" w:lineRule="auto"/>
              <w:jc w:val="center"/>
            </w:pPr>
            <w:r/>
            <w:r>
              <w:rPr>
                <w:sz w:val="18"/>
              </w:rPr>
              <w:t>0.040*</w:t>
            </w:r>
            <w:r>
              <w:br/>
            </w:r>
            <w:r>
              <w:rPr>
                <w:sz w:val="18"/>
              </w:rPr>
              <w:t>(0.021)</w:t>
            </w:r>
          </w:p>
        </w:tc>
        <w:tc>
          <w:tcPr>
            <w:tcW w:type="dxa" w:w="1584"/>
            <w:tcBorders>
              <w:bottom w:val="single" w:sz="6" w:color="000000"/>
            </w:tcBorders>
          </w:tcPr>
          <w:p>
            <w:pPr>
              <w:spacing w:after="0" w:line="240" w:lineRule="auto"/>
              <w:jc w:val="center"/>
            </w:pPr>
            <w:r/>
            <w:r>
              <w:rPr>
                <w:color w:val="0000FF"/>
                <w:sz w:val="18"/>
              </w:rPr>
              <w:t>471 / 1,813</w:t>
            </w:r>
          </w:p>
        </w:tc>
      </w:tr>
    </w:tbl>
    <w:p>
      <w:pPr>
        <w:spacing w:line="240" w:lineRule="auto" w:after="40" w:before="280"/>
        <w:jc w:val="both"/>
      </w:pPr>
      <w:r>
        <w:rPr>
          <w:color w:val="0000FF"/>
          <w:sz w:val="18"/>
        </w:rPr>
        <w:t>Note: Outcome regression with firm-bootstrap standard errors; firm counts for ln(MTB). *, **, ***: 10%, 5%, 1% (unadjusted).</w:t>
      </w:r>
    </w:p>
    <w:p>
      <w:pPr>
        <w:keepNext/>
        <w:spacing w:line="240" w:lineRule="auto" w:after="120" w:before="240"/>
        <w:jc w:val="center"/>
      </w:pPr>
      <w:r>
        <w:rPr>
          <w:color w:val="0000FF"/>
          <w:sz w:val="22"/>
        </w:rPr>
        <w:t>Table S10.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color w:val="0000FF"/>
                <w:sz w:val="18"/>
              </w:rPr>
              <w:t>Group</w:t>
            </w:r>
          </w:p>
        </w:tc>
        <w:tc>
          <w:tcPr>
            <w:tcW w:type="dxa" w:w="1872"/>
            <w:tcBorders>
              <w:top w:val="single" w:sz="6" w:color="000000"/>
              <w:bottom w:val="single" w:sz="6" w:color="000000"/>
            </w:tcBorders>
          </w:tcPr>
          <w:p>
            <w:pPr>
              <w:keepNext/>
              <w:spacing w:after="0" w:line="240" w:lineRule="auto"/>
              <w:jc w:val="center"/>
            </w:pPr>
            <w:r/>
            <w:r>
              <w:rPr>
                <w:b/>
                <w:color w:val="0000FF"/>
                <w:sz w:val="18"/>
              </w:rPr>
              <w:t>Scored firm-cells</w:t>
            </w:r>
          </w:p>
        </w:tc>
        <w:tc>
          <w:tcPr>
            <w:tcW w:type="dxa" w:w="2304"/>
            <w:tcBorders>
              <w:top w:val="single" w:sz="6" w:color="000000"/>
              <w:bottom w:val="single" w:sz="6" w:color="000000"/>
            </w:tcBorders>
          </w:tcPr>
          <w:p>
            <w:pPr>
              <w:keepNext/>
              <w:spacing w:after="0" w:line="240" w:lineRule="auto"/>
              <w:jc w:val="center"/>
            </w:pPr>
            <w:r/>
            <w:r>
              <w:rPr>
                <w:b/>
                <w:color w:val="0000FF"/>
                <w:sz w:val="18"/>
              </w:rPr>
              <w:t>Weight in the pooled estimate</w:t>
            </w:r>
          </w:p>
        </w:tc>
      </w:tr>
      <w:tr>
        <w:trPr>
          <w:cantSplit/>
        </w:trPr>
        <w:tc>
          <w:tcPr>
            <w:tcW w:type="dxa" w:w="4752"/>
          </w:tcPr>
          <w:p>
            <w:pPr>
              <w:keepNext/>
              <w:spacing w:after="0" w:line="240" w:lineRule="auto"/>
            </w:pPr>
            <w:r/>
            <w:r>
              <w:rPr>
                <w:b/>
                <w:color w:val="0000FF"/>
                <w:sz w:val="18"/>
              </w:rPr>
              <w:t>Indonesia</w:t>
            </w:r>
          </w:p>
        </w:tc>
        <w:tc>
          <w:tcPr>
            <w:tcW w:type="dxa" w:w="1872"/>
          </w:tcPr>
          <w:p>
            <w:pPr>
              <w:keepNext/>
              <w:spacing w:after="0" w:line="240" w:lineRule="auto"/>
              <w:jc w:val="center"/>
            </w:pPr>
            <w:r/>
            <w:r>
              <w:rPr>
                <w:color w:val="0000FF"/>
                <w:sz w:val="18"/>
              </w:rPr>
              <w:t>123</w:t>
            </w:r>
          </w:p>
        </w:tc>
        <w:tc>
          <w:tcPr>
            <w:tcW w:type="dxa" w:w="2304"/>
          </w:tcPr>
          <w:p>
            <w:pPr>
              <w:keepNext/>
              <w:spacing w:after="0" w:line="240" w:lineRule="auto"/>
              <w:jc w:val="center"/>
            </w:pPr>
            <w:r/>
            <w:r>
              <w:rPr>
                <w:color w:val="0000FF"/>
                <w:sz w:val="18"/>
              </w:rPr>
              <w:t>0.063</w:t>
            </w:r>
          </w:p>
        </w:tc>
      </w:tr>
      <w:tr>
        <w:trPr>
          <w:cantSplit/>
        </w:trPr>
        <w:tc>
          <w:tcPr>
            <w:tcW w:type="dxa" w:w="4752"/>
          </w:tcPr>
          <w:p>
            <w:pPr>
              <w:keepNext/>
              <w:spacing w:after="0" w:line="240" w:lineRule="auto"/>
            </w:pPr>
            <w:r/>
            <w:r>
              <w:rPr>
                <w:b/>
                <w:color w:val="0000FF"/>
                <w:sz w:val="18"/>
              </w:rPr>
              <w:t>Malaysia</w:t>
            </w:r>
          </w:p>
        </w:tc>
        <w:tc>
          <w:tcPr>
            <w:tcW w:type="dxa" w:w="1872"/>
          </w:tcPr>
          <w:p>
            <w:pPr>
              <w:keepNext/>
              <w:spacing w:after="0" w:line="240" w:lineRule="auto"/>
              <w:jc w:val="center"/>
            </w:pPr>
            <w:r/>
            <w:r>
              <w:rPr>
                <w:color w:val="0000FF"/>
                <w:sz w:val="18"/>
              </w:rPr>
              <w:t>1,074</w:t>
            </w:r>
          </w:p>
        </w:tc>
        <w:tc>
          <w:tcPr>
            <w:tcW w:type="dxa" w:w="2304"/>
          </w:tcPr>
          <w:p>
            <w:pPr>
              <w:keepNext/>
              <w:spacing w:after="0" w:line="240" w:lineRule="auto"/>
              <w:jc w:val="center"/>
            </w:pPr>
            <w:r/>
            <w:r>
              <w:rPr>
                <w:color w:val="0000FF"/>
                <w:sz w:val="18"/>
              </w:rPr>
              <w:t>0.552</w:t>
            </w:r>
          </w:p>
        </w:tc>
      </w:tr>
      <w:tr>
        <w:trPr>
          <w:cantSplit/>
        </w:trPr>
        <w:tc>
          <w:tcPr>
            <w:tcW w:type="dxa" w:w="4752"/>
          </w:tcPr>
          <w:p>
            <w:pPr>
              <w:keepNext/>
              <w:spacing w:after="0" w:line="240" w:lineRule="auto"/>
            </w:pPr>
            <w:r/>
            <w:r>
              <w:rPr>
                <w:b/>
                <w:color w:val="0000FF"/>
                <w:sz w:val="18"/>
              </w:rPr>
              <w:t>Philippines</w:t>
            </w:r>
          </w:p>
        </w:tc>
        <w:tc>
          <w:tcPr>
            <w:tcW w:type="dxa" w:w="1872"/>
          </w:tcPr>
          <w:p>
            <w:pPr>
              <w:keepNext/>
              <w:spacing w:after="0" w:line="240" w:lineRule="auto"/>
              <w:jc w:val="center"/>
            </w:pPr>
            <w:r/>
            <w:r>
              <w:rPr>
                <w:color w:val="0000FF"/>
                <w:sz w:val="18"/>
              </w:rPr>
              <w:t>52</w:t>
            </w:r>
          </w:p>
        </w:tc>
        <w:tc>
          <w:tcPr>
            <w:tcW w:type="dxa" w:w="2304"/>
          </w:tcPr>
          <w:p>
            <w:pPr>
              <w:keepNext/>
              <w:spacing w:after="0" w:line="240" w:lineRule="auto"/>
              <w:jc w:val="center"/>
            </w:pPr>
            <w:r/>
            <w:r>
              <w:rPr>
                <w:color w:val="0000FF"/>
                <w:sz w:val="18"/>
              </w:rPr>
              <w:t>0.027</w:t>
            </w:r>
          </w:p>
        </w:tc>
      </w:tr>
      <w:tr>
        <w:trPr>
          <w:cantSplit/>
        </w:trPr>
        <w:tc>
          <w:tcPr>
            <w:tcW w:type="dxa" w:w="4752"/>
          </w:tcPr>
          <w:p>
            <w:pPr>
              <w:keepNext/>
              <w:spacing w:after="0" w:line="240" w:lineRule="auto"/>
            </w:pPr>
            <w:r/>
            <w:r>
              <w:rPr>
                <w:b/>
                <w:color w:val="0000FF"/>
                <w:sz w:val="18"/>
              </w:rPr>
              <w:t>Singapore</w:t>
            </w:r>
          </w:p>
        </w:tc>
        <w:tc>
          <w:tcPr>
            <w:tcW w:type="dxa" w:w="1872"/>
          </w:tcPr>
          <w:p>
            <w:pPr>
              <w:keepNext/>
              <w:spacing w:after="0" w:line="240" w:lineRule="auto"/>
              <w:jc w:val="center"/>
            </w:pPr>
            <w:r/>
            <w:r>
              <w:rPr>
                <w:color w:val="0000FF"/>
                <w:sz w:val="18"/>
              </w:rPr>
              <w:t>178</w:t>
            </w:r>
          </w:p>
        </w:tc>
        <w:tc>
          <w:tcPr>
            <w:tcW w:type="dxa" w:w="2304"/>
          </w:tcPr>
          <w:p>
            <w:pPr>
              <w:keepNext/>
              <w:spacing w:after="0" w:line="240" w:lineRule="auto"/>
              <w:jc w:val="center"/>
            </w:pPr>
            <w:r/>
            <w:r>
              <w:rPr>
                <w:color w:val="0000FF"/>
                <w:sz w:val="18"/>
              </w:rPr>
              <w:t>0.091</w:t>
            </w:r>
          </w:p>
        </w:tc>
      </w:tr>
      <w:tr>
        <w:trPr>
          <w:cantSplit/>
        </w:trPr>
        <w:tc>
          <w:tcPr>
            <w:tcW w:type="dxa" w:w="4752"/>
          </w:tcPr>
          <w:p>
            <w:pPr>
              <w:keepNext/>
              <w:spacing w:after="0" w:line="240" w:lineRule="auto"/>
            </w:pPr>
            <w:r/>
            <w:r>
              <w:rPr>
                <w:b/>
                <w:color w:val="0000FF"/>
                <w:sz w:val="18"/>
              </w:rPr>
              <w:t>Thailand</w:t>
            </w:r>
          </w:p>
        </w:tc>
        <w:tc>
          <w:tcPr>
            <w:tcW w:type="dxa" w:w="1872"/>
          </w:tcPr>
          <w:p>
            <w:pPr>
              <w:keepNext/>
              <w:spacing w:after="0" w:line="240" w:lineRule="auto"/>
              <w:jc w:val="center"/>
            </w:pPr>
            <w:r/>
            <w:r>
              <w:rPr>
                <w:color w:val="0000FF"/>
                <w:sz w:val="18"/>
              </w:rPr>
              <w:t>519</w:t>
            </w:r>
          </w:p>
        </w:tc>
        <w:tc>
          <w:tcPr>
            <w:tcW w:type="dxa" w:w="2304"/>
          </w:tcPr>
          <w:p>
            <w:pPr>
              <w:keepNext/>
              <w:spacing w:after="0" w:line="240" w:lineRule="auto"/>
              <w:jc w:val="center"/>
            </w:pPr>
            <w:r/>
            <w:r>
              <w:rPr>
                <w:color w:val="0000FF"/>
                <w:sz w:val="18"/>
              </w:rPr>
              <w:t>0.267</w:t>
            </w:r>
          </w:p>
        </w:tc>
      </w:tr>
      <w:tr>
        <w:trPr>
          <w:cantSplit/>
        </w:trPr>
        <w:tc>
          <w:tcPr>
            <w:tcW w:type="dxa" w:w="4752"/>
          </w:tcPr>
          <w:p>
            <w:pPr>
              <w:keepNext/>
              <w:spacing w:after="0" w:line="240" w:lineRule="auto"/>
            </w:pPr>
            <w:r/>
            <w:r>
              <w:rPr>
                <w:b/>
                <w:color w:val="0000FF"/>
                <w:sz w:val="18"/>
              </w:rPr>
              <w:t>Malaysian wave (first recorded 2021–2022)</w:t>
            </w:r>
          </w:p>
        </w:tc>
        <w:tc>
          <w:tcPr>
            <w:tcW w:type="dxa" w:w="1872"/>
          </w:tcPr>
          <w:p>
            <w:pPr>
              <w:keepNext/>
              <w:spacing w:after="0" w:line="240" w:lineRule="auto"/>
              <w:jc w:val="center"/>
            </w:pPr>
            <w:r/>
            <w:r>
              <w:rPr>
                <w:color w:val="0000FF"/>
                <w:sz w:val="18"/>
              </w:rPr>
              <w:t>858</w:t>
            </w:r>
          </w:p>
        </w:tc>
        <w:tc>
          <w:tcPr>
            <w:tcW w:type="dxa" w:w="2304"/>
          </w:tcPr>
          <w:p>
            <w:pPr>
              <w:keepNext/>
              <w:spacing w:after="0" w:line="240" w:lineRule="auto"/>
              <w:jc w:val="center"/>
            </w:pPr>
            <w:r/>
            <w:r>
              <w:rPr>
                <w:color w:val="0000FF"/>
                <w:sz w:val="18"/>
              </w:rPr>
              <w:t>0.441</w:t>
            </w:r>
          </w:p>
        </w:tc>
      </w:tr>
      <w:tr>
        <w:trPr>
          <w:cantSplit/>
        </w:trPr>
        <w:tc>
          <w:tcPr>
            <w:tcW w:type="dxa" w:w="4752"/>
          </w:tcPr>
          <w:p>
            <w:pPr>
              <w:keepNext/>
              <w:spacing w:after="0" w:line="240" w:lineRule="auto"/>
            </w:pPr>
            <w:r/>
            <w:r>
              <w:rPr>
                <w:b/>
                <w:color w:val="0000FF"/>
                <w:sz w:val="18"/>
              </w:rPr>
              <w:t>Thai and Singaporean wave (2019–2020)</w:t>
            </w:r>
          </w:p>
        </w:tc>
        <w:tc>
          <w:tcPr>
            <w:tcW w:type="dxa" w:w="1872"/>
          </w:tcPr>
          <w:p>
            <w:pPr>
              <w:keepNext/>
              <w:spacing w:after="0" w:line="240" w:lineRule="auto"/>
              <w:jc w:val="center"/>
            </w:pPr>
            <w:r/>
            <w:r>
              <w:rPr>
                <w:color w:val="0000FF"/>
                <w:sz w:val="18"/>
              </w:rPr>
              <w:t>401</w:t>
            </w:r>
          </w:p>
        </w:tc>
        <w:tc>
          <w:tcPr>
            <w:tcW w:type="dxa" w:w="2304"/>
          </w:tcPr>
          <w:p>
            <w:pPr>
              <w:keepNext/>
              <w:spacing w:after="0" w:line="240" w:lineRule="auto"/>
              <w:jc w:val="center"/>
            </w:pPr>
            <w:r/>
            <w:r>
              <w:rPr>
                <w:color w:val="0000FF"/>
                <w:sz w:val="18"/>
              </w:rPr>
              <w:t>0.206</w:t>
            </w:r>
          </w:p>
        </w:tc>
      </w:tr>
      <w:tr>
        <w:trPr>
          <w:cantSplit/>
        </w:trPr>
        <w:tc>
          <w:tcPr>
            <w:tcW w:type="dxa" w:w="4752"/>
          </w:tcPr>
          <w:p>
            <w:pPr>
              <w:keepNext/>
              <w:spacing w:after="0" w:line="240" w:lineRule="auto"/>
            </w:pPr>
            <w:r/>
            <w:r>
              <w:rPr>
                <w:b/>
                <w:color w:val="0000FF"/>
                <w:sz w:val="18"/>
              </w:rPr>
              <w:t>All other cohorts</w:t>
            </w:r>
          </w:p>
        </w:tc>
        <w:tc>
          <w:tcPr>
            <w:tcW w:type="dxa" w:w="1872"/>
          </w:tcPr>
          <w:p>
            <w:pPr>
              <w:keepNext/>
              <w:spacing w:after="0" w:line="240" w:lineRule="auto"/>
              <w:jc w:val="center"/>
            </w:pPr>
            <w:r/>
            <w:r>
              <w:rPr>
                <w:color w:val="0000FF"/>
                <w:sz w:val="18"/>
              </w:rPr>
              <w:t>687</w:t>
            </w:r>
          </w:p>
        </w:tc>
        <w:tc>
          <w:tcPr>
            <w:tcW w:type="dxa" w:w="2304"/>
          </w:tcPr>
          <w:p>
            <w:pPr>
              <w:keepNext/>
              <w:spacing w:after="0" w:line="240" w:lineRule="auto"/>
              <w:jc w:val="center"/>
            </w:pPr>
            <w:r/>
            <w:r>
              <w:rPr>
                <w:color w:val="0000FF"/>
                <w:sz w:val="18"/>
              </w:rPr>
              <w:t>0.353</w:t>
            </w:r>
          </w:p>
        </w:tc>
      </w:tr>
      <w:tr>
        <w:trPr>
          <w:cantSplit/>
        </w:trPr>
        <w:tc>
          <w:tcPr>
            <w:tcW w:type="dxa" w:w="4752"/>
          </w:tcPr>
          <w:p>
            <w:pPr>
              <w:keepNext/>
              <w:spacing w:after="0" w:line="240" w:lineRule="auto"/>
            </w:pPr>
            <w:r/>
            <w:r>
              <w:rPr>
                <w:b/>
                <w:color w:val="0000FF"/>
                <w:sz w:val="18"/>
              </w:rPr>
              <w:t>Calendar year 2015</w:t>
            </w:r>
          </w:p>
        </w:tc>
        <w:tc>
          <w:tcPr>
            <w:tcW w:type="dxa" w:w="1872"/>
          </w:tcPr>
          <w:p>
            <w:pPr>
              <w:keepNext/>
              <w:spacing w:after="0" w:line="240" w:lineRule="auto"/>
              <w:jc w:val="center"/>
            </w:pPr>
            <w:r/>
            <w:r>
              <w:rPr>
                <w:color w:val="0000FF"/>
                <w:sz w:val="18"/>
              </w:rPr>
              <w:t>8</w:t>
            </w:r>
          </w:p>
        </w:tc>
        <w:tc>
          <w:tcPr>
            <w:tcW w:type="dxa" w:w="2304"/>
          </w:tcPr>
          <w:p>
            <w:pPr>
              <w:keepNext/>
              <w:spacing w:after="0" w:line="240" w:lineRule="auto"/>
              <w:jc w:val="center"/>
            </w:pPr>
            <w:r/>
            <w:r>
              <w:rPr>
                <w:color w:val="0000FF"/>
                <w:sz w:val="18"/>
              </w:rPr>
              <w:t>0.004</w:t>
            </w:r>
          </w:p>
        </w:tc>
      </w:tr>
      <w:tr>
        <w:trPr>
          <w:cantSplit/>
        </w:trPr>
        <w:tc>
          <w:tcPr>
            <w:tcW w:type="dxa" w:w="4752"/>
          </w:tcPr>
          <w:p>
            <w:pPr>
              <w:keepNext/>
              <w:spacing w:after="0" w:line="240" w:lineRule="auto"/>
            </w:pPr>
            <w:r/>
            <w:r>
              <w:rPr>
                <w:b/>
                <w:color w:val="0000FF"/>
                <w:sz w:val="18"/>
              </w:rPr>
              <w:t>Calendar year 2016</w:t>
            </w:r>
          </w:p>
        </w:tc>
        <w:tc>
          <w:tcPr>
            <w:tcW w:type="dxa" w:w="1872"/>
          </w:tcPr>
          <w:p>
            <w:pPr>
              <w:keepNext/>
              <w:spacing w:after="0" w:line="240" w:lineRule="auto"/>
              <w:jc w:val="center"/>
            </w:pPr>
            <w:r/>
            <w:r>
              <w:rPr>
                <w:color w:val="0000FF"/>
                <w:sz w:val="18"/>
              </w:rPr>
              <w:t>16</w:t>
            </w:r>
          </w:p>
        </w:tc>
        <w:tc>
          <w:tcPr>
            <w:tcW w:type="dxa" w:w="2304"/>
          </w:tcPr>
          <w:p>
            <w:pPr>
              <w:keepNext/>
              <w:spacing w:after="0" w:line="240" w:lineRule="auto"/>
              <w:jc w:val="center"/>
            </w:pPr>
            <w:r/>
            <w:r>
              <w:rPr>
                <w:color w:val="0000FF"/>
                <w:sz w:val="18"/>
              </w:rPr>
              <w:t>0.008</w:t>
            </w:r>
          </w:p>
        </w:tc>
      </w:tr>
      <w:tr>
        <w:trPr>
          <w:cantSplit/>
        </w:trPr>
        <w:tc>
          <w:tcPr>
            <w:tcW w:type="dxa" w:w="4752"/>
          </w:tcPr>
          <w:p>
            <w:pPr>
              <w:keepNext/>
              <w:spacing w:after="0" w:line="240" w:lineRule="auto"/>
            </w:pPr>
            <w:r/>
            <w:r>
              <w:rPr>
                <w:b/>
                <w:color w:val="0000FF"/>
                <w:sz w:val="18"/>
              </w:rPr>
              <w:t>Calendar year 2017</w:t>
            </w:r>
          </w:p>
        </w:tc>
        <w:tc>
          <w:tcPr>
            <w:tcW w:type="dxa" w:w="1872"/>
          </w:tcPr>
          <w:p>
            <w:pPr>
              <w:keepNext/>
              <w:spacing w:after="0" w:line="240" w:lineRule="auto"/>
              <w:jc w:val="center"/>
            </w:pPr>
            <w:r/>
            <w:r>
              <w:rPr>
                <w:color w:val="0000FF"/>
                <w:sz w:val="18"/>
              </w:rPr>
              <w:t>22</w:t>
            </w:r>
          </w:p>
        </w:tc>
        <w:tc>
          <w:tcPr>
            <w:tcW w:type="dxa" w:w="2304"/>
          </w:tcPr>
          <w:p>
            <w:pPr>
              <w:keepNext/>
              <w:spacing w:after="0" w:line="240" w:lineRule="auto"/>
              <w:jc w:val="center"/>
            </w:pPr>
            <w:r/>
            <w:r>
              <w:rPr>
                <w:color w:val="0000FF"/>
                <w:sz w:val="18"/>
              </w:rPr>
              <w:t>0.011</w:t>
            </w:r>
          </w:p>
        </w:tc>
      </w:tr>
      <w:tr>
        <w:trPr>
          <w:cantSplit/>
        </w:trPr>
        <w:tc>
          <w:tcPr>
            <w:tcW w:type="dxa" w:w="4752"/>
          </w:tcPr>
          <w:p>
            <w:pPr>
              <w:keepNext/>
              <w:spacing w:after="0" w:line="240" w:lineRule="auto"/>
            </w:pPr>
            <w:r/>
            <w:r>
              <w:rPr>
                <w:b/>
                <w:color w:val="0000FF"/>
                <w:sz w:val="18"/>
              </w:rPr>
              <w:t>Calendar year 2018</w:t>
            </w:r>
          </w:p>
        </w:tc>
        <w:tc>
          <w:tcPr>
            <w:tcW w:type="dxa" w:w="1872"/>
          </w:tcPr>
          <w:p>
            <w:pPr>
              <w:keepNext/>
              <w:spacing w:after="0" w:line="240" w:lineRule="auto"/>
              <w:jc w:val="center"/>
            </w:pPr>
            <w:r/>
            <w:r>
              <w:rPr>
                <w:color w:val="0000FF"/>
                <w:sz w:val="18"/>
              </w:rPr>
              <w:t>28</w:t>
            </w:r>
          </w:p>
        </w:tc>
        <w:tc>
          <w:tcPr>
            <w:tcW w:type="dxa" w:w="2304"/>
          </w:tcPr>
          <w:p>
            <w:pPr>
              <w:keepNext/>
              <w:spacing w:after="0" w:line="240" w:lineRule="auto"/>
              <w:jc w:val="center"/>
            </w:pPr>
            <w:r/>
            <w:r>
              <w:rPr>
                <w:color w:val="0000FF"/>
                <w:sz w:val="18"/>
              </w:rPr>
              <w:t>0.014</w:t>
            </w:r>
          </w:p>
        </w:tc>
      </w:tr>
      <w:tr>
        <w:trPr>
          <w:cantSplit/>
        </w:trPr>
        <w:tc>
          <w:tcPr>
            <w:tcW w:type="dxa" w:w="4752"/>
          </w:tcPr>
          <w:p>
            <w:pPr>
              <w:keepNext/>
              <w:spacing w:after="0" w:line="240" w:lineRule="auto"/>
            </w:pPr>
            <w:r/>
            <w:r>
              <w:rPr>
                <w:b/>
                <w:color w:val="0000FF"/>
                <w:sz w:val="18"/>
              </w:rPr>
              <w:t>Calendar year 2019</w:t>
            </w:r>
          </w:p>
        </w:tc>
        <w:tc>
          <w:tcPr>
            <w:tcW w:type="dxa" w:w="1872"/>
          </w:tcPr>
          <w:p>
            <w:pPr>
              <w:keepNext/>
              <w:spacing w:after="0" w:line="240" w:lineRule="auto"/>
              <w:jc w:val="center"/>
            </w:pPr>
            <w:r/>
            <w:r>
              <w:rPr>
                <w:color w:val="0000FF"/>
                <w:sz w:val="18"/>
              </w:rPr>
              <w:t>49</w:t>
            </w:r>
          </w:p>
        </w:tc>
        <w:tc>
          <w:tcPr>
            <w:tcW w:type="dxa" w:w="2304"/>
          </w:tcPr>
          <w:p>
            <w:pPr>
              <w:keepNext/>
              <w:spacing w:after="0" w:line="240" w:lineRule="auto"/>
              <w:jc w:val="center"/>
            </w:pPr>
            <w:r/>
            <w:r>
              <w:rPr>
                <w:color w:val="0000FF"/>
                <w:sz w:val="18"/>
              </w:rPr>
              <w:t>0.025</w:t>
            </w:r>
          </w:p>
        </w:tc>
      </w:tr>
      <w:tr>
        <w:trPr>
          <w:cantSplit/>
        </w:trPr>
        <w:tc>
          <w:tcPr>
            <w:tcW w:type="dxa" w:w="4752"/>
          </w:tcPr>
          <w:p>
            <w:pPr>
              <w:keepNext/>
              <w:spacing w:after="0" w:line="240" w:lineRule="auto"/>
            </w:pPr>
            <w:r/>
            <w:r>
              <w:rPr>
                <w:b/>
                <w:color w:val="0000FF"/>
                <w:sz w:val="18"/>
              </w:rPr>
              <w:t>Calendar year 2020</w:t>
            </w:r>
          </w:p>
        </w:tc>
        <w:tc>
          <w:tcPr>
            <w:tcW w:type="dxa" w:w="1872"/>
          </w:tcPr>
          <w:p>
            <w:pPr>
              <w:keepNext/>
              <w:spacing w:after="0" w:line="240" w:lineRule="auto"/>
              <w:jc w:val="center"/>
            </w:pPr>
            <w:r/>
            <w:r>
              <w:rPr>
                <w:color w:val="0000FF"/>
                <w:sz w:val="18"/>
              </w:rPr>
              <w:t>126</w:t>
            </w:r>
          </w:p>
        </w:tc>
        <w:tc>
          <w:tcPr>
            <w:tcW w:type="dxa" w:w="2304"/>
          </w:tcPr>
          <w:p>
            <w:pPr>
              <w:keepNext/>
              <w:spacing w:after="0" w:line="240" w:lineRule="auto"/>
              <w:jc w:val="center"/>
            </w:pPr>
            <w:r/>
            <w:r>
              <w:rPr>
                <w:color w:val="0000FF"/>
                <w:sz w:val="18"/>
              </w:rPr>
              <w:t>0.065</w:t>
            </w:r>
          </w:p>
        </w:tc>
      </w:tr>
      <w:tr>
        <w:trPr>
          <w:cantSplit/>
        </w:trPr>
        <w:tc>
          <w:tcPr>
            <w:tcW w:type="dxa" w:w="4752"/>
          </w:tcPr>
          <w:p>
            <w:pPr>
              <w:keepNext/>
              <w:spacing w:after="0" w:line="240" w:lineRule="auto"/>
            </w:pPr>
            <w:r/>
            <w:r>
              <w:rPr>
                <w:b/>
                <w:color w:val="0000FF"/>
                <w:sz w:val="18"/>
              </w:rPr>
              <w:t>Calendar year 2021</w:t>
            </w:r>
          </w:p>
        </w:tc>
        <w:tc>
          <w:tcPr>
            <w:tcW w:type="dxa" w:w="1872"/>
          </w:tcPr>
          <w:p>
            <w:pPr>
              <w:keepNext/>
              <w:spacing w:after="0" w:line="240" w:lineRule="auto"/>
              <w:jc w:val="center"/>
            </w:pPr>
            <w:r/>
            <w:r>
              <w:rPr>
                <w:color w:val="0000FF"/>
                <w:sz w:val="18"/>
              </w:rPr>
              <w:t>243</w:t>
            </w:r>
          </w:p>
        </w:tc>
        <w:tc>
          <w:tcPr>
            <w:tcW w:type="dxa" w:w="2304"/>
          </w:tcPr>
          <w:p>
            <w:pPr>
              <w:keepNext/>
              <w:spacing w:after="0" w:line="240" w:lineRule="auto"/>
              <w:jc w:val="center"/>
            </w:pPr>
            <w:r/>
            <w:r>
              <w:rPr>
                <w:color w:val="0000FF"/>
                <w:sz w:val="18"/>
              </w:rPr>
              <w:t>0.125</w:t>
            </w:r>
          </w:p>
        </w:tc>
      </w:tr>
      <w:tr>
        <w:trPr>
          <w:cantSplit/>
        </w:trPr>
        <w:tc>
          <w:tcPr>
            <w:tcW w:type="dxa" w:w="4752"/>
          </w:tcPr>
          <w:p>
            <w:pPr>
              <w:keepNext/>
              <w:spacing w:after="0" w:line="240" w:lineRule="auto"/>
            </w:pPr>
            <w:r/>
            <w:r>
              <w:rPr>
                <w:b/>
                <w:color w:val="0000FF"/>
                <w:sz w:val="18"/>
              </w:rPr>
              <w:t>Calendar year 2022</w:t>
            </w:r>
          </w:p>
        </w:tc>
        <w:tc>
          <w:tcPr>
            <w:tcW w:type="dxa" w:w="1872"/>
          </w:tcPr>
          <w:p>
            <w:pPr>
              <w:keepNext/>
              <w:spacing w:after="0" w:line="240" w:lineRule="auto"/>
              <w:jc w:val="center"/>
            </w:pPr>
            <w:r/>
            <w:r>
              <w:rPr>
                <w:color w:val="0000FF"/>
                <w:sz w:val="18"/>
              </w:rPr>
              <w:t>454</w:t>
            </w:r>
          </w:p>
        </w:tc>
        <w:tc>
          <w:tcPr>
            <w:tcW w:type="dxa" w:w="2304"/>
          </w:tcPr>
          <w:p>
            <w:pPr>
              <w:keepNext/>
              <w:spacing w:after="0" w:line="240" w:lineRule="auto"/>
              <w:jc w:val="center"/>
            </w:pPr>
            <w:r/>
            <w:r>
              <w:rPr>
                <w:color w:val="0000FF"/>
                <w:sz w:val="18"/>
              </w:rPr>
              <w:t>0.233</w:t>
            </w:r>
          </w:p>
        </w:tc>
      </w:tr>
      <w:tr>
        <w:trPr>
          <w:cantSplit/>
        </w:trPr>
        <w:tc>
          <w:tcPr>
            <w:tcW w:type="dxa" w:w="4752"/>
          </w:tcPr>
          <w:p>
            <w:pPr>
              <w:keepNext/>
              <w:spacing w:after="0" w:line="240" w:lineRule="auto"/>
            </w:pPr>
            <w:r/>
            <w:r>
              <w:rPr>
                <w:b/>
                <w:color w:val="0000FF"/>
                <w:sz w:val="18"/>
              </w:rPr>
              <w:t>Calendar year 2023</w:t>
            </w:r>
          </w:p>
        </w:tc>
        <w:tc>
          <w:tcPr>
            <w:tcW w:type="dxa" w:w="1872"/>
          </w:tcPr>
          <w:p>
            <w:pPr>
              <w:keepNext/>
              <w:spacing w:after="0" w:line="240" w:lineRule="auto"/>
              <w:jc w:val="center"/>
            </w:pPr>
            <w:r/>
            <w:r>
              <w:rPr>
                <w:color w:val="0000FF"/>
                <w:sz w:val="18"/>
              </w:rPr>
              <w:t>523</w:t>
            </w:r>
          </w:p>
        </w:tc>
        <w:tc>
          <w:tcPr>
            <w:tcW w:type="dxa" w:w="2304"/>
          </w:tcPr>
          <w:p>
            <w:pPr>
              <w:keepNext/>
              <w:spacing w:after="0" w:line="240" w:lineRule="auto"/>
              <w:jc w:val="center"/>
            </w:pPr>
            <w:r/>
            <w:r>
              <w:rPr>
                <w:color w:val="0000FF"/>
                <w:sz w:val="18"/>
              </w:rPr>
              <w:t>0.269</w:t>
            </w:r>
          </w:p>
        </w:tc>
      </w:tr>
      <w:tr>
        <w:trPr>
          <w:cantSplit/>
        </w:trPr>
        <w:tc>
          <w:tcPr>
            <w:tcW w:type="dxa" w:w="4752"/>
            <w:tcBorders>
              <w:bottom w:val="single" w:sz="6" w:color="000000"/>
            </w:tcBorders>
          </w:tcPr>
          <w:p>
            <w:pPr>
              <w:spacing w:after="0" w:line="240" w:lineRule="auto"/>
            </w:pPr>
            <w:r/>
            <w:r>
              <w:rPr>
                <w:b/>
                <w:color w:val="0000FF"/>
                <w:sz w:val="18"/>
              </w:rPr>
              <w:t>Calendar year 2024</w:t>
            </w:r>
          </w:p>
        </w:tc>
        <w:tc>
          <w:tcPr>
            <w:tcW w:type="dxa" w:w="1872"/>
            <w:tcBorders>
              <w:bottom w:val="single" w:sz="6" w:color="000000"/>
            </w:tcBorders>
          </w:tcPr>
          <w:p>
            <w:pPr>
              <w:spacing w:after="0" w:line="240" w:lineRule="auto"/>
              <w:jc w:val="center"/>
            </w:pPr>
            <w:r/>
            <w:r>
              <w:rPr>
                <w:color w:val="0000FF"/>
                <w:sz w:val="18"/>
              </w:rPr>
              <w:t>477</w:t>
            </w:r>
          </w:p>
        </w:tc>
        <w:tc>
          <w:tcPr>
            <w:tcW w:type="dxa" w:w="2304"/>
            <w:tcBorders>
              <w:bottom w:val="single" w:sz="6" w:color="000000"/>
            </w:tcBorders>
          </w:tcPr>
          <w:p>
            <w:pPr>
              <w:spacing w:after="0" w:line="240" w:lineRule="auto"/>
              <w:jc w:val="center"/>
            </w:pPr>
            <w:r/>
            <w:r>
              <w:rPr>
                <w:color w:val="0000FF"/>
                <w:sz w:val="18"/>
              </w:rPr>
              <w:t>0.245</w:t>
            </w:r>
          </w:p>
        </w:tc>
      </w:tr>
    </w:tbl>
    <w:p>
      <w:pPr>
        <w:spacing w:line="240" w:lineRule="auto" w:after="40" w:before="280"/>
        <w:jc w:val="both"/>
      </w:pPr>
      <w:r>
        <w:rPr>
          <w:color w:val="0000FF"/>
          <w:sz w:val="18"/>
        </w:rPr>
        <w:t>Note: Each scored firm counts once in every post-coverage cell of the baseline ln(MTB) estimate; weights are cell shares.</w:t>
      </w:r>
    </w:p>
    <w:p>
      <w:pPr>
        <w:keepNext/>
        <w:spacing w:line="240" w:lineRule="auto" w:after="120" w:before="240"/>
        <w:jc w:val="center"/>
      </w:pPr>
      <w:r>
        <w:rPr>
          <w:color w:val="0000FF"/>
          <w:sz w:val="22"/>
        </w:rPr>
        <w:t>Table S11.</w:t>
      </w:r>
      <w:r>
        <w:rPr>
          <w:sz w:val="22"/>
        </w:rPr>
        <w:t xml:space="preserve"> </w:t>
      </w:r>
      <w:r>
        <w:rPr>
          <w:color w:val="0000FF"/>
          <w:sz w:val="22"/>
        </w:rPr>
        <w:t>Average change after the first recorded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440"/>
        <w:gridCol w:w="1512"/>
        <w:gridCol w:w="1512"/>
        <w:gridCol w:w="1440"/>
        <w:gridCol w:w="1584"/>
      </w:tblGrid>
      <w:tr>
        <w:trPr>
          <w:cantSplit/>
          <w:tblHeader/>
        </w:trPr>
        <w:tc>
          <w:tcPr>
            <w:tcW w:type="dxa" w:w="1872"/>
            <w:tcBorders>
              <w:top w:val="single" w:sz="6" w:color="000000"/>
              <w:bottom w:val="single" w:sz="6" w:color="000000"/>
            </w:tcBorders>
          </w:tcPr>
          <w:p>
            <w:pPr>
              <w:keepNext/>
              <w:spacing w:after="0" w:line="240" w:lineRule="auto"/>
            </w:pPr>
            <w:r/>
            <w:r>
              <w:rPr>
                <w:b/>
                <w:sz w:val="18"/>
              </w:rPr>
              <w:t>Market</w:t>
            </w:r>
          </w:p>
        </w:tc>
        <w:tc>
          <w:tcPr>
            <w:tcW w:type="dxa" w:w="1440"/>
            <w:tcBorders>
              <w:top w:val="single" w:sz="6" w:color="000000"/>
              <w:bottom w:val="single" w:sz="6" w:color="000000"/>
            </w:tcBorders>
          </w:tcPr>
          <w:p>
            <w:pPr>
              <w:keepNext/>
              <w:spacing w:after="0" w:line="240" w:lineRule="auto"/>
              <w:jc w:val="center"/>
            </w:pPr>
            <w:r/>
            <w:r>
              <w:rPr>
                <w:b/>
                <w:sz w:val="18"/>
              </w:rPr>
              <w:t>ln(MTB)</w:t>
            </w:r>
          </w:p>
        </w:tc>
        <w:tc>
          <w:tcPr>
            <w:tcW w:type="dxa" w:w="1512"/>
            <w:tcBorders>
              <w:top w:val="single" w:sz="6" w:color="000000"/>
              <w:bottom w:val="single" w:sz="6" w:color="000000"/>
            </w:tcBorders>
          </w:tcPr>
          <w:p>
            <w:pPr>
              <w:keepNext/>
              <w:spacing w:after="0" w:line="240" w:lineRule="auto"/>
              <w:jc w:val="center"/>
            </w:pPr>
            <w:r/>
            <w:r>
              <w:rPr>
                <w:b/>
                <w:sz w:val="18"/>
              </w:rPr>
              <w:t>ln(market cap)</w:t>
            </w:r>
          </w:p>
        </w:tc>
        <w:tc>
          <w:tcPr>
            <w:tcW w:type="dxa" w:w="1512"/>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440"/>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1872"/>
          </w:tcPr>
          <w:p>
            <w:pPr>
              <w:keepNext/>
              <w:spacing w:after="0" w:line="240" w:lineRule="auto"/>
            </w:pPr>
            <w:r/>
            <w:r>
              <w:rPr>
                <w:b/>
                <w:sz w:val="18"/>
              </w:rPr>
              <w:t>Indonesia</w:t>
            </w:r>
          </w:p>
        </w:tc>
        <w:tc>
          <w:tcPr>
            <w:tcW w:type="dxa" w:w="1440"/>
          </w:tcPr>
          <w:p>
            <w:pPr>
              <w:keepNext/>
              <w:spacing w:after="0" w:line="240" w:lineRule="auto"/>
              <w:jc w:val="center"/>
            </w:pPr>
            <w:r/>
            <w:r>
              <w:rPr>
                <w:sz w:val="18"/>
              </w:rPr>
              <w:t>0.054</w:t>
            </w:r>
            <w:r>
              <w:br/>
            </w:r>
            <w:r>
              <w:rPr>
                <w:sz w:val="18"/>
              </w:rPr>
              <w:t>(0.128)</w:t>
            </w:r>
          </w:p>
        </w:tc>
        <w:tc>
          <w:tcPr>
            <w:tcW w:type="dxa" w:w="1512"/>
          </w:tcPr>
          <w:p>
            <w:pPr>
              <w:keepNext/>
              <w:spacing w:after="0" w:line="240" w:lineRule="auto"/>
              <w:jc w:val="center"/>
            </w:pPr>
            <w:r/>
            <w:r>
              <w:rPr>
                <w:sz w:val="18"/>
              </w:rPr>
              <w:t>−0.018</w:t>
            </w:r>
            <w:r>
              <w:br/>
            </w:r>
            <w:r>
              <w:rPr>
                <w:sz w:val="18"/>
              </w:rPr>
              <w:t>(0.109)</w:t>
            </w:r>
          </w:p>
        </w:tc>
        <w:tc>
          <w:tcPr>
            <w:tcW w:type="dxa" w:w="1512"/>
          </w:tcPr>
          <w:p>
            <w:pPr>
              <w:keepNext/>
              <w:spacing w:after="0" w:line="240" w:lineRule="auto"/>
              <w:jc w:val="center"/>
            </w:pPr>
            <w:r/>
            <w:r>
              <w:rPr>
                <w:sz w:val="18"/>
              </w:rPr>
              <w:t>0.023</w:t>
            </w:r>
            <w:r>
              <w:br/>
            </w:r>
            <w:r>
              <w:rPr>
                <w:sz w:val="18"/>
              </w:rPr>
              <w:t>(0.018)</w:t>
            </w:r>
          </w:p>
        </w:tc>
        <w:tc>
          <w:tcPr>
            <w:tcW w:type="dxa" w:w="1440"/>
          </w:tcPr>
          <w:p>
            <w:pPr>
              <w:keepNext/>
              <w:spacing w:after="0" w:line="240" w:lineRule="auto"/>
              <w:jc w:val="center"/>
            </w:pPr>
            <w:r/>
            <w:r>
              <w:rPr>
                <w:sz w:val="18"/>
              </w:rPr>
              <w:t>0.123*</w:t>
            </w:r>
            <w:r>
              <w:br/>
            </w:r>
            <w:r>
              <w:rPr>
                <w:sz w:val="18"/>
              </w:rPr>
              <w:t>(0.070)</w:t>
            </w:r>
          </w:p>
        </w:tc>
        <w:tc>
          <w:tcPr>
            <w:tcW w:type="dxa" w:w="1584"/>
          </w:tcPr>
          <w:p>
            <w:pPr>
              <w:keepNext/>
              <w:spacing w:after="0" w:line="240" w:lineRule="auto"/>
              <w:jc w:val="center"/>
            </w:pPr>
            <w:r/>
            <w:r>
              <w:rPr>
                <w:color w:val="0000FF"/>
                <w:sz w:val="18"/>
              </w:rPr>
              <w:t>39 / 678</w:t>
            </w:r>
          </w:p>
        </w:tc>
      </w:tr>
      <w:tr>
        <w:trPr>
          <w:cantSplit/>
        </w:trPr>
        <w:tc>
          <w:tcPr>
            <w:tcW w:type="dxa" w:w="1872"/>
          </w:tcPr>
          <w:p>
            <w:pPr>
              <w:keepNext/>
              <w:spacing w:after="0" w:line="240" w:lineRule="auto"/>
            </w:pPr>
            <w:r/>
            <w:r>
              <w:rPr>
                <w:b/>
                <w:sz w:val="18"/>
              </w:rPr>
              <w:t>Malaysia</w:t>
            </w:r>
          </w:p>
        </w:tc>
        <w:tc>
          <w:tcPr>
            <w:tcW w:type="dxa" w:w="1440"/>
          </w:tcPr>
          <w:p>
            <w:pPr>
              <w:keepNext/>
              <w:spacing w:after="0" w:line="240" w:lineRule="auto"/>
              <w:jc w:val="center"/>
            </w:pPr>
            <w:r/>
            <w:r>
              <w:rPr>
                <w:sz w:val="18"/>
              </w:rPr>
              <w:t>0.009</w:t>
            </w:r>
            <w:r>
              <w:br/>
            </w:r>
            <w:r>
              <w:rPr>
                <w:sz w:val="18"/>
              </w:rPr>
              <w:t>(0.033)</w:t>
            </w:r>
          </w:p>
        </w:tc>
        <w:tc>
          <w:tcPr>
            <w:tcW w:type="dxa" w:w="1512"/>
          </w:tcPr>
          <w:p>
            <w:pPr>
              <w:keepNext/>
              <w:spacing w:after="0" w:line="240" w:lineRule="auto"/>
              <w:jc w:val="center"/>
            </w:pPr>
            <w:r/>
            <w:r>
              <w:rPr>
                <w:sz w:val="18"/>
              </w:rPr>
              <w:t>−0.114**</w:t>
            </w:r>
            <w:r>
              <w:br/>
            </w:r>
            <w:r>
              <w:rPr>
                <w:sz w:val="18"/>
              </w:rPr>
              <w:t>(0.048)</w:t>
            </w:r>
          </w:p>
        </w:tc>
        <w:tc>
          <w:tcPr>
            <w:tcW w:type="dxa" w:w="1512"/>
          </w:tcPr>
          <w:p>
            <w:pPr>
              <w:keepNext/>
              <w:spacing w:after="0" w:line="240" w:lineRule="auto"/>
              <w:jc w:val="center"/>
            </w:pPr>
            <w:r/>
            <w:r>
              <w:rPr>
                <w:sz w:val="18"/>
              </w:rPr>
              <w:t>0.002</w:t>
            </w:r>
            <w:r>
              <w:br/>
            </w:r>
            <w:r>
              <w:rPr>
                <w:sz w:val="18"/>
              </w:rPr>
              <w:t>(0.006)</w:t>
            </w:r>
          </w:p>
        </w:tc>
        <w:tc>
          <w:tcPr>
            <w:tcW w:type="dxa" w:w="1440"/>
          </w:tcPr>
          <w:p>
            <w:pPr>
              <w:keepNext/>
              <w:spacing w:after="0" w:line="240" w:lineRule="auto"/>
              <w:jc w:val="center"/>
            </w:pPr>
            <w:r/>
            <w:r>
              <w:rPr>
                <w:sz w:val="18"/>
              </w:rPr>
              <w:t>0.033</w:t>
            </w:r>
            <w:r>
              <w:br/>
            </w:r>
            <w:r>
              <w:rPr>
                <w:sz w:val="18"/>
              </w:rPr>
              <w:t>(0.024)</w:t>
            </w:r>
          </w:p>
        </w:tc>
        <w:tc>
          <w:tcPr>
            <w:tcW w:type="dxa" w:w="1584"/>
          </w:tcPr>
          <w:p>
            <w:pPr>
              <w:keepNext/>
              <w:spacing w:after="0" w:line="240" w:lineRule="auto"/>
              <w:jc w:val="center"/>
            </w:pPr>
            <w:r/>
            <w:r>
              <w:rPr>
                <w:color w:val="0000FF"/>
                <w:sz w:val="18"/>
              </w:rPr>
              <w:t>372 / 486</w:t>
            </w:r>
          </w:p>
        </w:tc>
      </w:tr>
      <w:tr>
        <w:trPr>
          <w:cantSplit/>
        </w:trPr>
        <w:tc>
          <w:tcPr>
            <w:tcW w:type="dxa" w:w="1872"/>
          </w:tcPr>
          <w:p>
            <w:pPr>
              <w:keepNext/>
              <w:spacing w:after="0" w:line="240" w:lineRule="auto"/>
            </w:pPr>
            <w:r/>
            <w:r>
              <w:rPr>
                <w:b/>
                <w:sz w:val="18"/>
              </w:rPr>
              <w:t>Philippines</w:t>
            </w:r>
          </w:p>
        </w:tc>
        <w:tc>
          <w:tcPr>
            <w:tcW w:type="dxa" w:w="1440"/>
          </w:tcPr>
          <w:p>
            <w:pPr>
              <w:keepNext/>
              <w:spacing w:after="0" w:line="240" w:lineRule="auto"/>
              <w:jc w:val="center"/>
            </w:pPr>
            <w:r/>
            <w:r>
              <w:rPr>
                <w:sz w:val="18"/>
              </w:rPr>
              <w:t>−0.006</w:t>
            </w:r>
            <w:r>
              <w:br/>
            </w:r>
            <w:r>
              <w:rPr>
                <w:sz w:val="18"/>
              </w:rPr>
              <w:t>(0.109)</w:t>
            </w:r>
          </w:p>
        </w:tc>
        <w:tc>
          <w:tcPr>
            <w:tcW w:type="dxa" w:w="1512"/>
          </w:tcPr>
          <w:p>
            <w:pPr>
              <w:keepNext/>
              <w:spacing w:after="0" w:line="240" w:lineRule="auto"/>
              <w:jc w:val="center"/>
            </w:pPr>
            <w:r/>
            <w:r>
              <w:rPr>
                <w:sz w:val="18"/>
              </w:rPr>
              <w:t>0.101</w:t>
            </w:r>
            <w:r>
              <w:br/>
            </w:r>
            <w:r>
              <w:rPr>
                <w:sz w:val="18"/>
              </w:rPr>
              <w:t>(0.128)</w:t>
            </w:r>
          </w:p>
        </w:tc>
        <w:tc>
          <w:tcPr>
            <w:tcW w:type="dxa" w:w="1512"/>
          </w:tcPr>
          <w:p>
            <w:pPr>
              <w:keepNext/>
              <w:spacing w:after="0" w:line="240" w:lineRule="auto"/>
              <w:jc w:val="center"/>
            </w:pPr>
            <w:r/>
            <w:r>
              <w:rPr>
                <w:sz w:val="18"/>
              </w:rPr>
              <w:t>0.041</w:t>
            </w:r>
            <w:r>
              <w:br/>
            </w:r>
            <w:r>
              <w:rPr>
                <w:sz w:val="18"/>
              </w:rPr>
              <w:t>(0.028)</w:t>
            </w:r>
          </w:p>
        </w:tc>
        <w:tc>
          <w:tcPr>
            <w:tcW w:type="dxa" w:w="1440"/>
          </w:tcPr>
          <w:p>
            <w:pPr>
              <w:keepNext/>
              <w:spacing w:after="0" w:line="240" w:lineRule="auto"/>
              <w:jc w:val="center"/>
            </w:pPr>
            <w:r/>
            <w:r>
              <w:rPr>
                <w:sz w:val="18"/>
              </w:rPr>
              <w:t>0.025</w:t>
            </w:r>
            <w:r>
              <w:br/>
            </w:r>
            <w:r>
              <w:rPr>
                <w:sz w:val="18"/>
              </w:rPr>
              <w:t>(0.079)</w:t>
            </w:r>
          </w:p>
        </w:tc>
        <w:tc>
          <w:tcPr>
            <w:tcW w:type="dxa" w:w="1584"/>
          </w:tcPr>
          <w:p>
            <w:pPr>
              <w:keepNext/>
              <w:spacing w:after="0" w:line="240" w:lineRule="auto"/>
              <w:jc w:val="center"/>
            </w:pPr>
            <w:r/>
            <w:r>
              <w:rPr>
                <w:color w:val="0000FF"/>
                <w:sz w:val="18"/>
              </w:rPr>
              <w:t>14 / 179</w:t>
            </w:r>
          </w:p>
        </w:tc>
      </w:tr>
      <w:tr>
        <w:trPr>
          <w:cantSplit/>
        </w:trPr>
        <w:tc>
          <w:tcPr>
            <w:tcW w:type="dxa" w:w="1872"/>
          </w:tcPr>
          <w:p>
            <w:pPr>
              <w:keepNext/>
              <w:spacing w:after="0" w:line="240" w:lineRule="auto"/>
            </w:pPr>
            <w:r/>
            <w:r>
              <w:rPr>
                <w:b/>
                <w:sz w:val="18"/>
              </w:rPr>
              <w:t>Singapore</w:t>
            </w:r>
          </w:p>
        </w:tc>
        <w:tc>
          <w:tcPr>
            <w:tcW w:type="dxa" w:w="1440"/>
          </w:tcPr>
          <w:p>
            <w:pPr>
              <w:keepNext/>
              <w:spacing w:after="0" w:line="240" w:lineRule="auto"/>
              <w:jc w:val="center"/>
            </w:pPr>
            <w:r/>
            <w:r>
              <w:rPr>
                <w:sz w:val="18"/>
              </w:rPr>
              <w:t>−0.037</w:t>
            </w:r>
            <w:r>
              <w:br/>
            </w:r>
            <w:r>
              <w:rPr>
                <w:sz w:val="18"/>
              </w:rPr>
              <w:t>(0.073)</w:t>
            </w:r>
          </w:p>
        </w:tc>
        <w:tc>
          <w:tcPr>
            <w:tcW w:type="dxa" w:w="1512"/>
          </w:tcPr>
          <w:p>
            <w:pPr>
              <w:keepNext/>
              <w:spacing w:after="0" w:line="240" w:lineRule="auto"/>
              <w:jc w:val="center"/>
            </w:pPr>
            <w:r/>
            <w:r>
              <w:rPr>
                <w:sz w:val="18"/>
              </w:rPr>
              <w:t>0.143*</w:t>
            </w:r>
            <w:r>
              <w:br/>
            </w:r>
            <w:r>
              <w:rPr>
                <w:sz w:val="18"/>
              </w:rPr>
              <w:t>(0.087)</w:t>
            </w:r>
          </w:p>
        </w:tc>
        <w:tc>
          <w:tcPr>
            <w:tcW w:type="dxa" w:w="1512"/>
          </w:tcPr>
          <w:p>
            <w:pPr>
              <w:keepNext/>
              <w:spacing w:after="0" w:line="240" w:lineRule="auto"/>
              <w:jc w:val="center"/>
            </w:pPr>
            <w:r/>
            <w:r>
              <w:rPr>
                <w:sz w:val="18"/>
              </w:rPr>
              <w:t>0.048**</w:t>
            </w:r>
            <w:r>
              <w:br/>
            </w:r>
            <w:r>
              <w:rPr>
                <w:sz w:val="18"/>
              </w:rPr>
              <w:t>(0.020)</w:t>
            </w:r>
          </w:p>
        </w:tc>
        <w:tc>
          <w:tcPr>
            <w:tcW w:type="dxa" w:w="1440"/>
          </w:tcPr>
          <w:p>
            <w:pPr>
              <w:keepNext/>
              <w:spacing w:after="0" w:line="240" w:lineRule="auto"/>
              <w:jc w:val="center"/>
            </w:pPr>
            <w:r/>
            <w:r>
              <w:rPr>
                <w:sz w:val="18"/>
              </w:rPr>
              <w:t>0.013</w:t>
            </w:r>
            <w:r>
              <w:br/>
            </w:r>
            <w:r>
              <w:rPr>
                <w:sz w:val="18"/>
              </w:rPr>
              <w:t>(0.084)</w:t>
            </w:r>
          </w:p>
        </w:tc>
        <w:tc>
          <w:tcPr>
            <w:tcW w:type="dxa" w:w="1584"/>
          </w:tcPr>
          <w:p>
            <w:pPr>
              <w:keepNext/>
              <w:spacing w:after="0" w:line="240" w:lineRule="auto"/>
              <w:jc w:val="center"/>
            </w:pPr>
            <w:r/>
            <w:r>
              <w:rPr>
                <w:color w:val="0000FF"/>
                <w:sz w:val="18"/>
              </w:rPr>
              <w:t>46 / 452</w:t>
            </w:r>
          </w:p>
        </w:tc>
      </w:tr>
      <w:tr>
        <w:trPr>
          <w:cantSplit/>
        </w:trPr>
        <w:tc>
          <w:tcPr>
            <w:tcW w:type="dxa" w:w="1872"/>
            <w:tcBorders>
              <w:bottom w:val="single" w:sz="6" w:color="000000"/>
            </w:tcBorders>
          </w:tcPr>
          <w:p>
            <w:pPr>
              <w:spacing w:after="0" w:line="240" w:lineRule="auto"/>
            </w:pPr>
            <w:r/>
            <w:r>
              <w:rPr>
                <w:b/>
                <w:sz w:val="18"/>
              </w:rPr>
              <w:t>Thailand</w:t>
            </w:r>
          </w:p>
        </w:tc>
        <w:tc>
          <w:tcPr>
            <w:tcW w:type="dxa" w:w="1440"/>
            <w:tcBorders>
              <w:bottom w:val="single" w:sz="6" w:color="000000"/>
            </w:tcBorders>
          </w:tcPr>
          <w:p>
            <w:pPr>
              <w:spacing w:after="0" w:line="240" w:lineRule="auto"/>
              <w:jc w:val="center"/>
            </w:pPr>
            <w:r/>
            <w:r>
              <w:rPr>
                <w:sz w:val="18"/>
              </w:rPr>
              <w:t>0.027</w:t>
            </w:r>
            <w:r>
              <w:br/>
            </w:r>
            <w:r>
              <w:rPr>
                <w:sz w:val="18"/>
              </w:rPr>
              <w:t>(0.047)</w:t>
            </w:r>
          </w:p>
        </w:tc>
        <w:tc>
          <w:tcPr>
            <w:tcW w:type="dxa" w:w="1512"/>
            <w:tcBorders>
              <w:bottom w:val="single" w:sz="6" w:color="000000"/>
            </w:tcBorders>
          </w:tcPr>
          <w:p>
            <w:pPr>
              <w:spacing w:after="0" w:line="240" w:lineRule="auto"/>
              <w:jc w:val="center"/>
            </w:pPr>
            <w:r/>
            <w:r>
              <w:rPr>
                <w:sz w:val="18"/>
              </w:rPr>
              <w:t>0.059</w:t>
            </w:r>
            <w:r>
              <w:br/>
            </w:r>
            <w:r>
              <w:rPr>
                <w:sz w:val="18"/>
              </w:rPr>
              <w:t>(0.059)</w:t>
            </w:r>
          </w:p>
        </w:tc>
        <w:tc>
          <w:tcPr>
            <w:tcW w:type="dxa" w:w="1512"/>
            <w:tcBorders>
              <w:bottom w:val="single" w:sz="6" w:color="000000"/>
            </w:tcBorders>
          </w:tcPr>
          <w:p>
            <w:pPr>
              <w:spacing w:after="0" w:line="240" w:lineRule="auto"/>
              <w:jc w:val="center"/>
            </w:pPr>
            <w:r/>
            <w:r>
              <w:rPr>
                <w:sz w:val="18"/>
              </w:rPr>
              <w:t>0.025*</w:t>
            </w:r>
            <w:r>
              <w:br/>
            </w:r>
            <w:r>
              <w:rPr>
                <w:sz w:val="18"/>
              </w:rPr>
              <w:t>(0.013)</w:t>
            </w:r>
          </w:p>
        </w:tc>
        <w:tc>
          <w:tcPr>
            <w:tcW w:type="dxa" w:w="1440"/>
            <w:tcBorders>
              <w:bottom w:val="single" w:sz="6" w:color="000000"/>
            </w:tcBorders>
          </w:tcPr>
          <w:p>
            <w:pPr>
              <w:spacing w:after="0" w:line="240" w:lineRule="auto"/>
              <w:jc w:val="center"/>
            </w:pPr>
            <w:r/>
            <w:r>
              <w:rPr>
                <w:sz w:val="18"/>
              </w:rPr>
              <w:t>0.017</w:t>
            </w:r>
            <w:r>
              <w:br/>
            </w:r>
            <w:r>
              <w:rPr>
                <w:sz w:val="18"/>
              </w:rPr>
              <w:t>(0.040)</w:t>
            </w:r>
          </w:p>
        </w:tc>
        <w:tc>
          <w:tcPr>
            <w:tcW w:type="dxa" w:w="1584"/>
            <w:tcBorders>
              <w:bottom w:val="single" w:sz="6" w:color="000000"/>
            </w:tcBorders>
          </w:tcPr>
          <w:p>
            <w:pPr>
              <w:spacing w:after="0" w:line="240" w:lineRule="auto"/>
              <w:jc w:val="center"/>
            </w:pPr>
            <w:r/>
            <w:r>
              <w:rPr>
                <w:color w:val="0000FF"/>
                <w:sz w:val="18"/>
              </w:rPr>
              <w:t>157 / 599</w:t>
            </w:r>
          </w:p>
        </w:tc>
      </w:tr>
    </w:tbl>
    <w:p>
      <w:pPr>
        <w:spacing w:line="240" w:lineRule="auto" w:after="40" w:before="280"/>
        <w:jc w:val="both"/>
      </w:pPr>
      <w:r>
        <w:rPr>
          <w:color w:val="0000FF"/>
          <w:sz w:val="18"/>
        </w:rPr>
        <w:t>Note: Outcome regression within each market, with firm-bootstrap standard errors; firm counts for ln(MTB). *, **, ***: 10%, 5%, 1% (unadjusted).</w:t>
      </w:r>
    </w:p>
    <w:p>
      <w:pPr>
        <w:pStyle w:val="Heading1"/>
        <w:keepNext/>
        <w:spacing w:line="360" w:lineRule="auto" w:after="120" w:before="360"/>
      </w:pPr>
      <w:r>
        <w:rPr>
          <w:rFonts w:ascii="Times New Roman" w:hAnsi="Times New Roman" w:eastAsia="Times New Roman"/>
          <w:b/>
          <w:i w:val="0"/>
          <w:color w:val="0000FF"/>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FF"/>
          <w:sz w:val="24"/>
        </w:rPr>
        <w:t>A.1.</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Event Year 4 (Section 4.1)</w:t>
      </w:r>
    </w:p>
    <w:p>
      <w:pPr>
        <w:spacing w:line="360" w:lineRule="auto" w:after="120" w:before="0"/>
        <w:ind w:firstLine="720"/>
        <w:jc w:val="both"/>
      </w:pPr>
      <w:r>
        <w:rPr>
          <w:color w:val="0000FF"/>
        </w:rPr>
        <w:t>Only 141 scored firms from 6 cohorts reach event year 4; therefore, we plot that year in Figure 1 but exclude it from the headline estimate.</w:t>
      </w:r>
      <w:r>
        <w:rPr/>
        <w:t xml:space="preserve">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FF"/>
          <w:sz w:val="24"/>
        </w:rPr>
        <w:t>A.2.</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Further Timing Variants of the One-Year-Later Dating (Section 4.2)</w:t>
      </w:r>
    </w:p>
    <w:p>
      <w:pPr>
        <w:spacing w:line="360" w:lineRule="auto" w:after="120" w:before="0"/>
        <w:ind w:firstLine="720"/>
        <w:jc w:val="both"/>
      </w:pPr>
      <w:r>
        <w:rPr>
          <w:color w:val="0000FF"/>
        </w:rPr>
        <w:t>Under the one-year-later dating, the decline in log MTB loses significance once M̄ in the relative-magnitude bound reaches 0.23.</w:t>
      </w:r>
      <w:r>
        <w:rPr/>
        <w:t xml:space="preserve"> </w:t>
      </w:r>
      <w:r>
        <w:rPr>
          <w:color w:val="0000FF"/>
        </w:rPr>
        <w:t>Holding total assets at the original base year gives −0.074 (p = 0.002), so the covariate timing does not drive the one-year-later estimate.</w:t>
      </w:r>
      <w:r>
        <w:rPr/>
        <w:t xml:space="preserve">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FF"/>
          <w:sz w:val="24"/>
        </w:rPr>
        <w:t>A.3.</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Reconciling the One-Year-Later and Baseline Event-Time Paths (Section 4.2, Figure S2)</w:t>
      </w:r>
    </w:p>
    <w:p>
      <w:pPr>
        <w:spacing w:line="360" w:lineRule="auto" w:after="120" w:before="0"/>
        <w:ind w:firstLine="720"/>
        <w:jc w:val="both"/>
      </w:pPr>
      <w:r>
        <w:rPr>
          <w:color w:val="0000FF"/>
        </w:rPr>
        <w:t>The baseline path in Figure 1 does not show the one-year-later decline because its later event years come from early cohorts, while its first post-coverage years pool all cohorts.</w:t>
      </w:r>
      <w:r>
        <w:rPr/>
        <w:t xml:space="preserve"> </w:t>
      </w:r>
      <w:r>
        <w:rPr>
          <w:color w:val="0000FF"/>
        </w:rPr>
        <w:t>Re-based within each cohort to the first recorded year, the baseline point estimates for event years 3 and 4 are −0.083 and −0.167, respectively.</w:t>
      </w:r>
      <w:r>
        <w:rPr/>
        <w:t xml:space="preserve"> </w:t>
      </w:r>
      <w:r>
        <w:rPr>
          <w:color w:val="0000FF"/>
        </w:rPr>
        <w:t>These lie closer to the corresponding one-year-later estimates of −0.138 and −0.200 than the pooled baseline path suggests.</w:t>
      </w:r>
      <w:r>
        <w:rPr/>
        <w:t xml:space="preserve"> We report the re-based values without standard errors, as a reconciliation of the two paths rather than a test. </w:t>
      </w:r>
      <w:r>
        <w:rPr>
          <w:color w:val="0000FF"/>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FF"/>
          <w:sz w:val="24"/>
        </w:rPr>
        <w:t>A.4.</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Size Covariate and Support (Section 4.3, Table S4, Figure S2)</w:t>
      </w:r>
    </w:p>
    <w:p>
      <w:pPr>
        <w:spacing w:line="360" w:lineRule="auto" w:after="120" w:before="0"/>
        <w:ind w:firstLine="720"/>
        <w:jc w:val="both"/>
      </w:pPr>
      <w:r>
        <w:rPr>
          <w:color w:val="0000FF"/>
        </w:rPr>
        <w:t>Table S4 and Figure S2 vary the size covariate and support; Table 5 of the paper reports the full set of variants.</w:t>
      </w:r>
      <w:r>
        <w:rPr/>
        <w:t xml:space="preserve"> </w:t>
      </w:r>
      <w:r>
        <w:rPr>
          <w:color w:val="0000FF"/>
        </w:rPr>
        <w:t>Scored-firm counts differ slightly across tables for the same estimate: Tables 4, 5, and 7 count firms in the averaged event years, while Tables 2, 3, S9, and S11 count firms in any event-time cell.</w:t>
      </w:r>
      <w:r>
        <w:rPr/>
        <w:t xml:space="preserve"> </w:t>
      </w:r>
      <w:r>
        <w:rPr>
          <w:color w:val="0000FF"/>
        </w:rPr>
        <w:t>The run-up is smaller without conditioning on base-year total assets.</w:t>
      </w:r>
      <w:r>
        <w:rPr/>
        <w:t xml:space="preserve">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FF"/>
          <w:sz w:val="24"/>
        </w:rPr>
        <w:t>A.5.</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Decomposition of the TWFE Gap (Section 4.3, Table S5)</w:t>
      </w:r>
    </w:p>
    <w:p>
      <w:pPr>
        <w:spacing w:line="360" w:lineRule="auto" w:after="120" w:before="0"/>
        <w:ind w:firstLine="720"/>
        <w:jc w:val="both"/>
      </w:pPr>
      <w:r>
        <w:rPr>
          <w:color w:val="0000FF"/>
        </w:rPr>
        <w:t>Table S5 shows the decomposition of the gap between the static TWFE estimate and the headline MTB estimate.</w:t>
      </w:r>
      <w:r>
        <w:rPr/>
        <w:t xml:space="preserv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FF"/>
          <w:sz w:val="24"/>
        </w:rPr>
        <w:t>A.6.</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Market-by-Market and Early Versus Late Cohorts (Section 4.4, Table S11)</w:t>
      </w:r>
    </w:p>
    <w:p>
      <w:pPr>
        <w:spacing w:line="360" w:lineRule="auto" w:after="120" w:before="0"/>
        <w:ind w:firstLine="720"/>
        <w:jc w:val="both"/>
      </w:pPr>
      <w:r>
        <w:rPr>
          <w:color w:val="0000FF"/>
        </w:rPr>
        <w:t>Estimated market by market in Table S11, the MTB effect is 0.009 in Malaysia, with 372 scored firms, and 0.027 in Thailand, with 157.</w:t>
      </w:r>
      <w:r>
        <w:rPr/>
        <w:t xml:space="preserve"> Indonesia, the Philippines, and Singapore have few scored firms and imprecise estimates. </w:t>
      </w:r>
      <w:r>
        <w:rPr>
          <w:color w:val="0000FF"/>
        </w:rPr>
        <w:t>The 58 firms first scored by 2019 that enter the MTB estimate show a positive post-coverage MTB estimate of 0.094 (p = 0.047; 95% interval 0.002 to 0.185), and the larger group first scored from 2020 shows −0.010 (p = 0.687).</w:t>
      </w:r>
      <w:r>
        <w:rPr/>
        <w:t xml:space="preserve">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FF"/>
          <w:sz w:val="24"/>
        </w:rPr>
        <w:t>A.7.</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Breadth of the Malaysian Wave (Section 4.1,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FF"/>
          <w:sz w:val="24"/>
        </w:rPr>
        <w:t>A.8.</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Composition of the Pooled Estimate (Section 4.4, Table S10)</w:t>
      </w:r>
    </w:p>
    <w:p>
      <w:pPr>
        <w:spacing w:line="360" w:lineRule="auto" w:after="120" w:before="0"/>
        <w:ind w:firstLine="720"/>
        <w:jc w:val="both"/>
      </w:pPr>
      <w:r>
        <w:rPr>
          <w:color w:val="0000FF"/>
        </w:rPr>
        <w:t>Table S10 counts scored firm-cells, one for each scored firm in each post-coverage cell of the ln(MTB) estimate, by market and by coverage wave.</w:t>
      </w:r>
      <w:r>
        <w:rPr/>
        <w:t xml:space="preserve"> </w:t>
      </w:r>
      <w:r>
        <w:rPr>
          <w:color w:val="0000FF"/>
        </w:rPr>
        <w:t>These counts are the weights of the headline estimate.</w:t>
      </w:r>
    </w:p>
    <w:p>
      <w:pPr>
        <w:pStyle w:val="Heading2"/>
        <w:keepNext/>
        <w:spacing w:line="360" w:lineRule="auto" w:after="120" w:before="160"/>
      </w:pPr>
      <w:r>
        <w:rPr>
          <w:rFonts w:ascii="Times New Roman" w:hAnsi="Times New Roman" w:eastAsia="Times New Roman"/>
          <w:b/>
          <w:i w:val="0"/>
          <w:color w:val="0000FF"/>
          <w:sz w:val="24"/>
        </w:rPr>
        <w:t>A.9.</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Dating by Wave (Section 4.2, Table S6)</w:t>
      </w:r>
    </w:p>
    <w:p>
      <w:pPr>
        <w:spacing w:line="360" w:lineRule="auto" w:after="120" w:before="0"/>
        <w:ind w:firstLine="720"/>
        <w:jc w:val="both"/>
      </w:pPr>
      <w:r>
        <w:rPr>
          <w:color w:val="0000FF"/>
        </w:rPr>
        <w:t>Table S6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FF"/>
          <w:sz w:val="24"/>
        </w:rPr>
        <w:t>A.10.</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Firm-years with and Without an MTB Ratio (Section 4.3, Table S8)</w:t>
      </w:r>
    </w:p>
    <w:p>
      <w:pPr>
        <w:spacing w:line="360" w:lineRule="auto" w:after="120" w:before="0"/>
        <w:ind w:firstLine="720"/>
        <w:jc w:val="both"/>
      </w:pPr>
      <w:r>
        <w:rPr>
          <w:color w:val="0000FF"/>
        </w:rPr>
        <w:t>Table S8 compares scored and never-scored firm-years with and without an MTB ratio in the estimation sample.</w:t>
      </w:r>
      <w:r>
        <w:rPr/>
        <w:t xml:space="preserve"> </w:t>
      </w:r>
      <w:r>
        <w:rPr>
          <w:color w:val="0000FF"/>
        </w:rPr>
        <w:t>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FF"/>
          <w:sz w:val="24"/>
        </w:rPr>
        <w:t>A.11.</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Other Robustness Checks (Section 4.3)</w:t>
      </w:r>
    </w:p>
    <w:p>
      <w:pPr>
        <w:spacing w:line="360" w:lineRule="auto" w:after="120" w:before="0"/>
        <w:ind w:firstLine="720"/>
        <w:jc w:val="both"/>
      </w:pPr>
      <w:r>
        <w:rPr>
          <w:color w:val="0000FF"/>
        </w:rPr>
        <w:t>The four pre-specified robustness checks in Table 3 give MTB effects of −0.001 with not-yet-scored firms among the controls, 0.025 without covariates, 0.031 without the 2020 and 2021 cohorts, and 0.016 when control firms below the size range of scored firms are dropped.</w:t>
      </w:r>
      <w:r>
        <w:rPr/>
        <w:t xml:space="preserve"> </w:t>
      </w:r>
      <w:r>
        <w:rPr>
          <w:color w:val="0000FF"/>
        </w:rPr>
        <w:t>Under the last restriction the market capitalization effect shrinks to −0.007 and the total assets effect is 0.101, against 0.011 without covariates.</w:t>
      </w:r>
      <w:r>
        <w:rPr/>
        <w:t xml:space="preserve"> </w:t>
      </w:r>
      <w:r>
        <w:rPr>
          <w:color w:val="0000FF"/>
        </w:rPr>
        <w:t>Removing a linear pre-trend that passes through zero in the base year gives a negative MTB effect because a continued run-up would have raised valuations further.</w:t>
      </w:r>
      <w:r>
        <w:rPr/>
        <w:t xml:space="preserve"> </w:t>
      </w:r>
      <w:r>
        <w:rPr>
          <w:color w:val="0000FF"/>
        </w:rPr>
        <w:t>Adding market capitalization growth from g − 3 to the base year to the covariates does not settle the reversal question, because control firms with similar past growth can themselves revert.</w:t>
      </w:r>
      <w:r>
        <w:rPr/>
        <w:t xml:space="preserve"> </w:t>
      </w:r>
      <w:r>
        <w:rPr>
          <w:color w:val="0000FF"/>
        </w:rPr>
        <w:t>The placebo gives 0.134 for log market capitalization (p &lt; 0.001), and the static TWFE regression gives 0.185.</w:t>
      </w:r>
      <w:r>
        <w:rPr/>
        <w:t xml:space="preserve"> </w:t>
      </w:r>
      <w:r>
        <w:rPr>
          <w:color w:val="0000FF"/>
        </w:rPr>
        <w:t>Without Malaysia, the MTB effect is −0.003 (p = 0.940) and the market capitalization effect 0.037.</w:t>
      </w:r>
    </w:p>
    <w:p>
      <w:pPr>
        <w:spacing w:line="360" w:lineRule="auto" w:after="120" w:before="0"/>
        <w:ind w:firstLine="720"/>
        <w:jc w:val="both"/>
      </w:pPr>
      <w:r>
        <w:rPr>
          <w:color w:val="0000FF"/>
        </w:rPr>
        <w:t>In the outcome regression, a country or industry indicator would be unidentified in a cell with no control firm in that country or industry, and its coefficient would be set to zero.</w:t>
      </w:r>
      <w:r>
        <w:rPr/>
        <w:t xml:space="preserve"> </w:t>
      </w:r>
      <w:r>
        <w:rPr>
          <w:color w:val="0000FF"/>
        </w:rPr>
        <w:t>This does not occur: in all 34 cells of event years 0 to 3 for ln(MTB), and all 34 for ln(market capitalization), every indicator carried by a scored firm is also carried by a control firm.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