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t>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over the five years before the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p>
      <w:pPr>
        <w:spacing w:line="360" w:lineRule="auto" w:after="120" w:before="0"/>
        <w:jc w:val="both"/>
      </w:pPr>
      <w:r>
        <w:rPr>
          <w:b/>
        </w:rPr>
        <w:t>Keywords:</w:t>
      </w:r>
      <w:r>
        <w:rPr/>
        <w:t xml:space="preserve"> ESG ratings, firm valuation, rating coverage, selection, Southeast Asia, sustainable finance</w:t>
      </w:r>
    </w:p>
    <w:p>
      <w:pPr>
        <w:spacing w:line="360" w:lineRule="auto" w:after="120" w:before="0"/>
      </w:pPr>
      <w:r>
        <w:rPr>
          <w:b/>
        </w:rPr>
        <w:t>JEL Classification:</w:t>
      </w:r>
      <w:r>
        <w:rPr/>
        <w:t xml:space="preserve"> </w:t>
      </w:r>
      <w:r>
        <w:rPr/>
        <w:t>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t>Environmental, social, and governance (ESG) scores work as an entry ticket. A fund, index, or mandate that may hold only scored stocks cannot buy a firm that no provider covers, so the set of scored firms decides which firms ESG-screened capital can reach.</w:t>
      </w:r>
      <w:r>
        <w:rPr/>
        <w:t xml:space="preserve"> In five Southeast Asian equity markets, most listed firms had no score from the London Stock Exchange Group (LSEG) at any point between 2014 and 2024</w:t>
      </w:r>
      <w:r>
        <w:rPr/>
        <w:t>, and much of the academic evidence on ESG ratings uses LSEG data</w:t>
      </w:r>
      <w:r>
        <w:rPr/>
        <w:t xml:space="preserve"> (Berg, Kölbel, et al., 2022; Dobrick et al., 2023). </w:t>
      </w:r>
      <w:r>
        <w:rPr/>
        <w:t>This paper asks two questions: which firms enter the scored universe, and what happens to their market valuation around entry?</w:t>
      </w:r>
    </w:p>
    <w:p>
      <w:pPr>
        <w:spacing w:line="360" w:lineRule="auto" w:after="120" w:before="0"/>
        <w:ind w:firstLine="720"/>
        <w:jc w:val="both"/>
      </w:pPr>
      <w:r>
        <w:rPr/>
        <w:t>The economic intuition runs as follows. 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A provider, however, is likely to add a firm once it is large, liquid, and discloses enough to be scored, and its scores rise with firm size (Dobrick et al., 2023; Drempetic et al., 2020). If firms enter after a period of rising value, a comparison of scored and unscored firms credits the score with growth that came before it. The paper asks how far the data can separate the effect of being scored from the selection of who is scored.</w:t>
      </w:r>
    </w:p>
    <w:p>
      <w:pPr>
        <w:spacing w:line="360" w:lineRule="auto" w:after="120" w:before="0"/>
        <w:ind w:firstLine="720"/>
        <w:jc w:val="both"/>
      </w:pPr>
      <w:r>
        <w:rPr/>
        <w:t>Studies, mostly of U.S. firms,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Of the 675 non-financial firms </w:t>
      </w:r>
      <w:r>
        <w:rPr/>
        <w:t>whose first recorded LSEG score falls</w:t>
      </w:r>
      <w:r>
        <w:rPr/>
        <w:t xml:space="preserve"> between 2015 and 2024, 577 </w:t>
      </w:r>
      <w:r>
        <w:rPr/>
        <w:t>had it</w:t>
      </w:r>
      <w:r>
        <w:rPr/>
        <w:t xml:space="preserve"> in 2020 to 2023, and 289 were Malaysian firms first scored in 2021 or 2022. We compare these firms with 2,613 never-scored firms before and after each firm's </w:t>
      </w:r>
      <w:r>
        <w:rPr/>
        <w:t>first recorded score, the first fiscal year for which the database holds a score</w:t>
      </w:r>
      <w:r>
        <w:rPr/>
        <w:t xml:space="preserve">, using the estimator of Callaway and Sant'Anna (2021), which avoids the biases of two-way fixed effects regressions under staggered timing (Baker et al., 2022; Goodman-Bacon, 2021). </w:t>
      </w:r>
      <w:r>
        <w:rPr/>
        <w:t>The first recorded score is not necessarily the date on which investors could first see the score (Section 3.3).</w:t>
      </w:r>
      <w:r>
        <w:rPr/>
        <w:t xml:space="preserve"> A pre-analysis plan, committed to version control before the estimation code, records the hypotheses, sample rules, estimator, and robustness checks; we label every later analysis exploratory.</w:t>
      </w:r>
    </w:p>
    <w:p>
      <w:pPr>
        <w:spacing w:line="360" w:lineRule="auto" w:after="120" w:before="0"/>
        <w:ind w:firstLine="720"/>
        <w:jc w:val="both"/>
      </w:pPr>
      <w:r>
        <w:rPr/>
        <w:t>The evidence has three parts. First, entry is selective. Scored firms are larger, and they had outgrown never-scored firms of similar size, country, and industry before their first recorded score.</w:t>
      </w:r>
      <w:r>
        <w:rPr/>
        <w:t xml:space="preserve"> From five years before the first </w:t>
      </w:r>
      <w:r>
        <w:rPr/>
        <w:t>recorded</w:t>
      </w:r>
      <w:r>
        <w:rPr/>
        <w:t xml:space="preserve"> score to the base year (the year before it), their market capitalization grew 14.1% more (95% interval 3.1% to 25.3%) and their market-to-book (MTB) ratio 10.0% more (1.9% to 18.2%). </w:t>
      </w:r>
      <w:r>
        <w:rPr/>
        <w:t>The run-up is large in the 108 Thai and Singaporean firms first scored in 2019 and 2020 and not detected in the 289 Malaysian firms first scored in 2021 and 2022, the largest wave in the data.</w:t>
      </w:r>
    </w:p>
    <w:p>
      <w:pPr>
        <w:spacing w:line="360" w:lineRule="auto" w:after="120" w:before="0"/>
        <w:ind w:firstLine="720"/>
        <w:jc w:val="both"/>
      </w:pPr>
      <w:r>
        <w:rPr/>
        <w:t>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Section 5.4 shows that most of this difference arises because the later dating measures valuations from the first recorded year, the high point of the relative MTB path, and that the decline appears only in the waves that had a run-up. Third, a static two-way fixed effects regression on the same data attributes a 6.6% MTB increase to coverage, largely an artifact of comparing firms after entry with the same firms before their growth.</w:t>
      </w:r>
    </w:p>
    <w:p>
      <w:pPr>
        <w:spacing w:line="360" w:lineRule="auto" w:after="120" w:before="0"/>
        <w:ind w:firstLine="720"/>
        <w:jc w:val="both"/>
      </w:pPr>
      <w:r>
        <w:rPr/>
        <w:t>The paper makes three contributions. First, it documents selection into ESG rating coverage in Southeast Asian markets and adds valuation to the rating-coverage literature (Bikmetova &amp; Pirinsky, 2026; Tsang et al., 2024, 2025): one provider scored firms that had outgrown their peers, most clearly outside its largest wave. Second, it shows why the valuation effect of coverage is hard to identify: entry follows growth and the recorded first score may precede publication, so the estimates depend on dating and on trend assumptions. None of the main specifications detects a gain, but the bounds do not exclude one. Third, it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Hartzmark and Sussman (2019) show that publishing Morningstar sustainability ratings for mutual funds redirected fund flows.</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 replication finds no price effect but more analyst following after addition and more long-term ownership after continued membership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 xml:space="preserve">Two channels predict a valuation response to a first score. Under investor recognition, a stock known to few investors trades at a discount because a small group bears its idiosyncratic risk (Merton, 1987). Recognition therefore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Because a first score reveals where a firm stands, this channel predicts gains for firms revealed as green and losses for those revealed as brown, and a pooled average can be close to zero when the two signs offset. </w:t>
      </w:r>
      <w:r>
        <w:rPr/>
        <w:t>Both channels work through who trades the stock, and investor groups in the region respond differently to trading conditions: on the Stock Exchange of Thailand, local institutional investors adjust their trading to brokerage fees over the long run, whereas foreign and retail investors adjust in the short run (Sudsawasd &amp; Sakdapat, 2026). A first score could therefore matter more for some investor groups than for others.</w:t>
      </w:r>
    </w:p>
    <w:p>
      <w:pPr>
        <w:spacing w:line="360" w:lineRule="auto" w:after="120" w:before="0"/>
        <w:ind w:firstLine="720"/>
        <w:jc w:val="both"/>
      </w:pPr>
      <w:r>
        <w:rPr/>
        <w:t>Demand shocks also shape realized prices before any rating event. Pástor et al. (2022) show that the high realized returns of green assets reflect unexpected increases in ESG concerns rather than high expected returns.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Mandatory sustainability reporting increases the information available on listed firms (Krueger et al., 2024). </w:t>
      </w:r>
      <w:r>
        <w:rPr/>
        <w:t>Ownership also shapes corporate social responsibility performance: among Vietnamese listed consumer-goods firms, outside our sample, foreign ownership is associated with higher corporate social responsibility scores, and state and family ownership with lower ones (Nguyen, 2025).</w:t>
      </w:r>
      <w:r>
        <w:rPr/>
        <w:t xml:space="preserve"> The provider we study gives higher scores to larger firms, a bias documented for its ASSET4 scores (Drempetic et al., 2020) and its Refinitiv scores (Dobrick et al., 2023), and it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high-score firms and a decrease for low-score firms. The selection view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w:t>
      </w:r>
      <w:r>
        <w:rPr/>
        <w:t>a difference would point toward it; the absence of a difference cannot rule it out (Section 5.9).</w:t>
      </w:r>
    </w:p>
    <w:p>
      <w:pPr>
        <w:spacing w:line="360" w:lineRule="auto" w:after="120" w:before="0"/>
        <w:ind w:firstLine="720"/>
        <w:jc w:val="both"/>
      </w:pPr>
      <w:r>
        <w:rPr/>
        <w:t>The two channels motivate these predictions, but our data cannot observe them. They contain no ownership, fund holdings, trading activity, or investor participation, so we cannot tell whether a missing valuation response reflects weak recognition, weak demand for ESG-rated firms, or something else. The data can evaluate a narrower set of questions: whether entry follows relative growth, how the valuation gap evolves around entry, and whether that path differs with the initial score. We return to this distinction in Section 6.3.</w:t>
      </w:r>
    </w:p>
    <w:p>
      <w:pPr>
        <w:pStyle w:val="Heading1"/>
        <w:keepNext/>
        <w:spacing w:line="360" w:lineRule="auto" w:after="120" w:before="360"/>
      </w:pPr>
      <w:r>
        <w:rPr>
          <w:rFonts w:ascii="Times New Roman" w:hAnsi="Times New Roman" w:eastAsia="Times New Roman"/>
          <w:b/>
          <w:i w:val="0"/>
          <w:color w:val="000000"/>
          <w:sz w:val="26"/>
        </w:rPr>
        <w:t>3. Institutional Setting and Data</w:t>
      </w:r>
    </w:p>
    <w:p>
      <w:pPr>
        <w:pStyle w:val="Heading2"/>
        <w:keepNext/>
        <w:spacing w:line="360" w:lineRule="auto" w:after="120" w:before="160"/>
      </w:pPr>
      <w:r>
        <w:rPr>
          <w:rFonts w:ascii="Times New Roman" w:hAnsi="Times New Roman" w:eastAsia="Times New Roman"/>
          <w:b/>
          <w:i w:val="0"/>
          <w:color w:val="000000"/>
          <w:sz w:val="24"/>
        </w:rPr>
        <w:t>3.1 ESG disclosure and rating coverage in the five markets</w:t>
      </w:r>
    </w:p>
    <w:p>
      <w:pPr>
        <w:spacing w:line="360" w:lineRule="auto" w:after="120" w:before="0"/>
        <w:ind w:firstLine="720"/>
        <w:jc w:val="both"/>
      </w:pPr>
      <w:r>
        <w:rPr/>
        <w:t xml:space="preserve">The five markets introduced sustainability reporting rules for listed firms at different times. Bursa Malaysia required a sustainability statement in annual reports for financial years ending on or after December 31, 2016, phased in from the largest companies </w:t>
      </w:r>
      <w:r>
        <w:rPr/>
        <w:t>between 2016 and 2018</w:t>
      </w:r>
      <w:r>
        <w:rPr/>
        <w:t xml:space="preserve"> (Bursa Malaysia, 2015). Singapore required listed issuers to publish a sustainability report, on a comply-or-explain basis, for financial years ending on or after December 31, 2017 (Singapore Exchange, 2016). Philippine listed companies attached a sustainability report, on a comply-or-explain basis for the first three years, from the 2019 annual reports (Securities and Exchange Commission Philippines, 2019). Under its original schedule, a 2017 Indonesian regulation applies to listed companies other than small- and medium-asset issuers from 2020 (Otoritas Jasa Keuangan, 2017); the regulator's pandemic relief may have delayed some first reports, a date no variable in our analysis depends on. Thai listed companies have reported sustainability information in the 56-1 One Report since the fiscal year ending in 2021 (Tilleke &amp; Gibbins, 2020). We could not confirm the dates of earlier Thai guidance.</w:t>
      </w:r>
    </w:p>
    <w:p>
      <w:pPr>
        <w:spacing w:line="360" w:lineRule="auto" w:after="120" w:before="0"/>
        <w:ind w:firstLine="720"/>
        <w:jc w:val="both"/>
      </w:pPr>
      <w:r>
        <w:rPr/>
        <w:t>Several providers score firms in these markets.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formerly Refinitiv ESG, is a separate product, so our event is the initiation of LSEG ESG coverage, not a firm's first ESG rating of any kind. Throughout, a score is the LSEG ESG score, a rating is the broader class of assessments, including MSCI-type ratings, and coverage means that LSEG publishes a score for the firm.</w:t>
      </w:r>
    </w:p>
    <w:p>
      <w:pPr>
        <w:spacing w:line="360" w:lineRule="auto" w:after="120" w:before="0"/>
        <w:ind w:firstLine="720"/>
        <w:jc w:val="both"/>
      </w:pPr>
      <w:r>
        <w:rPr/>
        <w:t xml:space="preserve">Table S1 and Figure S1 of the supplementary material show that coverage arrived in waves: 108 first scores in Thailand and Singapore in 2019 and 2020, and 289 in Malaysia in 2021 and 2022. Of the 675 scored firms, 404 (59.9%) are Malaysian, and Malaysian and Thai firms together make up 84.3%. Because first </w:t>
      </w:r>
      <w:r>
        <w:rPr/>
        <w:t>recorded</w:t>
      </w:r>
      <w:r>
        <w:rPr/>
        <w:t xml:space="preserve"> scores can precede publication (Section </w:t>
      </w:r>
      <w:r>
        <w:rPr/>
        <w:t>3.3</w:t>
      </w:r>
      <w:r>
        <w:rPr/>
        <w:t xml:space="preserve">), we cannot link the Malaysian wave to the November 2022 agreement. The waves do not follow a single reporting rule: the Thai wave preceded the One Report requirement, and the Malaysian wave came years after Bursa Malaysia's rule. </w:t>
      </w:r>
      <w:r>
        <w:rPr/>
        <w:t>Section 5.10 reports the weight of each market and wave in the pooled estimates.</w:t>
      </w:r>
    </w:p>
    <w:p>
      <w:pPr>
        <w:pStyle w:val="Heading2"/>
        <w:keepNext/>
        <w:spacing w:line="360" w:lineRule="auto" w:after="120" w:before="160"/>
      </w:pPr>
      <w:r>
        <w:rPr>
          <w:rFonts w:ascii="Times New Roman" w:hAnsi="Times New Roman" w:eastAsia="Times New Roman"/>
          <w:b/>
          <w:i w:val="0"/>
          <w:color w:val="000000"/>
          <w:sz w:val="24"/>
        </w:rPr>
        <w:t>3.2 Sample</w:t>
      </w:r>
    </w:p>
    <w:p>
      <w:pPr>
        <w:spacing w:line="360" w:lineRule="auto" w:after="120" w:before="0"/>
        <w:ind w:firstLine="720"/>
        <w:jc w:val="both"/>
      </w:pPr>
      <w:r>
        <w:rPr/>
        <w:t xml:space="preserve">The data cover 3,709 firms listed in the five markets (40,799 firm-years from 2014 to 2024). </w:t>
      </w:r>
      <w:r>
        <w:rPr/>
        <w:t>Firms enter the panel when they list, but every firm in the extract has data in 2024: the extract holds the firms listed when it was drawn, so firms that delisted between 2014 and 2023 are absent from both the scored and the never-scored groups. The sample therefore conditions on survival to 2024, and because we have no delisting data we cannot sign the resulting bias.</w:t>
      </w:r>
      <w:r>
        <w:rPr/>
        <w:t xml:space="preserve"> They combine the annual LSEG ESG score (LSEG, 2025), not the controversy-adjusted combined score, with accounting and market data from Compustat Global (S&amp;P Global Market Intelligence, 2025).</w:t>
      </w:r>
    </w:p>
    <w:p>
      <w:pPr>
        <w:spacing w:line="360" w:lineRule="auto" w:after="120" w:before="0"/>
        <w:ind w:firstLine="720"/>
        <w:jc w:val="both"/>
      </w:pPr>
      <w:r>
        <w:rPr/>
        <w:t xml:space="preserve">We call firms without an LSEG score unscored and firms that never receive one in our sample never-scored, and the latter form the comparison group. Dropping financial firms leaves 3,423 firms. A firm's first </w:t>
      </w:r>
      <w:r>
        <w:rPr/>
        <w:t>recorded score year</w:t>
      </w:r>
      <w:r>
        <w:rPr/>
        <w:t xml:space="preserve">, g, is its first fiscal year with an LSEG ESG score, and its base year is g − 1. Only 17 of the 675 scored firms have a later year without a score; therefore,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so counts differ slightly across Tables S2 and S3 of the supplementary material. </w:t>
      </w:r>
      <w:r>
        <w:rPr/>
        <w:t>The source data contain no MTB ratio at or below zero, so firm-years with negative book equity appear as missing, like firm-years without market or accounting data, and we cannot separate the two cases.</w:t>
      </w:r>
      <w:r>
        <w:rPr/>
        <w:t xml:space="preserve"> Log MTB ratios are missing for 28.0% of never-scored and 12.7% of scored firm-years</w:t>
      </w:r>
      <w:r>
        <w:rPr/>
        <w:t>; Section 5.7 examines whether these gaps change the comparison</w:t>
      </w:r>
      <w:r>
        <w:rPr/>
        <w:t xml:space="preserve">. Never-scored firms are smaller on average; </w:t>
      </w:r>
      <w:r>
        <w:rPr/>
        <w:t>Section 5.6 restricts</w:t>
      </w:r>
      <w:r>
        <w:rPr/>
        <w:t xml:space="preserve"> scored firms to the size range of the controls.</w:t>
      </w:r>
    </w:p>
    <w:p>
      <w:pPr>
        <w:pStyle w:val="Heading2"/>
        <w:keepNext/>
        <w:spacing w:line="360" w:lineRule="auto" w:after="120" w:before="160"/>
      </w:pPr>
      <w:r>
        <w:rPr>
          <w:rFonts w:ascii="Times New Roman" w:hAnsi="Times New Roman" w:eastAsia="Times New Roman"/>
          <w:b/>
          <w:i w:val="0"/>
          <w:color w:val="000000"/>
          <w:sz w:val="24"/>
        </w:rPr>
        <w:t>3.3 What the first recorded score dates</w:t>
      </w:r>
    </w:p>
    <w:p>
      <w:pPr>
        <w:spacing w:line="360" w:lineRule="auto" w:after="120" w:before="0"/>
        <w:ind w:firstLine="720"/>
        <w:jc w:val="both"/>
      </w:pPr>
      <w:r>
        <w:rPr/>
        <w:t>The event in this paper is the first recorded score: the first fiscal year for which our extract of the LSEG database holds a score. It is not the date on which investors could first see the score. For our question the difference matters, because a score recorded today for an earlier fiscal year was not information available to investors in that year.</w:t>
      </w:r>
    </w:p>
    <w:p>
      <w:pPr>
        <w:spacing w:line="360" w:lineRule="auto" w:after="120" w:before="0"/>
        <w:ind w:firstLine="720"/>
        <w:jc w:val="both"/>
      </w:pPr>
      <w:r>
        <w:rPr/>
        <w:t xml:space="preserve">The first </w:t>
      </w:r>
      <w:r>
        <w:rPr/>
        <w:t>recorded score</w:t>
      </w:r>
      <w:r>
        <w:rPr/>
        <w:t xml:space="preserve"> may precede the year in which investors first see a score </w:t>
      </w:r>
      <w:r>
        <w:rPr/>
        <w:t>for three reasons</w:t>
      </w:r>
      <w:r>
        <w:rPr/>
        <w:t xml:space="preserve">. First, the score for fiscal year g draws on reports published after </w:t>
      </w:r>
      <w:r>
        <w:rPr/>
        <w:t>that fiscal year ends, so it reaches investors only after the year closes, in year g + 1 for a December year-end.</w:t>
      </w:r>
      <w:r>
        <w:rPr/>
        <w:t xml:space="preserve"> Second, the provider has rewritten historical scores on a large scale (Berg et al., 2020), and scores for the five most recent fiscal years can change after publication (Sahin et al., 2023)</w:t>
      </w:r>
      <w:r>
        <w:rPr/>
        <w:t>. Third,</w:t>
      </w:r>
      <w:r>
        <w:rPr/>
        <w:t xml:space="preserve"> if the provider backfilled a firm's history at entry, the gap exceeds one year. </w:t>
      </w:r>
      <w:r>
        <w:rPr/>
        <w:t>Publication therefore follows the end of fiscal year g, so the first recorded score can date entry too early but, unless the provider deleted an earlier score, not too late.</w:t>
      </w:r>
    </w:p>
    <w:p>
      <w:pPr>
        <w:spacing w:line="360" w:lineRule="auto" w:after="120" w:before="0"/>
        <w:ind w:firstLine="720"/>
        <w:jc w:val="both"/>
      </w:pPr>
      <w:r>
        <w:rPr/>
        <w:t>We could not recover the publication dates. Our extract contains each score by fiscal year, with no publication or update date, and the scores it holds are the ones in the database at download, after any revision. That no scored firm in the extract loses its score before 2024 fits a download of the provider's current universe. We found no public archive of the provider's coverage lists for these markets, and the provider's methodology documents describe how scores are updated, not when each firm entered. LSEG also distributes a point-in-time version of its ESG data that keeps values as they were published (LSEG, 2023), but our extract does not contain it. We therefore keep two concepts apart. The first recorded score is what we observe; publicly observable coverage begins at an unknown date from g + 1 onward. We report the valuation path with coverage dated at g, at g + 1, and at g + 2, and we draw conclusions only where they hold across these datings.</w:t>
      </w:r>
    </w:p>
    <w:p>
      <w:pPr>
        <w:spacing w:line="360" w:lineRule="auto" w:after="120" w:before="0"/>
        <w:ind w:firstLine="720"/>
        <w:jc w:val="both"/>
      </w:pPr>
      <w:r>
        <w:rPr/>
        <w:t>Late dating cannot create the pre-coverage growth we report, because that growth occurs before g and therefore before any possible publication. It can, however, place pre-publication years in the post-coverage window of the baseline estimate, which is why Section 5.4 compares the datings directly.</w:t>
      </w:r>
    </w:p>
    <w:p>
      <w:pPr>
        <w:pStyle w:val="Heading2"/>
        <w:keepNext/>
        <w:spacing w:line="360" w:lineRule="auto" w:after="120" w:before="160"/>
      </w:pPr>
      <w:r>
        <w:rPr>
          <w:rFonts w:ascii="Times New Roman" w:hAnsi="Times New Roman" w:eastAsia="Times New Roman"/>
          <w:b/>
          <w:i w:val="0"/>
          <w:color w:val="000000"/>
          <w:sz w:val="24"/>
        </w:rPr>
        <w:t>3.4 Outcomes and recording errors</w:t>
      </w:r>
    </w:p>
    <w:p>
      <w:pPr>
        <w:spacing w:line="360" w:lineRule="auto" w:after="120" w:before="0"/>
        <w:ind w:firstLine="720"/>
        <w:jc w:val="both"/>
      </w:pPr>
      <w:r>
        <w:rPr/>
        <w:t>The primary outcome is the natural logarithm of the MTB ratio, the market value of equity divided by its book value. The secondary outcomes are log market capitalization, log total assets, and book leverage, total debt divided by total assets. Because the data contain neither stock returns nor shares outstanding, we use MTB for valuation and treat market capitalization, which mixes price and share changes, and total assets as measures of firm scale. Amounts are in U.S. dollars. We winsorize all four variables at the 1st and 99th percentiles of the pooled sample before taking logarithms.</w:t>
      </w:r>
    </w:p>
    <w:p>
      <w:pPr>
        <w:spacing w:line="360" w:lineRule="auto" w:after="120" w:before="0"/>
        <w:ind w:firstLine="720"/>
        <w:jc w:val="both"/>
      </w:pPr>
      <w:r>
        <w:rPr/>
        <w:t>A few market capitalization records are implausibly large; one Indonesian firm is recorded at 1,138.8 billion U.S. dollars. We identify such records with an internal-consistency rule. Market capitalization divided by the MTB ratio gives the implied book equity, which cannot exceed total assets. Of the 27,127 firm-years with all three items, 1,030 have ratios between one and two, which can arise when the items are measured on different dates, and 540 have ratios between two and ten. Our main rule flags firm-years in which the implied book equity exceeds ten times total assets, an error of an order of magnitude: 209 firm-years (0.77%), 73 of them for scored firms. A lower threshold, a ratio above two, flags 749 firm-years. Winsorization limits their influence but does not correct them, so Section 5.7 re-estimates without them.</w:t>
      </w:r>
    </w:p>
    <w:p>
      <w:pPr>
        <w:pStyle w:val="Heading1"/>
        <w:keepNext/>
        <w:spacing w:line="360" w:lineRule="auto" w:after="120" w:before="360"/>
      </w:pPr>
      <w:r>
        <w:rPr>
          <w:rFonts w:ascii="Times New Roman" w:hAnsi="Times New Roman" w:eastAsia="Times New Roman"/>
          <w:b/>
          <w:i w:val="0"/>
          <w:color w:val="000000"/>
          <w:sz w:val="26"/>
        </w:rPr>
        <w:t>4. Methods</w:t>
      </w:r>
    </w:p>
    <w:p>
      <w:pPr>
        <w:pStyle w:val="Heading2"/>
        <w:keepNext/>
        <w:spacing w:line="360" w:lineRule="auto" w:after="120" w:before="160"/>
      </w:pPr>
      <w:r>
        <w:rPr>
          <w:rFonts w:ascii="Times New Roman" w:hAnsi="Times New Roman" w:eastAsia="Times New Roman"/>
          <w:b/>
          <w:i w:val="0"/>
          <w:color w:val="000000"/>
          <w:sz w:val="24"/>
        </w:rPr>
        <w:t>4.1 Target parameter and identification</w:t>
      </w:r>
    </w:p>
    <w:p>
      <w:pPr>
        <w:spacing w:line="360" w:lineRule="auto" w:after="120" w:before="0"/>
        <w:ind w:firstLine="720"/>
        <w:jc w:val="both"/>
      </w:pPr>
      <w:r>
        <w:rPr/>
        <w:t>In the notation of Callaway and Sant'Anna (2021), let G</w:t>
      </w:r>
      <w:r>
        <w:rPr>
          <w:vertAlign w:val="subscript"/>
        </w:rPr>
        <w:t>i</w:t>
      </w:r>
      <w:r>
        <w:rPr/>
        <w:t xml:space="preserve"> be the first </w:t>
      </w:r>
      <w:r>
        <w:rPr/>
        <w:t>recorded score year of</w:t>
      </w:r>
      <w:r>
        <w:rPr/>
        <w:t xml:space="preserve">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the average effect in year t for firms first scored in year g,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t> </m:t>
            </m:r>
            <m:r>
              <m:rPr>
                <m:sty m:val="p"/>
              </m:rPr>
              <m:t>|</m:t>
            </m:r>
            <m:r>
              <m:t> </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720"/>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do not violate it, but a different growth path before coverage would.</w:t>
      </w:r>
    </w:p>
    <w:p>
      <w:pPr>
        <w:spacing w:line="360" w:lineRule="auto" w:after="120" w:before="0"/>
        <w:ind w:firstLine="720"/>
        <w:jc w:val="both"/>
      </w:pPr>
      <w:r>
        <w:rPr/>
        <w:t>Assumption (2) asks that, after the base year, scored firms would have followed the valuation path of never-scored firms of the same size, market, and industry had they not been scored. Section 5.2 shows that the pooled sample violates the analogous condition before the base year, so the pre-coverage estimates cannot be used to defend it. Two arguments make it plausible in parts of the sample, and one argues against it. First, in the large Malaysian wave the pre-coverage estimates show no detectable run-up, so for these firms the assumption does not require a trend to stop; the run-up interval is wide, however (−7.4% to 15.2%), and the wave split is exploratory, so this argument is weaker than a test would be. Second, if the provider adds firms once they cross a size or visibility threshold, relative growth stops being a reason for selection once the threshold is crossed, and conditioning on base-year size compares firms on the same side of it. Against it, if part of the run-up was transitory, scored firms would have fallen back toward never-scored firms even without a score, and the estimates would understate any effect of coverage. We therefore treat the post-coverage estimates as conditional on assumption (2) and give most weight to evidence that does not depend on it: the ordering of growth and entry, and the contrast between waves with and without a run-up.</w:t>
      </w:r>
    </w:p>
    <w:p>
      <w:pPr>
        <w:pStyle w:val="Heading2"/>
        <w:keepNext/>
        <w:spacing w:line="360" w:lineRule="auto" w:after="120" w:before="160"/>
      </w:pPr>
      <w:r>
        <w:rPr>
          <w:rFonts w:ascii="Times New Roman" w:hAnsi="Times New Roman" w:eastAsia="Times New Roman"/>
          <w:b/>
          <w:i w:val="0"/>
          <w:color w:val="000000"/>
          <w:sz w:val="24"/>
        </w:rPr>
        <w:t>4.2 Estimation</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720"/>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w:t>
      </w:r>
      <w:r>
        <w:rPr/>
        <w:t>Outcome regression does not remove this support problem; it extrapolates the relation estimated among controls to scored firms larger than most controls. Section 5.6 therefore restricts scored firms to the size range of the controls, in the spirit of the overlap trimming of Crump et al. (2009), where the doubly robust estimator becomes usable (Sant'Anna &amp; Zhao, 2020).</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720"/>
        <w:jc w:val="both"/>
      </w:pPr>
      <w:r>
        <w:rPr/>
        <w:t>where N</w:t>
      </w:r>
      <w:r>
        <w:rPr>
          <w:vertAlign w:val="subscript"/>
        </w:rPr>
        <w:t>g,t</w:t>
      </w:r>
      <w:r>
        <w:rPr/>
        <w:t xml:space="preserve"> is the number of firms first scored in year g with data in years g − 1 and t and base-year total assets, and β̂</w:t>
      </w:r>
      <w:r>
        <w:rPr>
          <w:vertAlign w:val="subscript"/>
        </w:rPr>
        <w:t>g,t</w:t>
      </w:r>
      <w:r>
        <w:rPr/>
        <w:t xml:space="preserve"> is estimated from Eq. (3).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720"/>
        <w:jc w:val="both"/>
      </w:pPr>
      <w:r>
        <w:rPr/>
        <w:t xml:space="preserve">where h indexes the cohort. The headline estimate averages, with the same weights, all cells from the first </w:t>
      </w:r>
      <w:r>
        <w:rPr/>
        <w:t>recorded score year</w:t>
      </w:r>
      <w:r>
        <w:rPr/>
        <w:t xml:space="preserve">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Cohorts first scored after 2021 are not observed for all four post-coverage years, so cohort composition changes across event years; row R11 keeps only the cohorts observed through event year 3.</w:t>
      </w:r>
    </w:p>
    <w:p>
      <w:pPr>
        <w:spacing w:line="360" w:lineRule="auto" w:after="120" w:before="0"/>
        <w:ind w:firstLine="720"/>
        <w:jc w:val="both"/>
      </w:pPr>
      <w:r>
        <w:rPr/>
        <w:t>The design involves three choices. First, baseline controls are never-scored firms; later-scored firms join them only in check R1. Second, all comparisons, including pre-coverage ones, are relative to the base year: a negative θ̂(e) for e ≤ −2 means that scored firms grew faster than never-scored firms with the same covariates from year g + e to the base year. Third, we measure the covariates in the base year, at the end of any run-up, so conditioning on base-year total assets matches scored firms to never-scored firms of similar size and can absorb part of the run-up</w:t>
      </w:r>
      <w:r>
        <w:rPr/>
        <w:t>; Section 5.6 varies this choice</w:t>
      </w:r>
      <w:r>
        <w:rPr/>
        <w:t>.</w:t>
      </w:r>
    </w:p>
    <w:p>
      <w:pPr>
        <w:pStyle w:val="Heading2"/>
        <w:keepNext/>
        <w:spacing w:line="360" w:lineRule="auto" w:after="120" w:before="160"/>
      </w:pPr>
      <w:r>
        <w:rPr>
          <w:rFonts w:ascii="Times New Roman" w:hAnsi="Times New Roman" w:eastAsia="Times New Roman"/>
          <w:b/>
          <w:i w:val="0"/>
          <w:color w:val="000000"/>
          <w:sz w:val="24"/>
        </w:rPr>
        <w:t>4.3 Inference</w:t>
      </w:r>
    </w:p>
    <w:p>
      <w:pPr>
        <w:spacing w:line="360" w:lineRule="auto" w:after="120" w:before="0"/>
        <w:ind w:firstLine="720"/>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720"/>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but not the confidence intervals, of the three secondary outcomes; an interval that excludes zero can therefore accompany an adjusted p-value above 5%. The joint test of parallel pre-coverage trends is</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720"/>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only as a diagnostic.</w:t>
      </w:r>
    </w:p>
    <w:p>
      <w:pPr>
        <w:spacing w:line="360" w:lineRule="auto" w:after="120" w:before="0"/>
        <w:ind w:firstLine="720"/>
        <w:jc w:val="both"/>
      </w:pPr>
      <w:r>
        <w:rPr/>
        <w:t>Coverage arrived in market-level waves, so a market or industry shock can affect many scored firms at once</w:t>
      </w:r>
      <w:r>
        <w:rPr/>
        <w:t>, as shifts in political uncertainty do for Thai stock prices (Prukumpai et al., 2022)</w:t>
      </w:r>
      <w:r>
        <w:rPr/>
        <w:t>. The country indicators in Eq. (3) absorb market-wide changes within each cell; because five markets are too few clusters, an exploratory check resamples the 50 market-by-industry clusters instead of firms.</w:t>
      </w:r>
    </w:p>
    <w:p>
      <w:pPr>
        <w:pStyle w:val="Heading2"/>
        <w:keepNext/>
        <w:spacing w:line="360" w:lineRule="auto" w:after="120" w:before="160"/>
      </w:pPr>
      <w:r>
        <w:rPr>
          <w:rFonts w:ascii="Times New Roman" w:hAnsi="Times New Roman" w:eastAsia="Times New Roman"/>
          <w:b/>
          <w:i w:val="0"/>
          <w:color w:val="000000"/>
          <w:sz w:val="24"/>
        </w:rPr>
        <w:t>4.4 Sensitivity to departures from parallel trends</w:t>
      </w:r>
    </w:p>
    <w:p>
      <w:pPr>
        <w:spacing w:line="360" w:lineRule="auto" w:after="120" w:before="0"/>
        <w:ind w:firstLine="720"/>
        <w:jc w:val="both"/>
      </w:pPr>
      <w:r>
        <w:rPr/>
        <w:t>Because the pre-coverage estimates cast doubt on assumption (2), we add exploratory checks not in the pre-analysis plan.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720"/>
        <w:jc w:val="both"/>
      </w:pPr>
      <w:r>
        <w:rPr/>
        <w:t>where b̂ is the fitted slope and θ̃(e) is the trend-adjusted estimate, which we average over e = 0 to 3 with the weights of Eq. (6). The second bounds the bias in the spirit of the relative-magnitude restriction of Rambachan and Roth (2023). Let δ(e) denote the post-coverage violation of assumption (2) in event year e. We assume that δ(e)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720"/>
        <w:jc w:val="both"/>
      </w:pPr>
      <w:r>
        <w:rPr/>
        <w:t>where s indexes the pre-coverage event years. The bias for event year e is at most M̄Δ(e + 1), and we widen the headline confidence interval by the weighted average of this bound. With M̄ = 0.25, the post-coverage gap may drift each year by a quarter of the largest yearly change before coverage. We also add to X</w:t>
      </w:r>
      <w:r>
        <w:rPr>
          <w:vertAlign w:val="subscript"/>
        </w:rPr>
        <w:t>i</w:t>
      </w:r>
      <w:r>
        <w:rPr/>
        <w:t xml:space="preserve"> the growth of log market capitalization from year g − 3 to the base year (row R8), matching scored firms to never-scored firms of similar pre-coverage growth.</w:t>
      </w:r>
    </w:p>
    <w:p>
      <w:pPr>
        <w:pStyle w:val="Heading2"/>
        <w:keepNext/>
        <w:spacing w:line="360" w:lineRule="auto" w:after="120" w:before="160"/>
      </w:pPr>
      <w:r>
        <w:rPr>
          <w:rFonts w:ascii="Times New Roman" w:hAnsi="Times New Roman" w:eastAsia="Times New Roman"/>
          <w:b/>
          <w:i w:val="0"/>
          <w:color w:val="000000"/>
          <w:sz w:val="24"/>
        </w:rPr>
        <w:t>4.5 Benchmark regression and robustness checks</w:t>
      </w:r>
    </w:p>
    <w:p>
      <w:pPr>
        <w:spacing w:line="360" w:lineRule="auto" w:after="120" w:before="0"/>
        <w:ind w:firstLine="720"/>
        <w:jc w:val="both"/>
      </w:pPr>
      <w:r>
        <w:rPr/>
        <w:t>As a benchmark, we estimate on scored and never-scored firms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72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w:t>
      </w:r>
      <w:r>
        <w:rPr/>
        <w:t>recorded</w:t>
      </w:r>
      <w:r>
        <w:rPr/>
        <w:t xml:space="preserve"> score onward, and ε</w:t>
      </w:r>
      <w:r>
        <w:rPr>
          <w:vertAlign w:val="subscript"/>
        </w:rPr>
        <w:t>i,t</w:t>
      </w:r>
      <w:r>
        <w:rPr/>
        <w:t xml:space="preserve"> is the error term. We include no covariates, use all event years, and cluster standard errors by firm. The coefficient β compares all post-coverage with all pre-coverage years, so it averages over any run-up; with staggered timing, it also uses already scored firms as controls for later cohorts.</w:t>
      </w:r>
    </w:p>
    <w:p>
      <w:pPr>
        <w:spacing w:line="360" w:lineRule="auto" w:after="120" w:before="0"/>
        <w:ind w:firstLine="720"/>
        <w:jc w:val="both"/>
      </w:pPr>
      <w:r>
        <w:rPr/>
        <w:t>The pre-analysis plan fixed six checks, labeled R1 to R6 in the results: four robustness checks, a placebo, and the benchmark of Eq. (11). The checks add not-yet-scored firms to the controls (R1), drop the covariates (R2), exclude the 2020 and 2021 cohorts (R3), and keep only control firms whose base-year log total assets reach the 10th percentile among scored firms of the same cohort (R4). The placebo (R5) dates coverage three years early and uses only years before the actual score. Rows R7 to R11</w:t>
      </w:r>
      <w:r>
        <w:rPr/>
        <w:t>, the checks in Sections 5.4 to 5.7,</w:t>
      </w:r>
      <w:r>
        <w:rPr/>
        <w:t xml:space="preserve"> and Tables S4 and S5 of the supplementary material are exploratory; Section 5 describes each check with its results.</w:t>
      </w:r>
    </w:p>
    <w:p>
      <w:pPr>
        <w:pStyle w:val="Heading1"/>
        <w:keepNext/>
        <w:spacing w:line="360" w:lineRule="auto" w:after="120" w:before="360"/>
      </w:pPr>
      <w:r>
        <w:rPr>
          <w:rFonts w:ascii="Times New Roman" w:hAnsi="Times New Roman" w:eastAsia="Times New Roman"/>
          <w:b/>
          <w:i w:val="0"/>
          <w:color w:val="000000"/>
          <w:sz w:val="26"/>
        </w:rPr>
        <w:t>5. Results</w:t>
      </w:r>
    </w:p>
    <w:p>
      <w:pPr>
        <w:pStyle w:val="Heading2"/>
        <w:keepNext/>
        <w:spacing w:line="360" w:lineRule="auto" w:after="120" w:before="160"/>
      </w:pPr>
      <w:r>
        <w:rPr>
          <w:rFonts w:ascii="Times New Roman" w:hAnsi="Times New Roman" w:eastAsia="Times New Roman"/>
          <w:b/>
          <w:i w:val="0"/>
          <w:color w:val="000000"/>
          <w:sz w:val="24"/>
        </w:rPr>
        <w:t>5.1 Which firms get scored</w:t>
      </w:r>
    </w:p>
    <w:p>
      <w:pPr>
        <w:spacing w:line="360" w:lineRule="auto" w:after="120" w:before="0"/>
        <w:ind w:firstLine="720"/>
        <w:jc w:val="both"/>
      </w:pPr>
      <w:r>
        <w:rPr/>
        <w:t>Table 1 compares scored firms in the base year with never-scored firm-years in the sample. Scored firms are larger: their median market capitalization is 203.2 million U.S. dollars against 42.2 million, and their median total assets are 4.3 times as large. Their MTB ratio is also higher, while leverage differs little. Because scored firms are concentrated in the base years 2019 to 2022, these level differences mix calendar effects with selection. 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keepNext/>
        <w:spacing w:line="240" w:lineRule="auto" w:after="40" w:before="80"/>
        <w:jc w:val="both"/>
      </w:pPr>
      <w:r>
        <w:rPr>
          <w:sz w:val="18"/>
        </w:rPr>
        <w:t>Note: Scored firms in base year g − 1; never-scored firms in 2014–2024. Norm. diff. is the mean difference divided by the root of the average variance.</w:t>
      </w:r>
    </w:p>
    <w:p>
      <w:pPr>
        <w:spacing w:line="240" w:lineRule="auto" w:after="240" w:before="0"/>
      </w:pPr>
      <w:r>
        <w:rPr>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5.2 </w:t>
      </w:r>
      <w:r>
        <w:rPr>
          <w:rFonts w:ascii="Times New Roman" w:hAnsi="Times New Roman" w:eastAsia="Times New Roman"/>
          <w:b/>
          <w:i w:val="0"/>
          <w:color w:val="000000"/>
          <w:sz w:val="24"/>
        </w:rPr>
        <w:t>The valuation path before and after the first recorded score</w:t>
      </w:r>
    </w:p>
    <w:p>
      <w:pPr>
        <w:spacing w:line="360" w:lineRule="auto" w:after="120" w:before="0"/>
        <w:ind w:firstLine="720"/>
        <w:jc w:val="both"/>
      </w:pPr>
      <w:r>
        <w:rPr/>
        <w:t xml:space="preserve">Figure 1 plots the event-time estimates of Eq. (5) for all four outcomes. Before the first </w:t>
      </w:r>
      <w:r>
        <w:rPr/>
        <w:t>recorded</w:t>
      </w:r>
      <w:r>
        <w:rPr/>
        <w:t xml:space="preserve">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The joint test of Eq. (8) rejects parallel pre-coverage trends for market capitalization (p = 0.022) but not at the 5% level for MTB (p = 0.074). </w:t>
      </w:r>
      <w:r>
        <w:rPr/>
        <w:t>The MTB non-rejection is not evidence of parallel trends: the individual estimates for event years −5 and −4 differ from zero, the market capitalization test rejects, and pre-trend tests have low power (Roth, 2022). We therefore read the pooled sample as failing the pre-trend diagnostic.</w:t>
      </w:r>
    </w:p>
    <w:p>
      <w:pPr>
        <w:keepNext/>
        <w:spacing w:line="240" w:lineRule="auto" w:after="120" w:before="240"/>
        <w:jc w:val="center"/>
      </w:pPr>
      <w:r>
        <w:rPr>
          <w:sz w:val="22"/>
        </w:rPr>
        <w:t>Figure 1. 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keepNext/>
        <w:spacing w:line="240" w:lineRule="auto" w:after="40" w:before="80"/>
        <w:jc w:val="both"/>
      </w:pPr>
      <w:r>
        <w:rPr>
          <w:sz w:val="18"/>
        </w:rPr>
        <w:t>Note: Estimates relative to event year −1 with firm-bootstrap 95% intervals; 141 to 615 scored firms per event year.</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 xml:space="preserve">After the first </w:t>
      </w:r>
      <w:r>
        <w:rPr/>
        <w:t>recorded</w:t>
      </w:r>
      <w:r>
        <w:rPr/>
        <w:t xml:space="preserve"> score, the MTB estimates for event years 0 to 3 lie between −0.044 and 0.017, and none differs from zero at the 5% level. Event year 4 rests on only 141 scored firms, so we plot it but exclude it from Eq. (6). The MTB gap between scored and never-scored firms thus widens before coverage and stops widening afterward. </w:t>
      </w:r>
      <w:r>
        <w:rPr/>
        <w:t>This description of the observed gap does not depend on assumption (2); reading the post-coverage part as an effect of coverage does.</w:t>
      </w:r>
      <w:r>
        <w:rPr/>
        <w:t xml:space="preserve"> Because we cannot separate rising prices from new shares in market capitalization, we base statements about valuation on the MTB ratio.</w:t>
      </w:r>
    </w:p>
    <w:p>
      <w:pPr>
        <w:spacing w:line="360" w:lineRule="auto" w:after="120" w:before="0"/>
        <w:ind w:firstLine="720"/>
        <w:jc w:val="both"/>
      </w:pPr>
      <w:r>
        <w:rPr/>
        <w:t>Figure 2 separates the two largest coverage waves from the remaining cohorts; because we drew the wave boundaries after seeing the coverage counts, this split is exploratory. The 108 Thai and Singaporean firms first scored in 2019 and 2020 show the largest run-up: from event year −5 to the base year, their MTB ratio grew 33.1% more than that of never-scored firms (pre-trend p = 0.006). The 289 Malaysian firms first scored in 2021 and 2022 show no detectable run-up: 2.8% (95% interval −7.4% to 15.2%; pre-trend p = 0.549), so a run-up of the pooled size cannot be ruled out for this wave, and the 278 firms in the remaining cohorts fall in between. After the first recorded score, no wave shows a detectable MTB gain (Table S6), while market capitalization fell in the Malaysian wave (−0.146, p = 0.005), which accounts for most of the negative pooled market capitalization estimate.</w:t>
      </w:r>
    </w:p>
    <w:p>
      <w:pPr>
        <w:keepNext/>
        <w:spacing w:line="240" w:lineRule="auto" w:after="120" w:before="240"/>
        <w:jc w:val="center"/>
      </w:pPr>
      <w:r>
        <w:rPr>
          <w:sz w:val="22"/>
        </w:rPr>
        <w:t>Figure 2. 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keepNext/>
        <w:spacing w:line="240" w:lineRule="auto" w:after="40" w:before="80"/>
        <w:jc w:val="both"/>
      </w:pPr>
      <w:r>
        <w:rPr>
          <w:sz w:val="18"/>
        </w:rPr>
        <w:t>Note: Estimates by wave against all never-scored firms, with firm-bootstrap 95% intervals. The waves hold 289, 108, and 278 scored firms.</w:t>
      </w:r>
    </w:p>
    <w:p>
      <w:pPr>
        <w:spacing w:line="240" w:lineRule="auto" w:after="240" w:before="0"/>
      </w:pPr>
      <w:r>
        <w:rPr>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5.3 </w:t>
      </w:r>
      <w:r>
        <w:rPr>
          <w:rFonts w:ascii="Times New Roman" w:hAnsi="Times New Roman" w:eastAsia="Times New Roman"/>
          <w:b/>
          <w:i w:val="0"/>
          <w:color w:val="000000"/>
          <w:sz w:val="24"/>
        </w:rPr>
        <w:t>Average change after entry under assumption (2)</w:t>
      </w:r>
    </w:p>
    <w:p>
      <w:pPr>
        <w:spacing w:line="360" w:lineRule="auto" w:after="120" w:before="0"/>
        <w:ind w:firstLine="720"/>
        <w:jc w:val="both"/>
      </w:pPr>
      <w:r>
        <w:rPr/>
        <w:t>Table 2 reports the headline estimates of Eq. (6). The change in log MTB is 0.002, with a 95% confidence interval of −0.046 to 0.048. Under assumption (2), the data are compatible with changes in the MTB ratio from −4.5% to 4.9%, so increases of a few percent remain possible; the MDE from Eq. (7) is about 7.0%. With the cluster bootstrap, the interval is −0.050 to 0.053.</w:t>
      </w:r>
    </w:p>
    <w:p>
      <w:pPr>
        <w:keepNext/>
        <w:spacing w:line="240" w:lineRule="auto" w:after="120" w:before="240"/>
        <w:jc w:val="center"/>
      </w:pPr>
      <w:r>
        <w:rPr>
          <w:sz w:val="22"/>
        </w:rPr>
        <w:t xml:space="preserve">Table 2. Average </w:t>
      </w:r>
      <w:r>
        <w:rPr>
          <w:sz w:val="22"/>
        </w:rPr>
        <w:t>change after the first recorded LSEG ESG score over event years 0 to 3, under assumption (2)</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keepNext/>
        <w:spacing w:line="240" w:lineRule="auto" w:after="40" w:before="80"/>
        <w:jc w:val="both"/>
      </w:pPr>
      <w:r>
        <w:rPr>
          <w:sz w:val="18"/>
        </w:rPr>
        <w:t>Note: Outcome regression with firm-bootstrap standard errors; secondary p-values are Holm-adjusted, intervals are not. MDE: 80%-power minimum detectable effect; pre-trend p tests Eq. (8).</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After Holm adjustment, no secondary outcome changes significantly at the 5% level: log market capitalization changes by −0.055 (p = 0.134), leverage by 0.8 percentage points (p = 0.134), and log total assets by 0.044 (p = 0.053). Under assumption (2), the MTB estimate shows no sign of the gain that the recognition channel predicts (Merton, 1987).</w:t>
      </w:r>
    </w:p>
    <w:p>
      <w:pPr>
        <w:spacing w:line="360" w:lineRule="auto" w:after="120" w:before="0"/>
        <w:ind w:firstLine="720"/>
        <w:jc w:val="both"/>
      </w:pPr>
      <w:r>
        <w:rPr/>
        <w:t>Table 3 presents the robustness checks; rows R1 to R6 were pre-specified, and rows R7 to R11 are exploratory. Row R10 dates coverage one year after the first recorded score, the earliest year in which a score could have been public. Its MTB change is −0.068, about −6.6% (95% interval −0.116 to −0.020; p = 0.004), and its joint pre-trend test gives p = 0.072. We do not give the first-recorded-year estimate more weight because it was pre-specified: pre-specification guards against choosing a dating after seeing results, but it does not make the recorded year the date on which investors learned of coverage. The later dating is closer to that date on economic grounds, while the first recorded year is the date we observe; Section 5.4 shows what separates the two.</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448"/>
          </w:tcPr>
          <w:p>
            <w:pPr>
              <w:keepNext/>
              <w:spacing w:after="0" w:line="240" w:lineRule="auto"/>
            </w:pPr>
            <w:r/>
            <w:r>
              <w:rPr>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sz w:val="18"/>
              </w:rPr>
              <w:t>R1 Not-yet-scored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sz w:val="18"/>
              </w:rPr>
              <w:t>628 / 3,023</w:t>
            </w:r>
          </w:p>
        </w:tc>
      </w:tr>
      <w:tr>
        <w:trPr>
          <w:cantSplit/>
        </w:trPr>
        <w:tc>
          <w:tcPr>
            <w:tcW w:type="dxa" w:w="2448"/>
          </w:tcPr>
          <w:p>
            <w:pPr>
              <w:keepNext/>
              <w:spacing w:after="0" w:line="240" w:lineRule="auto"/>
            </w:pPr>
            <w:r/>
            <w:r>
              <w:rPr>
                <w:sz w:val="18"/>
              </w:rPr>
              <w:t>R2 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sz w:val="18"/>
              </w:rPr>
              <w:t>R3 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sz w:val="18"/>
              </w:rPr>
              <w:t>413 / 2,407</w:t>
            </w:r>
          </w:p>
        </w:tc>
      </w:tr>
      <w:tr>
        <w:trPr>
          <w:cantSplit/>
        </w:trPr>
        <w:tc>
          <w:tcPr>
            <w:tcW w:type="dxa" w:w="2448"/>
          </w:tcPr>
          <w:p>
            <w:pPr>
              <w:keepNext/>
              <w:spacing w:after="0" w:line="240" w:lineRule="auto"/>
            </w:pPr>
            <w:r/>
            <w:r>
              <w:rPr>
                <w:sz w:val="18"/>
              </w:rPr>
              <w:t>R4 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sz w:val="18"/>
              </w:rPr>
              <w:t>628 / 1,975</w:t>
            </w:r>
          </w:p>
        </w:tc>
      </w:tr>
      <w:tr>
        <w:trPr>
          <w:cantSplit/>
        </w:trPr>
        <w:tc>
          <w:tcPr>
            <w:tcW w:type="dxa" w:w="2448"/>
          </w:tcPr>
          <w:p>
            <w:pPr>
              <w:keepNext/>
              <w:spacing w:after="0" w:line="240" w:lineRule="auto"/>
            </w:pPr>
            <w:r/>
            <w:r>
              <w:rPr>
                <w:sz w:val="18"/>
              </w:rPr>
              <w:t>R5 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sz w:val="18"/>
              </w:rPr>
              <w:t>540 / 2,032</w:t>
            </w:r>
          </w:p>
        </w:tc>
      </w:tr>
      <w:tr>
        <w:trPr>
          <w:cantSplit/>
        </w:trPr>
        <w:tc>
          <w:tcPr>
            <w:tcW w:type="dxa" w:w="2448"/>
          </w:tcPr>
          <w:p>
            <w:pPr>
              <w:keepNext/>
              <w:spacing w:after="0" w:line="240" w:lineRule="auto"/>
            </w:pPr>
            <w:r/>
            <w:r>
              <w:rPr>
                <w:sz w:val="18"/>
              </w:rPr>
              <w:t>R6 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sz w:val="18"/>
              </w:rPr>
              <w:t>3,226</w:t>
            </w:r>
            <w:r>
              <w:br/>
            </w:r>
            <w:r>
              <w:rPr>
                <w:sz w:val="18"/>
              </w:rPr>
              <w:t>(all)</w:t>
            </w:r>
          </w:p>
        </w:tc>
      </w:tr>
      <w:tr>
        <w:trPr>
          <w:cantSplit/>
        </w:trPr>
        <w:tc>
          <w:tcPr>
            <w:tcW w:type="dxa" w:w="2448"/>
          </w:tcPr>
          <w:p>
            <w:pPr>
              <w:keepNext/>
              <w:spacing w:after="0" w:line="240" w:lineRule="auto"/>
            </w:pPr>
            <w:r/>
            <w:r>
              <w:rPr>
                <w:sz w:val="18"/>
              </w:rPr>
              <w:t>R7 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sz w:val="18"/>
              </w:rPr>
              <w:t>R8 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sz w:val="18"/>
              </w:rPr>
              <w:t>567 / 2,156</w:t>
            </w:r>
          </w:p>
        </w:tc>
      </w:tr>
      <w:tr>
        <w:trPr>
          <w:cantSplit/>
        </w:trPr>
        <w:tc>
          <w:tcPr>
            <w:tcW w:type="dxa" w:w="2448"/>
          </w:tcPr>
          <w:p>
            <w:pPr>
              <w:keepNext/>
              <w:spacing w:after="0" w:line="240" w:lineRule="auto"/>
            </w:pPr>
            <w:r/>
            <w:r>
              <w:rPr>
                <w:sz w:val="18"/>
              </w:rPr>
              <w:t>R9 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sz w:val="18"/>
              </w:rPr>
              <w:t>256 / 1,926</w:t>
            </w:r>
          </w:p>
        </w:tc>
      </w:tr>
      <w:tr>
        <w:trPr>
          <w:cantSplit/>
        </w:trPr>
        <w:tc>
          <w:tcPr>
            <w:tcW w:type="dxa" w:w="2448"/>
          </w:tcPr>
          <w:p>
            <w:pPr>
              <w:keepNext/>
              <w:spacing w:after="0" w:line="240" w:lineRule="auto"/>
            </w:pPr>
            <w:r/>
            <w:r>
              <w:rPr>
                <w:sz w:val="18"/>
              </w:rPr>
              <w:t>R10 Dated 1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sz w:val="18"/>
              </w:rPr>
              <w:t>646 / 2,412</w:t>
            </w:r>
          </w:p>
        </w:tc>
      </w:tr>
      <w:tr>
        <w:trPr>
          <w:cantSplit/>
        </w:trPr>
        <w:tc>
          <w:tcPr>
            <w:tcW w:type="dxa" w:w="2448"/>
          </w:tcPr>
          <w:p>
            <w:pPr>
              <w:keepNext/>
              <w:spacing w:after="0" w:line="240" w:lineRule="auto"/>
            </w:pPr>
            <w:r/>
            <w:r>
              <w:rPr>
                <w:sz w:val="18"/>
              </w:rPr>
              <w:t>R11 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sz w:val="18"/>
              </w:rPr>
              <w:t>273 / 2,032</w:t>
            </w:r>
          </w:p>
        </w:tc>
      </w:tr>
      <w:tr>
        <w:trPr>
          <w:cantSplit/>
        </w:trPr>
        <w:tc>
          <w:tcPr>
            <w:tcW w:type="dxa" w:w="2448"/>
          </w:tcPr>
          <w:p>
            <w:pPr>
              <w:keepNext/>
              <w:spacing w:after="0" w:line="240" w:lineRule="auto"/>
            </w:pPr>
            <w:r/>
            <w:r>
              <w:rPr>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sz w:val="18"/>
              </w:rPr>
              <w:t>312</w:t>
            </w:r>
          </w:p>
        </w:tc>
      </w:tr>
      <w:tr>
        <w:trPr>
          <w:cantSplit/>
        </w:trPr>
        <w:tc>
          <w:tcPr>
            <w:tcW w:type="dxa" w:w="2448"/>
          </w:tcPr>
          <w:p>
            <w:pPr>
              <w:keepNext/>
              <w:spacing w:after="0" w:line="240" w:lineRule="auto"/>
            </w:pPr>
            <w:r/>
            <w:r>
              <w:rPr>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sz w:val="18"/>
              </w:rPr>
              <w:t>316</w:t>
            </w:r>
          </w:p>
        </w:tc>
      </w:tr>
      <w:tr>
        <w:trPr>
          <w:cantSplit/>
        </w:trPr>
        <w:tc>
          <w:tcPr>
            <w:tcW w:type="dxa" w:w="2448"/>
            <w:tcBorders>
              <w:bottom w:val="single" w:sz="6" w:color="000000"/>
            </w:tcBorders>
          </w:tcPr>
          <w:p>
            <w:pPr>
              <w:spacing w:after="0" w:line="240" w:lineRule="auto"/>
            </w:pPr>
            <w:r/>
            <w:r>
              <w:rPr>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keepNext/>
        <w:spacing w:line="240" w:lineRule="auto" w:after="40" w:before="80"/>
        <w:jc w:val="both"/>
      </w:pPr>
      <w:r>
        <w:rPr>
          <w:sz w:val="18"/>
        </w:rPr>
        <w:t>Note: Outcome regression with firm-bootstrap standard errors (R6: two-way fixed effects, firm-clustered); firm counts for ln(MTB). *, **, ***: 10%, 5%, 1% (unadjusted).</w:t>
      </w:r>
    </w:p>
    <w:p>
      <w:pPr>
        <w:spacing w:line="240" w:lineRule="auto" w:after="240" w:before="0"/>
      </w:pPr>
      <w:r>
        <w:rPr>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5.4 </w:t>
      </w:r>
      <w:r>
        <w:rPr>
          <w:rFonts w:ascii="Times New Roman" w:hAnsi="Times New Roman" w:eastAsia="Times New Roman"/>
          <w:b/>
          <w:i w:val="0"/>
          <w:color w:val="000000"/>
          <w:sz w:val="24"/>
        </w:rPr>
        <w:t>Reconciling the two datings</w:t>
      </w:r>
    </w:p>
    <w:p>
      <w:pPr>
        <w:spacing w:line="360" w:lineRule="auto" w:after="120" w:before="0"/>
        <w:ind w:firstLine="720"/>
        <w:jc w:val="both"/>
      </w:pPr>
      <w:r>
        <w:rPr/>
        <w:t>Table 4 moves from the first-recorded-year estimate to the one-year-later estimate one step at a time, so that each step changes one feature. Row 2 keeps only firms observed in both g − 1 and g, so that every later row draws on the same set of firms (a few drop out when the window or the size measure changes); this changes the MTB estimate by −0.005. Row 3 averages event years 1 to 4 instead of 0 to 3, with the same reference year g − 1; this changes it by −0.016 (p = 0.092). Row 4 moves the reference year from g − 1 to g, which is what dating coverage one year later does to the comparison; this changes the estimate by −0.044 (p = 0.024), 62% of the total gap of −0.070. Measuring size in g instead of g − 1 (row 5) and returning to all firms (row 6) change little. The steps are sequential, so the shares depend on their order; we take the window step before the reference step.</w:t>
      </w:r>
    </w:p>
    <w:p>
      <w:pPr>
        <w:keepNext/>
        <w:spacing w:line="240" w:lineRule="auto" w:after="120" w:before="240"/>
        <w:jc w:val="center"/>
      </w:pPr>
      <w:r>
        <w:rPr>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655"/>
        <w:gridCol w:w="1800"/>
        <w:gridCol w:w="1152"/>
      </w:tblGrid>
      <w:tr>
        <w:trPr>
          <w:cantSplit/>
          <w:tblHeader/>
        </w:trPr>
        <w:tc>
          <w:tcPr>
            <w:tcW w:type="dxa" w:w="4752"/>
            <w:tcBorders>
              <w:top w:val="single" w:sz="6" w:color="000000"/>
              <w:bottom w:val="single" w:sz="6" w:color="000000"/>
            </w:tcBorders>
          </w:tcPr>
          <w:p>
            <w:pPr>
              <w:keepNext/>
              <w:spacing w:after="0" w:line="240" w:lineRule="auto"/>
            </w:pPr>
            <w:r/>
            <w:r>
              <w:rPr>
                <w:b/>
                <w:sz w:val="18"/>
              </w:rPr>
              <w:t>Specification</w:t>
            </w:r>
          </w:p>
        </w:tc>
        <w:tc>
          <w:tcPr>
            <w:tcW w:type="dxa" w:w="1656"/>
            <w:tcBorders>
              <w:top w:val="single" w:sz="6" w:color="000000"/>
              <w:bottom w:val="single" w:sz="6" w:color="000000"/>
            </w:tcBorders>
          </w:tcPr>
          <w:p>
            <w:pPr>
              <w:keepNext/>
              <w:spacing w:after="0" w:line="240" w:lineRule="auto"/>
              <w:jc w:val="center"/>
            </w:pPr>
            <w:r/>
            <w:r>
              <w:rPr>
                <w:b/>
                <w:sz w:val="18"/>
              </w:rPr>
              <w:t>ln(MTB)</w:t>
            </w:r>
          </w:p>
        </w:tc>
        <w:tc>
          <w:tcPr>
            <w:tcW w:type="dxa" w:w="1800"/>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r>
      <w:tr>
        <w:trPr>
          <w:cantSplit/>
        </w:trPr>
        <w:tc>
          <w:tcPr>
            <w:tcW w:type="dxa" w:w="4752"/>
          </w:tcPr>
          <w:p>
            <w:pPr>
              <w:keepNext/>
              <w:spacing w:after="0" w:line="240" w:lineRule="auto"/>
            </w:pPr>
            <w:r/>
            <w:r>
              <w:rPr>
                <w:sz w:val="18"/>
              </w:rPr>
              <w:t>(1) First recorded year g, reference g − 1, event years 0 to 3, all firms</w:t>
            </w:r>
          </w:p>
        </w:tc>
        <w:tc>
          <w:tcPr>
            <w:tcW w:type="dxa" w:w="1656"/>
          </w:tcPr>
          <w:p>
            <w:pPr>
              <w:keepNext/>
              <w:spacing w:after="0" w:line="240" w:lineRule="auto"/>
              <w:jc w:val="center"/>
            </w:pPr>
            <w:r/>
            <w:r>
              <w:rPr>
                <w:sz w:val="18"/>
              </w:rPr>
              <w:t>0.002</w:t>
            </w:r>
            <w:r>
              <w:br/>
            </w:r>
            <w:r>
              <w:rPr>
                <w:sz w:val="18"/>
              </w:rPr>
              <w:t>(0.024)</w:t>
            </w:r>
          </w:p>
        </w:tc>
        <w:tc>
          <w:tcPr>
            <w:tcW w:type="dxa" w:w="1800"/>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r>
      <w:tr>
        <w:trPr>
          <w:cantSplit/>
        </w:trPr>
        <w:tc>
          <w:tcPr>
            <w:tcW w:type="dxa" w:w="4752"/>
          </w:tcPr>
          <w:p>
            <w:pPr>
              <w:keepNext/>
              <w:spacing w:after="0" w:line="240" w:lineRule="auto"/>
            </w:pPr>
            <w:r/>
            <w:r>
              <w:rPr>
                <w:sz w:val="18"/>
              </w:rPr>
              <w:t>(2) As (1), firms observed in both g − 1 and g</w:t>
            </w:r>
          </w:p>
        </w:tc>
        <w:tc>
          <w:tcPr>
            <w:tcW w:type="dxa" w:w="1656"/>
          </w:tcPr>
          <w:p>
            <w:pPr>
              <w:keepNext/>
              <w:spacing w:after="0" w:line="240" w:lineRule="auto"/>
              <w:jc w:val="center"/>
            </w:pPr>
            <w:r/>
            <w:r>
              <w:rPr>
                <w:sz w:val="18"/>
              </w:rPr>
              <w:t>−0.003</w:t>
            </w:r>
            <w:r>
              <w:br/>
            </w:r>
            <w:r>
              <w:rPr>
                <w:sz w:val="18"/>
              </w:rPr>
              <w:t>(0.024)</w:t>
            </w:r>
          </w:p>
        </w:tc>
        <w:tc>
          <w:tcPr>
            <w:tcW w:type="dxa" w:w="1800"/>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615</w:t>
            </w:r>
          </w:p>
        </w:tc>
      </w:tr>
      <w:tr>
        <w:trPr>
          <w:cantSplit/>
        </w:trPr>
        <w:tc>
          <w:tcPr>
            <w:tcW w:type="dxa" w:w="4752"/>
          </w:tcPr>
          <w:p>
            <w:pPr>
              <w:keepNext/>
              <w:spacing w:after="0" w:line="240" w:lineRule="auto"/>
            </w:pPr>
            <w:r/>
            <w:r>
              <w:rPr>
                <w:sz w:val="18"/>
              </w:rPr>
              <w:t>(3) As (2), event years 1 to 4</w:t>
            </w:r>
          </w:p>
        </w:tc>
        <w:tc>
          <w:tcPr>
            <w:tcW w:type="dxa" w:w="1656"/>
          </w:tcPr>
          <w:p>
            <w:pPr>
              <w:keepNext/>
              <w:spacing w:after="0" w:line="240" w:lineRule="auto"/>
              <w:jc w:val="center"/>
            </w:pPr>
            <w:r/>
            <w:r>
              <w:rPr>
                <w:sz w:val="18"/>
              </w:rPr>
              <w:t>−0.019</w:t>
            </w:r>
            <w:r>
              <w:br/>
            </w:r>
            <w:r>
              <w:rPr>
                <w:sz w:val="18"/>
              </w:rPr>
              <w:t>(0.030)</w:t>
            </w:r>
          </w:p>
        </w:tc>
        <w:tc>
          <w:tcPr>
            <w:tcW w:type="dxa" w:w="1800"/>
          </w:tcPr>
          <w:p>
            <w:pPr>
              <w:keepNext/>
              <w:spacing w:after="0" w:line="240" w:lineRule="auto"/>
              <w:jc w:val="center"/>
            </w:pPr>
            <w:r/>
            <w:r>
              <w:rPr>
                <w:sz w:val="18"/>
              </w:rPr>
              <w:t>−0.053</w:t>
            </w:r>
            <w:r>
              <w:br/>
            </w:r>
            <w:r>
              <w:rPr>
                <w:sz w:val="18"/>
              </w:rPr>
              <w:t>(0.037)</w:t>
            </w:r>
          </w:p>
        </w:tc>
        <w:tc>
          <w:tcPr>
            <w:tcW w:type="dxa" w:w="1152"/>
          </w:tcPr>
          <w:p>
            <w:pPr>
              <w:keepNext/>
              <w:spacing w:after="0" w:line="240" w:lineRule="auto"/>
              <w:jc w:val="center"/>
            </w:pPr>
            <w:r/>
            <w:r>
              <w:rPr>
                <w:sz w:val="18"/>
              </w:rPr>
              <w:t>585</w:t>
            </w:r>
          </w:p>
        </w:tc>
      </w:tr>
      <w:tr>
        <w:trPr>
          <w:cantSplit/>
        </w:trPr>
        <w:tc>
          <w:tcPr>
            <w:tcW w:type="dxa" w:w="4752"/>
          </w:tcPr>
          <w:p>
            <w:pPr>
              <w:keepNext/>
              <w:spacing w:after="0" w:line="240" w:lineRule="auto"/>
            </w:pPr>
            <w:r/>
            <w:r>
              <w:rPr>
                <w:sz w:val="18"/>
              </w:rPr>
              <w:t>(4) As (3), reference year g</w:t>
            </w:r>
          </w:p>
        </w:tc>
        <w:tc>
          <w:tcPr>
            <w:tcW w:type="dxa" w:w="1656"/>
          </w:tcPr>
          <w:p>
            <w:pPr>
              <w:keepNext/>
              <w:spacing w:after="0" w:line="240" w:lineRule="auto"/>
              <w:jc w:val="center"/>
            </w:pPr>
            <w:r/>
            <w:r>
              <w:rPr>
                <w:sz w:val="18"/>
              </w:rPr>
              <w:t>−0.063***</w:t>
            </w:r>
            <w:r>
              <w:br/>
            </w:r>
            <w:r>
              <w:rPr>
                <w:sz w:val="18"/>
              </w:rPr>
              <w:t>(0.024)</w:t>
            </w:r>
          </w:p>
        </w:tc>
        <w:tc>
          <w:tcPr>
            <w:tcW w:type="dxa" w:w="1800"/>
          </w:tcPr>
          <w:p>
            <w:pPr>
              <w:keepNext/>
              <w:spacing w:after="0" w:line="240" w:lineRule="auto"/>
              <w:jc w:val="center"/>
            </w:pPr>
            <w:r/>
            <w:r>
              <w:rPr>
                <w:sz w:val="18"/>
              </w:rPr>
              <w:t>−0.051*</w:t>
            </w:r>
            <w:r>
              <w:br/>
            </w:r>
            <w:r>
              <w:rPr>
                <w:sz w:val="18"/>
              </w:rPr>
              <w:t>(0.029)</w:t>
            </w:r>
          </w:p>
        </w:tc>
        <w:tc>
          <w:tcPr>
            <w:tcW w:type="dxa" w:w="1152"/>
          </w:tcPr>
          <w:p>
            <w:pPr>
              <w:keepNext/>
              <w:spacing w:after="0" w:line="240" w:lineRule="auto"/>
              <w:jc w:val="center"/>
            </w:pPr>
            <w:r/>
            <w:r>
              <w:rPr>
                <w:sz w:val="18"/>
              </w:rPr>
              <w:t>585</w:t>
            </w:r>
          </w:p>
        </w:tc>
      </w:tr>
      <w:tr>
        <w:trPr>
          <w:cantSplit/>
        </w:trPr>
        <w:tc>
          <w:tcPr>
            <w:tcW w:type="dxa" w:w="4752"/>
          </w:tcPr>
          <w:p>
            <w:pPr>
              <w:keepNext/>
              <w:spacing w:after="0" w:line="240" w:lineRule="auto"/>
            </w:pPr>
            <w:r/>
            <w:r>
              <w:rPr>
                <w:sz w:val="18"/>
              </w:rPr>
              <w:t>(5) As (4), size measured in g</w:t>
            </w:r>
          </w:p>
        </w:tc>
        <w:tc>
          <w:tcPr>
            <w:tcW w:type="dxa" w:w="1656"/>
          </w:tcPr>
          <w:p>
            <w:pPr>
              <w:keepNext/>
              <w:spacing w:after="0" w:line="240" w:lineRule="auto"/>
              <w:jc w:val="center"/>
            </w:pPr>
            <w:r/>
            <w:r>
              <w:rPr>
                <w:sz w:val="18"/>
              </w:rPr>
              <w:t>−0.060**</w:t>
            </w:r>
            <w:r>
              <w:br/>
            </w:r>
            <w:r>
              <w:rPr>
                <w:sz w:val="18"/>
              </w:rPr>
              <w:t>(0.024)</w:t>
            </w:r>
          </w:p>
        </w:tc>
        <w:tc>
          <w:tcPr>
            <w:tcW w:type="dxa" w:w="1800"/>
          </w:tcPr>
          <w:p>
            <w:pPr>
              <w:keepNext/>
              <w:spacing w:after="0" w:line="240" w:lineRule="auto"/>
              <w:jc w:val="center"/>
            </w:pPr>
            <w:r/>
            <w:r>
              <w:rPr>
                <w:sz w:val="18"/>
              </w:rPr>
              <w:t>−0.063**</w:t>
            </w:r>
            <w:r>
              <w:br/>
            </w:r>
            <w:r>
              <w:rPr>
                <w:sz w:val="18"/>
              </w:rPr>
              <w:t>(0.031)</w:t>
            </w:r>
          </w:p>
        </w:tc>
        <w:tc>
          <w:tcPr>
            <w:tcW w:type="dxa" w:w="1152"/>
          </w:tcPr>
          <w:p>
            <w:pPr>
              <w:keepNext/>
              <w:spacing w:after="0" w:line="240" w:lineRule="auto"/>
              <w:jc w:val="center"/>
            </w:pPr>
            <w:r/>
            <w:r>
              <w:rPr>
                <w:sz w:val="18"/>
              </w:rPr>
              <w:t>583</w:t>
            </w:r>
          </w:p>
        </w:tc>
      </w:tr>
      <w:tr>
        <w:trPr>
          <w:cantSplit/>
        </w:trPr>
        <w:tc>
          <w:tcPr>
            <w:tcW w:type="dxa" w:w="4752"/>
          </w:tcPr>
          <w:p>
            <w:pPr>
              <w:keepNext/>
              <w:spacing w:after="0" w:line="240" w:lineRule="auto"/>
            </w:pPr>
            <w:r/>
            <w:r>
              <w:rPr>
                <w:sz w:val="18"/>
              </w:rPr>
              <w:t>(6) One year later, all firms (R10)</w:t>
            </w:r>
          </w:p>
        </w:tc>
        <w:tc>
          <w:tcPr>
            <w:tcW w:type="dxa" w:w="1656"/>
          </w:tcPr>
          <w:p>
            <w:pPr>
              <w:keepNext/>
              <w:spacing w:after="0" w:line="240" w:lineRule="auto"/>
              <w:jc w:val="center"/>
            </w:pPr>
            <w:r/>
            <w:r>
              <w:rPr>
                <w:sz w:val="18"/>
              </w:rPr>
              <w:t>−0.068***</w:t>
            </w:r>
            <w:r>
              <w:br/>
            </w:r>
            <w:r>
              <w:rPr>
                <w:sz w:val="18"/>
              </w:rPr>
              <w:t>(0.024)</w:t>
            </w:r>
          </w:p>
        </w:tc>
        <w:tc>
          <w:tcPr>
            <w:tcW w:type="dxa" w:w="1800"/>
          </w:tcPr>
          <w:p>
            <w:pPr>
              <w:keepNext/>
              <w:spacing w:after="0" w:line="240" w:lineRule="auto"/>
              <w:jc w:val="center"/>
            </w:pPr>
            <w:r/>
            <w:r>
              <w:rPr>
                <w:sz w:val="18"/>
              </w:rPr>
              <w:t>−0.073**</w:t>
            </w:r>
            <w:r>
              <w:br/>
            </w:r>
            <w:r>
              <w:rPr>
                <w:sz w:val="18"/>
              </w:rPr>
              <w:t>(0.030)</w:t>
            </w:r>
          </w:p>
        </w:tc>
        <w:tc>
          <w:tcPr>
            <w:tcW w:type="dxa" w:w="1152"/>
          </w:tcPr>
          <w:p>
            <w:pPr>
              <w:keepNext/>
              <w:spacing w:after="0" w:line="240" w:lineRule="auto"/>
              <w:jc w:val="center"/>
            </w:pPr>
            <w:r/>
            <w:r>
              <w:rPr>
                <w:sz w:val="18"/>
              </w:rPr>
              <w:t>613</w:t>
            </w:r>
          </w:p>
        </w:tc>
      </w:tr>
      <w:tr>
        <w:trPr>
          <w:cantSplit/>
        </w:trPr>
        <w:tc>
          <w:tcPr>
            <w:tcW w:type="dxa" w:w="4752"/>
          </w:tcPr>
          <w:p>
            <w:pPr>
              <w:keepNext/>
              <w:spacing w:after="0" w:line="240" w:lineRule="auto"/>
            </w:pPr>
            <w:r/>
            <w:r>
              <w:rPr>
                <w:sz w:val="18"/>
              </w:rPr>
              <w:t>(7) As (2), cohorts first recorded 2015 to 2020</w:t>
            </w:r>
          </w:p>
        </w:tc>
        <w:tc>
          <w:tcPr>
            <w:tcW w:type="dxa" w:w="1656"/>
          </w:tcPr>
          <w:p>
            <w:pPr>
              <w:keepNext/>
              <w:spacing w:after="0" w:line="240" w:lineRule="auto"/>
              <w:jc w:val="center"/>
            </w:pPr>
            <w:r/>
            <w:r>
              <w:rPr>
                <w:sz w:val="18"/>
              </w:rPr>
              <w:t>0.017</w:t>
            </w:r>
            <w:r>
              <w:br/>
            </w:r>
            <w:r>
              <w:rPr>
                <w:sz w:val="18"/>
              </w:rPr>
              <w:t>(0.040)</w:t>
            </w:r>
          </w:p>
        </w:tc>
        <w:tc>
          <w:tcPr>
            <w:tcW w:type="dxa" w:w="1800"/>
          </w:tcPr>
          <w:p>
            <w:pPr>
              <w:keepNext/>
              <w:spacing w:after="0" w:line="240" w:lineRule="auto"/>
              <w:jc w:val="center"/>
            </w:pPr>
            <w:r/>
            <w:r>
              <w:rPr>
                <w:sz w:val="18"/>
              </w:rPr>
              <w:t>0.076*</w:t>
            </w:r>
            <w:r>
              <w:br/>
            </w:r>
            <w:r>
              <w:rPr>
                <w:sz w:val="18"/>
              </w:rPr>
              <w:t>(0.042)</w:t>
            </w:r>
          </w:p>
        </w:tc>
        <w:tc>
          <w:tcPr>
            <w:tcW w:type="dxa" w:w="1152"/>
          </w:tcPr>
          <w:p>
            <w:pPr>
              <w:keepNext/>
              <w:spacing w:after="0" w:line="240" w:lineRule="auto"/>
              <w:jc w:val="center"/>
            </w:pPr>
            <w:r/>
            <w:r>
              <w:rPr>
                <w:sz w:val="18"/>
              </w:rPr>
              <w:t>142</w:t>
            </w:r>
          </w:p>
        </w:tc>
      </w:tr>
      <w:tr>
        <w:trPr>
          <w:cantSplit/>
        </w:trPr>
        <w:tc>
          <w:tcPr>
            <w:tcW w:type="dxa" w:w="4752"/>
          </w:tcPr>
          <w:p>
            <w:pPr>
              <w:keepNext/>
              <w:spacing w:after="0" w:line="240" w:lineRule="auto"/>
            </w:pPr>
            <w:r/>
            <w:r>
              <w:rPr>
                <w:sz w:val="18"/>
              </w:rPr>
              <w:t>(8) As (3), cohorts first recorded 2015 to 2020</w:t>
            </w:r>
          </w:p>
        </w:tc>
        <w:tc>
          <w:tcPr>
            <w:tcW w:type="dxa" w:w="1656"/>
          </w:tcPr>
          <w:p>
            <w:pPr>
              <w:keepNext/>
              <w:spacing w:after="0" w:line="240" w:lineRule="auto"/>
              <w:jc w:val="center"/>
            </w:pPr>
            <w:r/>
            <w:r>
              <w:rPr>
                <w:sz w:val="18"/>
              </w:rPr>
              <w:t>−0.026</w:t>
            </w:r>
            <w:r>
              <w:br/>
            </w:r>
            <w:r>
              <w:rPr>
                <w:sz w:val="18"/>
              </w:rPr>
              <w:t>(0.047)</w:t>
            </w:r>
          </w:p>
        </w:tc>
        <w:tc>
          <w:tcPr>
            <w:tcW w:type="dxa" w:w="1800"/>
          </w:tcPr>
          <w:p>
            <w:pPr>
              <w:keepNext/>
              <w:spacing w:after="0" w:line="240" w:lineRule="auto"/>
              <w:jc w:val="center"/>
            </w:pPr>
            <w:r/>
            <w:r>
              <w:rPr>
                <w:sz w:val="18"/>
              </w:rPr>
              <w:t>0.077</w:t>
            </w:r>
            <w:r>
              <w:br/>
            </w:r>
            <w:r>
              <w:rPr>
                <w:sz w:val="18"/>
              </w:rPr>
              <w:t>(0.050)</w:t>
            </w:r>
          </w:p>
        </w:tc>
        <w:tc>
          <w:tcPr>
            <w:tcW w:type="dxa" w:w="1152"/>
          </w:tcPr>
          <w:p>
            <w:pPr>
              <w:keepNext/>
              <w:spacing w:after="0" w:line="240" w:lineRule="auto"/>
              <w:jc w:val="center"/>
            </w:pPr>
            <w:r/>
            <w:r>
              <w:rPr>
                <w:sz w:val="18"/>
              </w:rPr>
              <w:t>142</w:t>
            </w:r>
          </w:p>
        </w:tc>
      </w:tr>
      <w:tr>
        <w:trPr>
          <w:cantSplit/>
        </w:trPr>
        <w:tc>
          <w:tcPr>
            <w:tcW w:type="dxa" w:w="4752"/>
          </w:tcPr>
          <w:p>
            <w:pPr>
              <w:keepNext/>
              <w:spacing w:after="0" w:line="240" w:lineRule="auto"/>
            </w:pPr>
            <w:r/>
            <w:r>
              <w:rPr>
                <w:sz w:val="18"/>
              </w:rPr>
              <w:t>(9) As (4), cohorts first recorded 2015 to 2020</w:t>
            </w:r>
          </w:p>
        </w:tc>
        <w:tc>
          <w:tcPr>
            <w:tcW w:type="dxa" w:w="1656"/>
          </w:tcPr>
          <w:p>
            <w:pPr>
              <w:keepNext/>
              <w:spacing w:after="0" w:line="240" w:lineRule="auto"/>
              <w:jc w:val="center"/>
            </w:pPr>
            <w:r/>
            <w:r>
              <w:rPr>
                <w:sz w:val="18"/>
              </w:rPr>
              <w:t>−0.124***</w:t>
            </w:r>
            <w:r>
              <w:br/>
            </w:r>
            <w:r>
              <w:rPr>
                <w:sz w:val="18"/>
              </w:rPr>
              <w:t>(0.038)</w:t>
            </w:r>
          </w:p>
        </w:tc>
        <w:tc>
          <w:tcPr>
            <w:tcW w:type="dxa" w:w="1800"/>
          </w:tcPr>
          <w:p>
            <w:pPr>
              <w:keepNext/>
              <w:spacing w:after="0" w:line="240" w:lineRule="auto"/>
              <w:jc w:val="center"/>
            </w:pPr>
            <w:r/>
            <w:r>
              <w:rPr>
                <w:sz w:val="18"/>
              </w:rPr>
              <w:t>−0.006</w:t>
            </w:r>
            <w:r>
              <w:br/>
            </w:r>
            <w:r>
              <w:rPr>
                <w:sz w:val="18"/>
              </w:rPr>
              <w:t>(0.040)</w:t>
            </w:r>
          </w:p>
        </w:tc>
        <w:tc>
          <w:tcPr>
            <w:tcW w:type="dxa" w:w="1152"/>
          </w:tcPr>
          <w:p>
            <w:pPr>
              <w:keepNext/>
              <w:spacing w:after="0" w:line="240" w:lineRule="auto"/>
              <w:jc w:val="center"/>
            </w:pPr>
            <w:r/>
            <w:r>
              <w:rPr>
                <w:sz w:val="18"/>
              </w:rPr>
              <w:t>142</w:t>
            </w:r>
          </w:p>
        </w:tc>
      </w:tr>
      <w:tr>
        <w:trPr>
          <w:cantSplit/>
        </w:trPr>
        <w:tc>
          <w:tcPr>
            <w:tcW w:type="dxa" w:w="4752"/>
            <w:tcBorders>
              <w:bottom w:val="single" w:sz="6" w:color="000000"/>
            </w:tcBorders>
          </w:tcPr>
          <w:p>
            <w:pPr>
              <w:spacing w:after="0" w:line="240" w:lineRule="auto"/>
            </w:pPr>
            <w:r/>
            <w:r>
              <w:rPr>
                <w:sz w:val="18"/>
              </w:rPr>
              <w:t>(10) As (5), cohorts first recorded 2015 to 2020</w:t>
            </w:r>
          </w:p>
        </w:tc>
        <w:tc>
          <w:tcPr>
            <w:tcW w:type="dxa" w:w="1656"/>
            <w:tcBorders>
              <w:bottom w:val="single" w:sz="6" w:color="000000"/>
            </w:tcBorders>
          </w:tcPr>
          <w:p>
            <w:pPr>
              <w:spacing w:after="0" w:line="240" w:lineRule="auto"/>
              <w:jc w:val="center"/>
            </w:pPr>
            <w:r/>
            <w:r>
              <w:rPr>
                <w:sz w:val="18"/>
              </w:rPr>
              <w:t>−0.121***</w:t>
            </w:r>
            <w:r>
              <w:br/>
            </w:r>
            <w:r>
              <w:rPr>
                <w:sz w:val="18"/>
              </w:rPr>
              <w:t>(0.038)</w:t>
            </w:r>
          </w:p>
        </w:tc>
        <w:tc>
          <w:tcPr>
            <w:tcW w:type="dxa" w:w="1800"/>
            <w:tcBorders>
              <w:bottom w:val="single" w:sz="6" w:color="000000"/>
            </w:tcBorders>
          </w:tcPr>
          <w:p>
            <w:pPr>
              <w:spacing w:after="0" w:line="240" w:lineRule="auto"/>
              <w:jc w:val="center"/>
            </w:pPr>
            <w:r/>
            <w:r>
              <w:rPr>
                <w:sz w:val="18"/>
              </w:rPr>
              <w:t>−0.018</w:t>
            </w:r>
            <w:r>
              <w:br/>
            </w:r>
            <w:r>
              <w:rPr>
                <w:sz w:val="18"/>
              </w:rPr>
              <w:t>(0.042)</w:t>
            </w:r>
          </w:p>
        </w:tc>
        <w:tc>
          <w:tcPr>
            <w:tcW w:type="dxa" w:w="1152"/>
            <w:tcBorders>
              <w:bottom w:val="single" w:sz="6" w:color="000000"/>
            </w:tcBorders>
          </w:tcPr>
          <w:p>
            <w:pPr>
              <w:spacing w:after="0" w:line="240" w:lineRule="auto"/>
              <w:jc w:val="center"/>
            </w:pPr>
            <w:r/>
            <w:r>
              <w:rPr>
                <w:sz w:val="18"/>
              </w:rPr>
              <w:t>142</w:t>
            </w:r>
          </w:p>
        </w:tc>
      </w:tr>
    </w:tbl>
    <w:p>
      <w:pPr>
        <w:keepNext/>
        <w:spacing w:line="240" w:lineRule="auto" w:after="40" w:before="80"/>
        <w:jc w:val="both"/>
      </w:pPr>
      <w:r>
        <w:rPr>
          <w:sz w:val="18"/>
        </w:rPr>
        <w:t>Note: Outcome regression with firm-bootstrap standard errors; each row changes one feature; firm counts for ln(MTB). *, **, ***: 10%, 5%, 1%.</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The reference year thus drives the difference. Dated one year later, every later valuation is compared with the first recorded year, the high point of the relative MTB path that followed the run-up. Moving the reference year from g − 1 to g subtracts from each later estimate the change in log MTB of the same scored firms, relative to the same never-scored firms, between g − 1 and g. The row 4 step is therefore this event-year-0 change, 0.044, averaged with the weights that the cohorts receive in event years 1 to 4; it is an accounting identity, not a separate estimate. A later dating thus starts from a higher point, and part of the decline it reports is the rise in the first recorded year itself. The cohorts observed through event year 4 (rows 7 to 10) show the same pattern more strongly. Composition matters as well: the timing difference is concentrated in the waves that had a run-up. Table S6 of the supplementary material shows that under the one-year-later dating the MTB change is −0.136 for the Thai and Singaporean wave and −0.111 for the remaining cohorts, but 0.012 for the Malaysian wave, whose estimate under the first recorded year is 0.021. Tested directly with joint firm-bootstrap draws, the Thai and Singaporean wave differs from the Malaysian wave both in the run-up (difference in the event-year −5 estimate −0.258, p = 0.010) and in the one-year-later change (−0.148, p = 0.006). The remaining cohorts differ from the Malaysian wave in the one-year-later change (−0.123, p = 0.010) but not detectably in the run-up (p = 0.307), and under the first-recorded-year dating no wave differs from the Malaysian one. Where no run-up was detected before entry, neither dating detects an MTB change (95% intervals −0.053 to 0.091 and −0.055 to 0.076).</w:t>
      </w:r>
    </w:p>
    <w:p>
      <w:pPr>
        <w:spacing w:line="360" w:lineRule="auto" w:after="120" w:before="0"/>
        <w:ind w:firstLine="720"/>
        <w:jc w:val="both"/>
      </w:pPr>
      <w:r>
        <w:rPr/>
        <w:t>Two readings fit this pattern, and the data cannot separate them. If firms were selected at an unusually high valuation that later partly reversed, the one-year-later estimate measures that reversal and could hide a gain from coverage; if valuations would otherwise have stayed at their peak, coverage lowered them. Neither dating shows a gain, and under both the decline appears only where a run-up preceded entry.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 xml:space="preserve">5.5 </w:t>
      </w:r>
      <w:r>
        <w:rPr>
          <w:rFonts w:ascii="Times New Roman" w:hAnsi="Times New Roman" w:eastAsia="Times New Roman"/>
          <w:b/>
          <w:i w:val="0"/>
          <w:color w:val="000000"/>
          <w:sz w:val="24"/>
        </w:rPr>
        <w:t>Sensitivity to departures from parallel trends</w:t>
      </w:r>
    </w:p>
    <w:p>
      <w:pPr>
        <w:spacing w:line="360" w:lineRule="auto" w:after="120" w:before="0"/>
        <w:ind w:firstLine="720"/>
        <w:jc w:val="both"/>
      </w:pPr>
      <w:r>
        <w:rPr/>
        <w:t>Row R11 keeps the 7 cohorts observed through event year 3 and gives −0.008 (p = 0.806), so changing cohort composition does not explain the headline estimate. Removing a linear pre-trend with Eq. (9) (row R7) gives −0.052, and matching on pre-coverage growth (row R8) gives 0.028; both intervals include zero, and Appendix A.11 of the supplementary material discusses them.</w:t>
      </w:r>
    </w:p>
    <w:p>
      <w:pPr>
        <w:spacing w:line="360" w:lineRule="auto" w:after="120" w:before="0"/>
        <w:ind w:firstLine="720"/>
        <w:jc w:val="both"/>
      </w:pPr>
      <w:r>
        <w:rPr/>
        <w:t>Table S7 reports the bounds of Eq. (10). With M̄ = 0.25, the interval for the MTB effect is −0.071 to 0.073, and any departure with M̄ above 0.01 admits a 5% increase. Under the one-year-later dating, the decline loses significance with M̄ = 0.25, when its interval runs from −0.138 to 0.002. Modest departures from parallel trends, smaller than those observed before coverage, are therefore enough to change the reading of either dating.</w:t>
      </w:r>
    </w:p>
    <w:p>
      <w:pPr>
        <w:pStyle w:val="Heading2"/>
        <w:keepNext/>
        <w:spacing w:line="360" w:lineRule="auto" w:after="120" w:before="160"/>
      </w:pPr>
      <w:r>
        <w:rPr>
          <w:rFonts w:ascii="Times New Roman" w:hAnsi="Times New Roman" w:eastAsia="Times New Roman"/>
          <w:b/>
          <w:i w:val="0"/>
          <w:color w:val="000000"/>
          <w:sz w:val="24"/>
        </w:rPr>
        <w:t xml:space="preserve">5.6 </w:t>
      </w:r>
      <w:r>
        <w:rPr>
          <w:rFonts w:ascii="Times New Roman" w:hAnsi="Times New Roman" w:eastAsia="Times New Roman"/>
          <w:b/>
          <w:i w:val="0"/>
          <w:color w:val="000000"/>
          <w:sz w:val="24"/>
        </w:rPr>
        <w:t>Firm size and common support</w:t>
      </w:r>
    </w:p>
    <w:p>
      <w:pPr>
        <w:spacing w:line="360" w:lineRule="auto" w:after="120" w:before="0"/>
        <w:ind w:firstLine="720"/>
        <w:jc w:val="both"/>
      </w:pPr>
      <w:r>
        <w:rPr/>
        <w:t>Scored firms are much larger than most controls, so the outcome regression extrapolates for the largest firms. Table 5 varies the size adjustment and the support. Across functional forms (none, linear, quadratic, cubic, quintile indicators, or size measured at g − 3), the MTB estimate stays between −0.010 and 0.025. Restricting scored firms to the size range of the controls changes the estimand to the effect on scored firms that have comparable controls. Keeping scored firms no larger than the 95th percentile of controls in their cell retains 487 scored firms and gives −0.021 (p = 0.426); the 90th and 99th percentile cut-offs give −0.013 and −0.006. Within this support the doubly robust estimator of Sant'Anna and Zhao (2020), with control propensity scores capped at 0.99, gives −0.010 (p = 0.715), and only 1.1% of scored firm-cells have an estimated propensity score above 0.95. The MTB result therefore does not depend on extrapolating the size adjustment to the largest firms.</w:t>
      </w:r>
    </w:p>
    <w:p>
      <w:pPr>
        <w:keepNext/>
        <w:spacing w:line="240" w:lineRule="auto" w:after="120" w:before="240"/>
        <w:jc w:val="center"/>
      </w:pPr>
      <w:r>
        <w:rPr>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1800"/>
        <w:gridCol w:w="1872"/>
        <w:gridCol w:w="1296"/>
      </w:tblGrid>
      <w:tr>
        <w:trPr>
          <w:cantSplit/>
          <w:tblHeader/>
        </w:trPr>
        <w:tc>
          <w:tcPr>
            <w:tcW w:type="dxa" w:w="4320"/>
            <w:tcBorders>
              <w:top w:val="single" w:sz="6" w:color="000000"/>
              <w:bottom w:val="single" w:sz="6" w:color="000000"/>
            </w:tcBorders>
          </w:tcPr>
          <w:p>
            <w:pPr>
              <w:keepNext/>
              <w:spacing w:after="0" w:line="240" w:lineRule="auto"/>
            </w:pPr>
            <w:r/>
            <w:r>
              <w:rPr>
                <w:b/>
                <w:sz w:val="18"/>
              </w:rPr>
              <w:t>Specification</w:t>
            </w:r>
          </w:p>
        </w:tc>
        <w:tc>
          <w:tcPr>
            <w:tcW w:type="dxa" w:w="1800"/>
            <w:tcBorders>
              <w:top w:val="single" w:sz="6" w:color="000000"/>
              <w:bottom w:val="single" w:sz="6" w:color="000000"/>
            </w:tcBorders>
          </w:tcPr>
          <w:p>
            <w:pPr>
              <w:keepNext/>
              <w:spacing w:after="0" w:line="240" w:lineRule="auto"/>
              <w:jc w:val="center"/>
            </w:pPr>
            <w:r/>
            <w:r>
              <w:rPr>
                <w:b/>
                <w:sz w:val="18"/>
              </w:rPr>
              <w:t>ln(MTB)</w:t>
            </w:r>
          </w:p>
        </w:tc>
        <w:tc>
          <w:tcPr>
            <w:tcW w:type="dxa" w:w="1872"/>
            <w:tcBorders>
              <w:top w:val="single" w:sz="6" w:color="000000"/>
              <w:bottom w:val="single" w:sz="6" w:color="000000"/>
            </w:tcBorders>
          </w:tcPr>
          <w:p>
            <w:pPr>
              <w:keepNext/>
              <w:spacing w:after="0" w:line="240" w:lineRule="auto"/>
              <w:jc w:val="center"/>
            </w:pPr>
            <w:r/>
            <w:r>
              <w:rPr>
                <w:b/>
                <w:sz w:val="18"/>
              </w:rPr>
              <w:t>ln(market cap)</w:t>
            </w:r>
          </w:p>
        </w:tc>
        <w:tc>
          <w:tcPr>
            <w:tcW w:type="dxa" w:w="1296"/>
            <w:tcBorders>
              <w:top w:val="single" w:sz="6" w:color="000000"/>
              <w:bottom w:val="single" w:sz="6" w:color="000000"/>
            </w:tcBorders>
          </w:tcPr>
          <w:p>
            <w:pPr>
              <w:keepNext/>
              <w:spacing w:after="0" w:line="240" w:lineRule="auto"/>
              <w:jc w:val="center"/>
            </w:pPr>
            <w:r/>
            <w:r>
              <w:rPr>
                <w:b/>
                <w:sz w:val="18"/>
              </w:rPr>
              <w:t>Scored firms in averaged event years</w:t>
            </w:r>
          </w:p>
        </w:tc>
      </w:tr>
      <w:tr>
        <w:trPr>
          <w:cantSplit/>
        </w:trPr>
        <w:tc>
          <w:tcPr>
            <w:tcW w:type="dxa" w:w="4320"/>
          </w:tcPr>
          <w:p>
            <w:pPr>
              <w:keepNext/>
              <w:spacing w:after="0" w:line="240" w:lineRule="auto"/>
            </w:pPr>
            <w:r/>
            <w:r>
              <w:rPr>
                <w:sz w:val="18"/>
              </w:rPr>
              <w:t>Baseline: quadratic in log total assets at g − 1</w:t>
            </w:r>
          </w:p>
        </w:tc>
        <w:tc>
          <w:tcPr>
            <w:tcW w:type="dxa" w:w="1800"/>
          </w:tcPr>
          <w:p>
            <w:pPr>
              <w:keepNext/>
              <w:spacing w:after="0" w:line="240" w:lineRule="auto"/>
              <w:jc w:val="center"/>
            </w:pPr>
            <w:r/>
            <w:r>
              <w:rPr>
                <w:sz w:val="18"/>
              </w:rPr>
              <w:t>0.002</w:t>
            </w:r>
            <w:r>
              <w:br/>
            </w:r>
            <w:r>
              <w:rPr>
                <w:sz w:val="18"/>
              </w:rPr>
              <w:t>(0.024)</w:t>
            </w:r>
          </w:p>
        </w:tc>
        <w:tc>
          <w:tcPr>
            <w:tcW w:type="dxa" w:w="1872"/>
          </w:tcPr>
          <w:p>
            <w:pPr>
              <w:keepNext/>
              <w:spacing w:after="0" w:line="240" w:lineRule="auto"/>
              <w:jc w:val="center"/>
            </w:pPr>
            <w:r/>
            <w:r>
              <w:rPr>
                <w:sz w:val="18"/>
              </w:rPr>
              <w:t>−0.055*</w:t>
            </w:r>
            <w:r>
              <w:br/>
            </w:r>
            <w:r>
              <w:rPr>
                <w:sz w:val="18"/>
              </w:rPr>
              <w:t>(0.030)</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No covariates</w:t>
            </w:r>
          </w:p>
        </w:tc>
        <w:tc>
          <w:tcPr>
            <w:tcW w:type="dxa" w:w="1800"/>
          </w:tcPr>
          <w:p>
            <w:pPr>
              <w:keepNext/>
              <w:spacing w:after="0" w:line="240" w:lineRule="auto"/>
              <w:jc w:val="center"/>
            </w:pPr>
            <w:r/>
            <w:r>
              <w:rPr>
                <w:sz w:val="18"/>
              </w:rPr>
              <w:t>0.025</w:t>
            </w:r>
            <w:r>
              <w:br/>
            </w:r>
            <w:r>
              <w:rPr>
                <w:sz w:val="18"/>
              </w:rPr>
              <w:t>(0.022)</w:t>
            </w:r>
          </w:p>
        </w:tc>
        <w:tc>
          <w:tcPr>
            <w:tcW w:type="dxa" w:w="1872"/>
          </w:tcPr>
          <w:p>
            <w:pPr>
              <w:keepNext/>
              <w:spacing w:after="0" w:line="240" w:lineRule="auto"/>
              <w:jc w:val="center"/>
            </w:pPr>
            <w:r/>
            <w:r>
              <w:rPr>
                <w:sz w:val="18"/>
              </w:rPr>
              <w:t>0.016</w:t>
            </w:r>
            <w:r>
              <w:br/>
            </w:r>
            <w:r>
              <w:rPr>
                <w:sz w:val="18"/>
              </w:rPr>
              <w:t>(0.025)</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Linear in log total assets</w:t>
            </w:r>
          </w:p>
        </w:tc>
        <w:tc>
          <w:tcPr>
            <w:tcW w:type="dxa" w:w="1800"/>
          </w:tcPr>
          <w:p>
            <w:pPr>
              <w:keepNext/>
              <w:spacing w:after="0" w:line="240" w:lineRule="auto"/>
              <w:jc w:val="center"/>
            </w:pPr>
            <w:r/>
            <w:r>
              <w:rPr>
                <w:sz w:val="18"/>
              </w:rPr>
              <w:t>−0.003</w:t>
            </w:r>
            <w:r>
              <w:br/>
            </w:r>
            <w:r>
              <w:rPr>
                <w:sz w:val="18"/>
              </w:rPr>
              <w:t>(0.023)</w:t>
            </w:r>
          </w:p>
        </w:tc>
        <w:tc>
          <w:tcPr>
            <w:tcW w:type="dxa" w:w="1872"/>
          </w:tcPr>
          <w:p>
            <w:pPr>
              <w:keepNext/>
              <w:spacing w:after="0" w:line="240" w:lineRule="auto"/>
              <w:jc w:val="center"/>
            </w:pPr>
            <w:r/>
            <w:r>
              <w:rPr>
                <w:sz w:val="18"/>
              </w:rPr>
              <w:t>−0.033</w:t>
            </w:r>
            <w:r>
              <w:br/>
            </w:r>
            <w:r>
              <w:rPr>
                <w:sz w:val="18"/>
              </w:rPr>
              <w:t>(0.029)</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Cubic in log total assets</w:t>
            </w:r>
          </w:p>
        </w:tc>
        <w:tc>
          <w:tcPr>
            <w:tcW w:type="dxa" w:w="1800"/>
          </w:tcPr>
          <w:p>
            <w:pPr>
              <w:keepNext/>
              <w:spacing w:after="0" w:line="240" w:lineRule="auto"/>
              <w:jc w:val="center"/>
            </w:pPr>
            <w:r/>
            <w:r>
              <w:rPr>
                <w:sz w:val="18"/>
              </w:rPr>
              <w:t>−0.009</w:t>
            </w:r>
            <w:r>
              <w:br/>
            </w:r>
            <w:r>
              <w:rPr>
                <w:sz w:val="18"/>
              </w:rPr>
              <w:t>(0.024)</w:t>
            </w:r>
          </w:p>
        </w:tc>
        <w:tc>
          <w:tcPr>
            <w:tcW w:type="dxa" w:w="1872"/>
          </w:tcPr>
          <w:p>
            <w:pPr>
              <w:keepNext/>
              <w:spacing w:after="0" w:line="240" w:lineRule="auto"/>
              <w:jc w:val="center"/>
            </w:pPr>
            <w:r/>
            <w:r>
              <w:rPr>
                <w:sz w:val="18"/>
              </w:rPr>
              <w:t>−0.055*</w:t>
            </w:r>
            <w:r>
              <w:br/>
            </w:r>
            <w:r>
              <w:rPr>
                <w:sz w:val="18"/>
              </w:rPr>
              <w:t>(0.030)</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Size quintile indicators</w:t>
            </w:r>
          </w:p>
        </w:tc>
        <w:tc>
          <w:tcPr>
            <w:tcW w:type="dxa" w:w="1800"/>
          </w:tcPr>
          <w:p>
            <w:pPr>
              <w:keepNext/>
              <w:spacing w:after="0" w:line="240" w:lineRule="auto"/>
              <w:jc w:val="center"/>
            </w:pPr>
            <w:r/>
            <w:r>
              <w:rPr>
                <w:sz w:val="18"/>
              </w:rPr>
              <w:t>−0.010</w:t>
            </w:r>
            <w:r>
              <w:br/>
            </w:r>
            <w:r>
              <w:rPr>
                <w:sz w:val="18"/>
              </w:rPr>
              <w:t>(0.023)</w:t>
            </w:r>
          </w:p>
        </w:tc>
        <w:tc>
          <w:tcPr>
            <w:tcW w:type="dxa" w:w="1872"/>
          </w:tcPr>
          <w:p>
            <w:pPr>
              <w:keepNext/>
              <w:spacing w:after="0" w:line="240" w:lineRule="auto"/>
              <w:jc w:val="center"/>
            </w:pPr>
            <w:r/>
            <w:r>
              <w:rPr>
                <w:sz w:val="18"/>
              </w:rPr>
              <w:t>−0.053*</w:t>
            </w:r>
            <w:r>
              <w:br/>
            </w:r>
            <w:r>
              <w:rPr>
                <w:sz w:val="18"/>
              </w:rPr>
              <w:t>(0.029)</w:t>
            </w:r>
          </w:p>
        </w:tc>
        <w:tc>
          <w:tcPr>
            <w:tcW w:type="dxa" w:w="1296"/>
          </w:tcPr>
          <w:p>
            <w:pPr>
              <w:keepNext/>
              <w:spacing w:after="0" w:line="240" w:lineRule="auto"/>
              <w:jc w:val="center"/>
            </w:pPr>
            <w:r/>
            <w:r>
              <w:rPr>
                <w:sz w:val="18"/>
              </w:rPr>
              <w:t>625</w:t>
            </w:r>
          </w:p>
        </w:tc>
      </w:tr>
      <w:tr>
        <w:trPr>
          <w:cantSplit/>
        </w:trPr>
        <w:tc>
          <w:tcPr>
            <w:tcW w:type="dxa" w:w="4320"/>
          </w:tcPr>
          <w:p>
            <w:pPr>
              <w:keepNext/>
              <w:spacing w:after="0" w:line="240" w:lineRule="auto"/>
            </w:pPr>
            <w:r/>
            <w:r>
              <w:rPr>
                <w:sz w:val="18"/>
              </w:rPr>
              <w:t>Quadratic, total assets at g − 3</w:t>
            </w:r>
          </w:p>
        </w:tc>
        <w:tc>
          <w:tcPr>
            <w:tcW w:type="dxa" w:w="1800"/>
          </w:tcPr>
          <w:p>
            <w:pPr>
              <w:keepNext/>
              <w:spacing w:after="0" w:line="240" w:lineRule="auto"/>
              <w:jc w:val="center"/>
            </w:pPr>
            <w:r/>
            <w:r>
              <w:rPr>
                <w:sz w:val="18"/>
              </w:rPr>
              <w:t>−0.008</w:t>
            </w:r>
            <w:r>
              <w:br/>
            </w:r>
            <w:r>
              <w:rPr>
                <w:sz w:val="18"/>
              </w:rPr>
              <w:t>(0.025)</w:t>
            </w:r>
          </w:p>
        </w:tc>
        <w:tc>
          <w:tcPr>
            <w:tcW w:type="dxa" w:w="1872"/>
          </w:tcPr>
          <w:p>
            <w:pPr>
              <w:keepNext/>
              <w:spacing w:after="0" w:line="240" w:lineRule="auto"/>
              <w:jc w:val="center"/>
            </w:pPr>
            <w:r/>
            <w:r>
              <w:rPr>
                <w:sz w:val="18"/>
              </w:rPr>
              <w:t>−0.059*</w:t>
            </w:r>
            <w:r>
              <w:br/>
            </w:r>
            <w:r>
              <w:rPr>
                <w:sz w:val="18"/>
              </w:rPr>
              <w:t>(0.032)</w:t>
            </w:r>
          </w:p>
        </w:tc>
        <w:tc>
          <w:tcPr>
            <w:tcW w:type="dxa" w:w="1296"/>
          </w:tcPr>
          <w:p>
            <w:pPr>
              <w:keepNext/>
              <w:spacing w:after="0" w:line="240" w:lineRule="auto"/>
              <w:jc w:val="center"/>
            </w:pPr>
            <w:r/>
            <w:r>
              <w:rPr>
                <w:sz w:val="18"/>
              </w:rPr>
              <w:t>592</w:t>
            </w:r>
          </w:p>
        </w:tc>
      </w:tr>
      <w:tr>
        <w:trPr>
          <w:cantSplit/>
        </w:trPr>
        <w:tc>
          <w:tcPr>
            <w:tcW w:type="dxa" w:w="4320"/>
          </w:tcPr>
          <w:p>
            <w:pPr>
              <w:keepNext/>
              <w:spacing w:after="0" w:line="240" w:lineRule="auto"/>
            </w:pPr>
            <w:r/>
            <w:r>
              <w:rPr>
                <w:sz w:val="18"/>
              </w:rPr>
              <w:t>Scored firms ≤ 99th percentile of controls</w:t>
            </w:r>
          </w:p>
        </w:tc>
        <w:tc>
          <w:tcPr>
            <w:tcW w:type="dxa" w:w="1800"/>
          </w:tcPr>
          <w:p>
            <w:pPr>
              <w:keepNext/>
              <w:spacing w:after="0" w:line="240" w:lineRule="auto"/>
              <w:jc w:val="center"/>
            </w:pPr>
            <w:r/>
            <w:r>
              <w:rPr>
                <w:sz w:val="18"/>
              </w:rPr>
              <w:t>−0.006</w:t>
            </w:r>
            <w:r>
              <w:br/>
            </w:r>
            <w:r>
              <w:rPr>
                <w:sz w:val="18"/>
              </w:rPr>
              <w:t>(0.024)</w:t>
            </w:r>
          </w:p>
        </w:tc>
        <w:tc>
          <w:tcPr>
            <w:tcW w:type="dxa" w:w="1872"/>
          </w:tcPr>
          <w:p>
            <w:pPr>
              <w:keepNext/>
              <w:spacing w:after="0" w:line="240" w:lineRule="auto"/>
              <w:jc w:val="center"/>
            </w:pPr>
            <w:r/>
            <w:r>
              <w:rPr>
                <w:sz w:val="18"/>
              </w:rPr>
              <w:t>−0.061**</w:t>
            </w:r>
            <w:r>
              <w:br/>
            </w:r>
            <w:r>
              <w:rPr>
                <w:sz w:val="18"/>
              </w:rPr>
              <w:t>(0.031)</w:t>
            </w:r>
          </w:p>
        </w:tc>
        <w:tc>
          <w:tcPr>
            <w:tcW w:type="dxa" w:w="1296"/>
          </w:tcPr>
          <w:p>
            <w:pPr>
              <w:keepNext/>
              <w:spacing w:after="0" w:line="240" w:lineRule="auto"/>
              <w:jc w:val="center"/>
            </w:pPr>
            <w:r/>
            <w:r>
              <w:rPr>
                <w:sz w:val="18"/>
              </w:rPr>
              <w:t>586</w:t>
            </w:r>
          </w:p>
        </w:tc>
      </w:tr>
      <w:tr>
        <w:trPr>
          <w:cantSplit/>
        </w:trPr>
        <w:tc>
          <w:tcPr>
            <w:tcW w:type="dxa" w:w="4320"/>
          </w:tcPr>
          <w:p>
            <w:pPr>
              <w:keepNext/>
              <w:spacing w:after="0" w:line="240" w:lineRule="auto"/>
            </w:pPr>
            <w:r/>
            <w:r>
              <w:rPr>
                <w:sz w:val="18"/>
              </w:rPr>
              <w:t>Scored firms ≤ 95th percentile of controls</w:t>
            </w:r>
          </w:p>
        </w:tc>
        <w:tc>
          <w:tcPr>
            <w:tcW w:type="dxa" w:w="1800"/>
          </w:tcPr>
          <w:p>
            <w:pPr>
              <w:keepNext/>
              <w:spacing w:after="0" w:line="240" w:lineRule="auto"/>
              <w:jc w:val="center"/>
            </w:pPr>
            <w:r/>
            <w:r>
              <w:rPr>
                <w:sz w:val="18"/>
              </w:rPr>
              <w:t>−0.021</w:t>
            </w:r>
            <w:r>
              <w:br/>
            </w:r>
            <w:r>
              <w:rPr>
                <w:sz w:val="18"/>
              </w:rPr>
              <w:t>(0.026)</w:t>
            </w:r>
          </w:p>
        </w:tc>
        <w:tc>
          <w:tcPr>
            <w:tcW w:type="dxa" w:w="1872"/>
          </w:tcPr>
          <w:p>
            <w:pPr>
              <w:keepNext/>
              <w:spacing w:after="0" w:line="240" w:lineRule="auto"/>
              <w:jc w:val="center"/>
            </w:pPr>
            <w:r/>
            <w:r>
              <w:rPr>
                <w:sz w:val="18"/>
              </w:rPr>
              <w:t>−0.096***</w:t>
            </w:r>
            <w:r>
              <w:br/>
            </w:r>
            <w:r>
              <w:rPr>
                <w:sz w:val="18"/>
              </w:rPr>
              <w:t>(0.035)</w:t>
            </w:r>
          </w:p>
        </w:tc>
        <w:tc>
          <w:tcPr>
            <w:tcW w:type="dxa" w:w="1296"/>
          </w:tcPr>
          <w:p>
            <w:pPr>
              <w:keepNext/>
              <w:spacing w:after="0" w:line="240" w:lineRule="auto"/>
              <w:jc w:val="center"/>
            </w:pPr>
            <w:r/>
            <w:r>
              <w:rPr>
                <w:sz w:val="18"/>
              </w:rPr>
              <w:t>487</w:t>
            </w:r>
          </w:p>
        </w:tc>
      </w:tr>
      <w:tr>
        <w:trPr>
          <w:cantSplit/>
        </w:trPr>
        <w:tc>
          <w:tcPr>
            <w:tcW w:type="dxa" w:w="4320"/>
          </w:tcPr>
          <w:p>
            <w:pPr>
              <w:keepNext/>
              <w:spacing w:after="0" w:line="240" w:lineRule="auto"/>
            </w:pPr>
            <w:r/>
            <w:r>
              <w:rPr>
                <w:sz w:val="18"/>
              </w:rPr>
              <w:t>Scored firms ≤ 90th percentile of controls</w:t>
            </w:r>
          </w:p>
        </w:tc>
        <w:tc>
          <w:tcPr>
            <w:tcW w:type="dxa" w:w="1800"/>
          </w:tcPr>
          <w:p>
            <w:pPr>
              <w:keepNext/>
              <w:spacing w:after="0" w:line="240" w:lineRule="auto"/>
              <w:jc w:val="center"/>
            </w:pPr>
            <w:r/>
            <w:r>
              <w:rPr>
                <w:sz w:val="18"/>
              </w:rPr>
              <w:t>−0.013</w:t>
            </w:r>
            <w:r>
              <w:br/>
            </w:r>
            <w:r>
              <w:rPr>
                <w:sz w:val="18"/>
              </w:rPr>
              <w:t>(0.028)</w:t>
            </w:r>
          </w:p>
        </w:tc>
        <w:tc>
          <w:tcPr>
            <w:tcW w:type="dxa" w:w="1872"/>
          </w:tcPr>
          <w:p>
            <w:pPr>
              <w:keepNext/>
              <w:spacing w:after="0" w:line="240" w:lineRule="auto"/>
              <w:jc w:val="center"/>
            </w:pPr>
            <w:r/>
            <w:r>
              <w:rPr>
                <w:sz w:val="18"/>
              </w:rPr>
              <w:t>−0.093**</w:t>
            </w:r>
            <w:r>
              <w:br/>
            </w:r>
            <w:r>
              <w:rPr>
                <w:sz w:val="18"/>
              </w:rPr>
              <w:t>(0.039)</w:t>
            </w:r>
          </w:p>
        </w:tc>
        <w:tc>
          <w:tcPr>
            <w:tcW w:type="dxa" w:w="1296"/>
          </w:tcPr>
          <w:p>
            <w:pPr>
              <w:keepNext/>
              <w:spacing w:after="0" w:line="240" w:lineRule="auto"/>
              <w:jc w:val="center"/>
            </w:pPr>
            <w:r/>
            <w:r>
              <w:rPr>
                <w:sz w:val="18"/>
              </w:rPr>
              <w:t>420</w:t>
            </w:r>
          </w:p>
        </w:tc>
      </w:tr>
      <w:tr>
        <w:trPr>
          <w:cantSplit/>
        </w:trPr>
        <w:tc>
          <w:tcPr>
            <w:tcW w:type="dxa" w:w="4320"/>
          </w:tcPr>
          <w:p>
            <w:pPr>
              <w:keepNext/>
              <w:spacing w:after="0" w:line="240" w:lineRule="auto"/>
            </w:pPr>
            <w:r/>
            <w:r>
              <w:rPr>
                <w:sz w:val="18"/>
              </w:rPr>
              <w:t>Doubly robust, ≤ 95th percentile</w:t>
            </w:r>
          </w:p>
        </w:tc>
        <w:tc>
          <w:tcPr>
            <w:tcW w:type="dxa" w:w="1800"/>
          </w:tcPr>
          <w:p>
            <w:pPr>
              <w:keepNext/>
              <w:spacing w:after="0" w:line="240" w:lineRule="auto"/>
              <w:jc w:val="center"/>
            </w:pPr>
            <w:r/>
            <w:r>
              <w:rPr>
                <w:sz w:val="18"/>
              </w:rPr>
              <w:t>−0.010</w:t>
            </w:r>
            <w:r>
              <w:br/>
            </w:r>
            <w:r>
              <w:rPr>
                <w:sz w:val="18"/>
              </w:rPr>
              <w:t>(0.027)</w:t>
            </w:r>
          </w:p>
        </w:tc>
        <w:tc>
          <w:tcPr>
            <w:tcW w:type="dxa" w:w="1872"/>
          </w:tcPr>
          <w:p>
            <w:pPr>
              <w:keepNext/>
              <w:spacing w:after="0" w:line="240" w:lineRule="auto"/>
              <w:jc w:val="center"/>
            </w:pPr>
            <w:r/>
            <w:r>
              <w:rPr>
                <w:sz w:val="18"/>
              </w:rPr>
              <w:t>−0.064*</w:t>
            </w:r>
            <w:r>
              <w:br/>
            </w:r>
            <w:r>
              <w:rPr>
                <w:sz w:val="18"/>
              </w:rPr>
              <w:t>(0.034)</w:t>
            </w:r>
          </w:p>
        </w:tc>
        <w:tc>
          <w:tcPr>
            <w:tcW w:type="dxa" w:w="1296"/>
          </w:tcPr>
          <w:p>
            <w:pPr>
              <w:keepNext/>
              <w:spacing w:after="0" w:line="240" w:lineRule="auto"/>
              <w:jc w:val="center"/>
            </w:pPr>
            <w:r/>
            <w:r>
              <w:rPr>
                <w:sz w:val="18"/>
              </w:rPr>
              <w:t>487</w:t>
            </w:r>
          </w:p>
        </w:tc>
      </w:tr>
      <w:tr>
        <w:trPr>
          <w:cantSplit/>
        </w:trPr>
        <w:tc>
          <w:tcPr>
            <w:tcW w:type="dxa" w:w="4320"/>
            <w:tcBorders>
              <w:bottom w:val="single" w:sz="6" w:color="000000"/>
            </w:tcBorders>
          </w:tcPr>
          <w:p>
            <w:pPr>
              <w:spacing w:after="0" w:line="240" w:lineRule="auto"/>
            </w:pPr>
            <w:r/>
            <w:r>
              <w:rPr>
                <w:sz w:val="18"/>
              </w:rPr>
              <w:t>Doubly robust, ≤ 90th percentile</w:t>
            </w:r>
          </w:p>
        </w:tc>
        <w:tc>
          <w:tcPr>
            <w:tcW w:type="dxa" w:w="1800"/>
            <w:tcBorders>
              <w:bottom w:val="single" w:sz="6" w:color="000000"/>
            </w:tcBorders>
          </w:tcPr>
          <w:p>
            <w:pPr>
              <w:spacing w:after="0" w:line="240" w:lineRule="auto"/>
              <w:jc w:val="center"/>
            </w:pPr>
            <w:r/>
            <w:r>
              <w:rPr>
                <w:sz w:val="18"/>
              </w:rPr>
              <w:t>0.005</w:t>
            </w:r>
            <w:r>
              <w:br/>
            </w:r>
            <w:r>
              <w:rPr>
                <w:sz w:val="18"/>
              </w:rPr>
              <w:t>(0.029)</w:t>
            </w:r>
          </w:p>
        </w:tc>
        <w:tc>
          <w:tcPr>
            <w:tcW w:type="dxa" w:w="1872"/>
            <w:tcBorders>
              <w:bottom w:val="single" w:sz="6" w:color="000000"/>
            </w:tcBorders>
          </w:tcPr>
          <w:p>
            <w:pPr>
              <w:spacing w:after="0" w:line="240" w:lineRule="auto"/>
              <w:jc w:val="center"/>
            </w:pPr>
            <w:r/>
            <w:r>
              <w:rPr>
                <w:sz w:val="18"/>
              </w:rPr>
              <w:t>−0.061</w:t>
            </w:r>
            <w:r>
              <w:br/>
            </w:r>
            <w:r>
              <w:rPr>
                <w:sz w:val="18"/>
              </w:rPr>
              <w:t>(0.038)</w:t>
            </w:r>
          </w:p>
        </w:tc>
        <w:tc>
          <w:tcPr>
            <w:tcW w:type="dxa" w:w="1296"/>
            <w:tcBorders>
              <w:bottom w:val="single" w:sz="6" w:color="000000"/>
            </w:tcBorders>
          </w:tcPr>
          <w:p>
            <w:pPr>
              <w:spacing w:after="0" w:line="240" w:lineRule="auto"/>
              <w:jc w:val="center"/>
            </w:pPr>
            <w:r/>
            <w:r>
              <w:rPr>
                <w:sz w:val="18"/>
              </w:rPr>
              <w:t>420</w:t>
            </w:r>
          </w:p>
        </w:tc>
      </w:tr>
    </w:tbl>
    <w:p>
      <w:pPr>
        <w:keepNext/>
        <w:spacing w:line="240" w:lineRule="auto" w:after="40" w:before="80"/>
        <w:jc w:val="both"/>
      </w:pPr>
      <w:r>
        <w:rPr>
          <w:sz w:val="18"/>
        </w:rPr>
        <w:t>Note: Outcome regression unless doubly robust, with firm-bootstrap standard errors; firm counts for ln(MTB). *, **, ***: 10%, 5%, 1%.</w:t>
      </w:r>
    </w:p>
    <w:p>
      <w:pPr>
        <w:spacing w:line="240" w:lineRule="auto" w:after="240" w:before="0"/>
      </w:pPr>
      <w:r>
        <w:rPr>
          <w:sz w:val="18"/>
        </w:rPr>
        <w:t>Source: Authors' calculations from LSEG ESG scores and Compustat Global.</w:t>
      </w:r>
    </w:p>
    <w:p>
      <w:pPr>
        <w:spacing w:line="360" w:lineRule="auto" w:after="120" w:before="0"/>
        <w:ind w:firstLine="720"/>
        <w:jc w:val="both"/>
      </w:pPr>
      <w:r>
        <w:rPr/>
        <w:t>Market capitalization is more sensitive. Its estimate is 0.016 without covariates, between −0.059 and −0.033 across the functional forms that adjust for size, and between −0.096 and −0.061 on the restricted supports, so the negative market capitalization change depends on how size is modeled. This is expected, because size enters both the selection into coverage and market capitalization itself. Table 6 describes the scored firms that the 95th percentile restriction keeps and drops. The 138 excluded firms are large (median total assets of 2,351.7 million U.S. dollars against 170.9 million) and more often Singaporean (29.0% against 1.2%), Indonesian (18.1% against 2.9%), or Thai (29.0% against 24.0%). Because the restriction uses the controls' percentile within each cell, it drops fewer firms than the pooled comparison in Section 4.2 suggests. The retained firms are mostly Malaysian (71.5%). The restricted estimate thus describes mid-sized scored firms, largely from the Malaysian expansion, and says little about the largest firms in each market.</w:t>
      </w:r>
    </w:p>
    <w:p>
      <w:pPr>
        <w:keepNext/>
        <w:spacing w:line="240" w:lineRule="auto" w:after="120" w:before="240"/>
        <w:jc w:val="center"/>
      </w:pPr>
      <w:r>
        <w:rPr>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sz w:val="18"/>
              </w:rPr>
              <w:t>Characteristic</w:t>
            </w:r>
          </w:p>
        </w:tc>
        <w:tc>
          <w:tcPr>
            <w:tcW w:type="dxa" w:w="1584"/>
            <w:tcBorders>
              <w:top w:val="single" w:sz="6" w:color="000000"/>
              <w:bottom w:val="single" w:sz="6" w:color="000000"/>
            </w:tcBorders>
          </w:tcPr>
          <w:p>
            <w:pPr>
              <w:keepNext/>
              <w:spacing w:after="0" w:line="240" w:lineRule="auto"/>
              <w:jc w:val="center"/>
            </w:pPr>
            <w:r/>
            <w:r>
              <w:rPr>
                <w:b/>
                <w:sz w:val="18"/>
              </w:rPr>
              <w:t>Retained</w:t>
            </w:r>
          </w:p>
        </w:tc>
        <w:tc>
          <w:tcPr>
            <w:tcW w:type="dxa" w:w="1584"/>
            <w:tcBorders>
              <w:top w:val="single" w:sz="6" w:color="000000"/>
              <w:bottom w:val="single" w:sz="6" w:color="000000"/>
            </w:tcBorders>
          </w:tcPr>
          <w:p>
            <w:pPr>
              <w:keepNext/>
              <w:spacing w:after="0" w:line="240" w:lineRule="auto"/>
              <w:jc w:val="center"/>
            </w:pPr>
            <w:r/>
            <w:r>
              <w:rPr>
                <w:b/>
                <w:sz w:val="18"/>
              </w:rPr>
              <w:t>Excluded</w:t>
            </w:r>
          </w:p>
        </w:tc>
        <w:tc>
          <w:tcPr>
            <w:tcW w:type="dxa" w:w="2016"/>
            <w:tcBorders>
              <w:top w:val="single" w:sz="6" w:color="000000"/>
              <w:bottom w:val="single" w:sz="6" w:color="000000"/>
            </w:tcBorders>
          </w:tcPr>
          <w:p>
            <w:pPr>
              <w:keepNext/>
              <w:spacing w:after="0" w:line="240" w:lineRule="auto"/>
              <w:jc w:val="center"/>
            </w:pPr>
            <w:r/>
            <w:r>
              <w:rPr>
                <w:b/>
                <w:sz w:val="18"/>
              </w:rPr>
              <w:t>Never-scored</w:t>
            </w:r>
            <w:r>
              <w:br/>
            </w:r>
            <w:r>
              <w:rPr>
                <w:b/>
                <w:sz w:val="18"/>
              </w:rPr>
              <w:t>(all years)</w:t>
            </w:r>
          </w:p>
        </w:tc>
      </w:tr>
      <w:tr>
        <w:trPr>
          <w:cantSplit/>
        </w:trPr>
        <w:tc>
          <w:tcPr>
            <w:tcW w:type="dxa" w:w="4032"/>
          </w:tcPr>
          <w:p>
            <w:pPr>
              <w:keepNext/>
              <w:spacing w:after="0" w:line="240" w:lineRule="auto"/>
            </w:pPr>
            <w:r/>
            <w:r>
              <w:rPr>
                <w:sz w:val="18"/>
              </w:rPr>
              <w:t>Firms</w:t>
            </w:r>
          </w:p>
        </w:tc>
        <w:tc>
          <w:tcPr>
            <w:tcW w:type="dxa" w:w="1584"/>
          </w:tcPr>
          <w:p>
            <w:pPr>
              <w:keepNext/>
              <w:spacing w:after="0" w:line="240" w:lineRule="auto"/>
              <w:jc w:val="center"/>
            </w:pPr>
            <w:r/>
            <w:r>
              <w:rPr>
                <w:sz w:val="18"/>
              </w:rPr>
              <w:t>487</w:t>
            </w:r>
          </w:p>
        </w:tc>
        <w:tc>
          <w:tcPr>
            <w:tcW w:type="dxa" w:w="1584"/>
          </w:tcPr>
          <w:p>
            <w:pPr>
              <w:keepNext/>
              <w:spacing w:after="0" w:line="240" w:lineRule="auto"/>
              <w:jc w:val="center"/>
            </w:pPr>
            <w:r/>
            <w:r>
              <w:rPr>
                <w:sz w:val="18"/>
              </w:rPr>
              <w:t>138</w:t>
            </w:r>
          </w:p>
        </w:tc>
        <w:tc>
          <w:tcPr>
            <w:tcW w:type="dxa" w:w="2016"/>
          </w:tcPr>
          <w:p>
            <w:pPr>
              <w:keepNext/>
              <w:spacing w:after="0" w:line="240" w:lineRule="auto"/>
              <w:jc w:val="center"/>
            </w:pPr>
            <w:r/>
            <w:r>
              <w:rPr>
                <w:sz w:val="18"/>
              </w:rPr>
              <w:t>2,613</w:t>
            </w:r>
          </w:p>
        </w:tc>
      </w:tr>
      <w:tr>
        <w:trPr>
          <w:cantSplit/>
        </w:trPr>
        <w:tc>
          <w:tcPr>
            <w:tcW w:type="dxa" w:w="4032"/>
          </w:tcPr>
          <w:p>
            <w:pPr>
              <w:keepNext/>
              <w:spacing w:after="0" w:line="240" w:lineRule="auto"/>
            </w:pPr>
            <w:r/>
            <w:r>
              <w:rPr>
                <w:sz w:val="18"/>
              </w:rPr>
              <w:t>Median total assets (USD million)</w:t>
            </w:r>
          </w:p>
        </w:tc>
        <w:tc>
          <w:tcPr>
            <w:tcW w:type="dxa" w:w="1584"/>
          </w:tcPr>
          <w:p>
            <w:pPr>
              <w:keepNext/>
              <w:spacing w:after="0" w:line="240" w:lineRule="auto"/>
              <w:jc w:val="center"/>
            </w:pPr>
            <w:r/>
            <w:r>
              <w:rPr>
                <w:sz w:val="18"/>
              </w:rPr>
              <w:t>170.9</w:t>
            </w:r>
          </w:p>
        </w:tc>
        <w:tc>
          <w:tcPr>
            <w:tcW w:type="dxa" w:w="1584"/>
          </w:tcPr>
          <w:p>
            <w:pPr>
              <w:keepNext/>
              <w:spacing w:after="0" w:line="240" w:lineRule="auto"/>
              <w:jc w:val="center"/>
            </w:pPr>
            <w:r/>
            <w:r>
              <w:rPr>
                <w:sz w:val="18"/>
              </w:rPr>
              <w:t>2,351.7</w:t>
            </w:r>
          </w:p>
        </w:tc>
        <w:tc>
          <w:tcPr>
            <w:tcW w:type="dxa" w:w="2016"/>
          </w:tcPr>
          <w:p>
            <w:pPr>
              <w:keepNext/>
              <w:spacing w:after="0" w:line="240" w:lineRule="auto"/>
              <w:jc w:val="center"/>
            </w:pPr>
            <w:r/>
            <w:r>
              <w:rPr>
                <w:sz w:val="18"/>
              </w:rPr>
              <w:t>68.7</w:t>
            </w:r>
          </w:p>
        </w:tc>
      </w:tr>
      <w:tr>
        <w:trPr>
          <w:cantSplit/>
        </w:trPr>
        <w:tc>
          <w:tcPr>
            <w:tcW w:type="dxa" w:w="4032"/>
          </w:tcPr>
          <w:p>
            <w:pPr>
              <w:keepNext/>
              <w:spacing w:after="0" w:line="240" w:lineRule="auto"/>
            </w:pPr>
            <w:r/>
            <w:r>
              <w:rPr>
                <w:sz w:val="18"/>
              </w:rPr>
              <w:t>Median market capitalization (USD million)</w:t>
            </w:r>
          </w:p>
        </w:tc>
        <w:tc>
          <w:tcPr>
            <w:tcW w:type="dxa" w:w="1584"/>
          </w:tcPr>
          <w:p>
            <w:pPr>
              <w:keepNext/>
              <w:spacing w:after="0" w:line="240" w:lineRule="auto"/>
              <w:jc w:val="center"/>
            </w:pPr>
            <w:r/>
            <w:r>
              <w:rPr>
                <w:sz w:val="18"/>
              </w:rPr>
              <w:t>129.5</w:t>
            </w:r>
          </w:p>
        </w:tc>
        <w:tc>
          <w:tcPr>
            <w:tcW w:type="dxa" w:w="1584"/>
          </w:tcPr>
          <w:p>
            <w:pPr>
              <w:keepNext/>
              <w:spacing w:after="0" w:line="240" w:lineRule="auto"/>
              <w:jc w:val="center"/>
            </w:pPr>
            <w:r/>
            <w:r>
              <w:rPr>
                <w:sz w:val="18"/>
              </w:rPr>
              <w:t>1,478.0</w:t>
            </w:r>
          </w:p>
        </w:tc>
        <w:tc>
          <w:tcPr>
            <w:tcW w:type="dxa" w:w="2016"/>
          </w:tcPr>
          <w:p>
            <w:pPr>
              <w:keepNext/>
              <w:spacing w:after="0" w:line="240" w:lineRule="auto"/>
              <w:jc w:val="center"/>
            </w:pPr>
            <w:r/>
            <w:r>
              <w:rPr>
                <w:sz w:val="18"/>
              </w:rPr>
              <w:t>42.2</w:t>
            </w:r>
          </w:p>
        </w:tc>
      </w:tr>
      <w:tr>
        <w:trPr>
          <w:cantSplit/>
        </w:trPr>
        <w:tc>
          <w:tcPr>
            <w:tcW w:type="dxa" w:w="4032"/>
          </w:tcPr>
          <w:p>
            <w:pPr>
              <w:keepNext/>
              <w:spacing w:after="0" w:line="240" w:lineRule="auto"/>
            </w:pPr>
            <w:r/>
            <w:r>
              <w:rPr>
                <w:sz w:val="18"/>
              </w:rPr>
              <w:t>Median market-to-book ratio</w:t>
            </w:r>
          </w:p>
        </w:tc>
        <w:tc>
          <w:tcPr>
            <w:tcW w:type="dxa" w:w="1584"/>
          </w:tcPr>
          <w:p>
            <w:pPr>
              <w:keepNext/>
              <w:spacing w:after="0" w:line="240" w:lineRule="auto"/>
              <w:jc w:val="center"/>
            </w:pPr>
            <w:r/>
            <w:r>
              <w:rPr>
                <w:sz w:val="18"/>
              </w:rPr>
              <w:t>1.34</w:t>
            </w:r>
          </w:p>
        </w:tc>
        <w:tc>
          <w:tcPr>
            <w:tcW w:type="dxa" w:w="1584"/>
          </w:tcPr>
          <w:p>
            <w:pPr>
              <w:keepNext/>
              <w:spacing w:after="0" w:line="240" w:lineRule="auto"/>
              <w:jc w:val="center"/>
            </w:pPr>
            <w:r/>
            <w:r>
              <w:rPr>
                <w:sz w:val="18"/>
              </w:rPr>
              <w:t>1.14</w:t>
            </w:r>
          </w:p>
        </w:tc>
        <w:tc>
          <w:tcPr>
            <w:tcW w:type="dxa" w:w="2016"/>
          </w:tcPr>
          <w:p>
            <w:pPr>
              <w:keepNext/>
              <w:spacing w:after="0" w:line="240" w:lineRule="auto"/>
              <w:jc w:val="center"/>
            </w:pPr>
            <w:r/>
            <w:r>
              <w:rPr>
                <w:sz w:val="18"/>
              </w:rPr>
              <w:t>0.95</w:t>
            </w:r>
          </w:p>
        </w:tc>
      </w:tr>
      <w:tr>
        <w:trPr>
          <w:cantSplit/>
        </w:trPr>
        <w:tc>
          <w:tcPr>
            <w:tcW w:type="dxa" w:w="4032"/>
          </w:tcPr>
          <w:p>
            <w:pPr>
              <w:keepNext/>
              <w:spacing w:after="0" w:line="240" w:lineRule="auto"/>
            </w:pPr>
            <w:r/>
            <w:r>
              <w:rPr>
                <w:sz w:val="18"/>
              </w:rPr>
              <w:t>Mean book leverage</w:t>
            </w:r>
          </w:p>
        </w:tc>
        <w:tc>
          <w:tcPr>
            <w:tcW w:type="dxa" w:w="1584"/>
          </w:tcPr>
          <w:p>
            <w:pPr>
              <w:keepNext/>
              <w:spacing w:after="0" w:line="240" w:lineRule="auto"/>
              <w:jc w:val="center"/>
            </w:pPr>
            <w:r/>
            <w:r>
              <w:rPr>
                <w:sz w:val="18"/>
              </w:rPr>
              <w:t>0.202</w:t>
            </w:r>
          </w:p>
        </w:tc>
        <w:tc>
          <w:tcPr>
            <w:tcW w:type="dxa" w:w="1584"/>
          </w:tcPr>
          <w:p>
            <w:pPr>
              <w:keepNext/>
              <w:spacing w:after="0" w:line="240" w:lineRule="auto"/>
              <w:jc w:val="center"/>
            </w:pPr>
            <w:r/>
            <w:r>
              <w:rPr>
                <w:sz w:val="18"/>
              </w:rPr>
              <w:t>0.330</w:t>
            </w:r>
          </w:p>
        </w:tc>
        <w:tc>
          <w:tcPr>
            <w:tcW w:type="dxa" w:w="2016"/>
          </w:tcPr>
          <w:p>
            <w:pPr>
              <w:keepNext/>
              <w:spacing w:after="0" w:line="240" w:lineRule="auto"/>
              <w:jc w:val="center"/>
            </w:pPr>
            <w:r/>
            <w:r>
              <w:rPr>
                <w:sz w:val="18"/>
              </w:rPr>
              <w:t>0.241</w:t>
            </w:r>
          </w:p>
        </w:tc>
      </w:tr>
      <w:tr>
        <w:trPr>
          <w:cantSplit/>
        </w:trPr>
        <w:tc>
          <w:tcPr>
            <w:tcW w:type="dxa" w:w="4032"/>
          </w:tcPr>
          <w:p>
            <w:pPr>
              <w:keepNext/>
              <w:spacing w:after="0" w:line="240" w:lineRule="auto"/>
            </w:pPr>
            <w:r/>
            <w:r>
              <w:rPr>
                <w:sz w:val="18"/>
              </w:rPr>
              <w:t>Mean initial ESG score</w:t>
            </w:r>
          </w:p>
        </w:tc>
        <w:tc>
          <w:tcPr>
            <w:tcW w:type="dxa" w:w="1584"/>
          </w:tcPr>
          <w:p>
            <w:pPr>
              <w:keepNext/>
              <w:spacing w:after="0" w:line="240" w:lineRule="auto"/>
              <w:jc w:val="center"/>
            </w:pPr>
            <w:r/>
            <w:r>
              <w:rPr>
                <w:sz w:val="18"/>
              </w:rPr>
              <w:t>33.4</w:t>
            </w:r>
          </w:p>
        </w:tc>
        <w:tc>
          <w:tcPr>
            <w:tcW w:type="dxa" w:w="1584"/>
          </w:tcPr>
          <w:p>
            <w:pPr>
              <w:keepNext/>
              <w:spacing w:after="0" w:line="240" w:lineRule="auto"/>
              <w:jc w:val="center"/>
            </w:pPr>
            <w:r/>
            <w:r>
              <w:rPr>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Malaysian</w:t>
            </w:r>
          </w:p>
        </w:tc>
        <w:tc>
          <w:tcPr>
            <w:tcW w:type="dxa" w:w="1584"/>
          </w:tcPr>
          <w:p>
            <w:pPr>
              <w:keepNext/>
              <w:spacing w:after="0" w:line="240" w:lineRule="auto"/>
              <w:jc w:val="center"/>
            </w:pPr>
            <w:r/>
            <w:r>
              <w:rPr>
                <w:sz w:val="18"/>
              </w:rPr>
              <w:t>0.71</w:t>
            </w:r>
          </w:p>
        </w:tc>
        <w:tc>
          <w:tcPr>
            <w:tcW w:type="dxa" w:w="1584"/>
          </w:tcPr>
          <w:p>
            <w:pPr>
              <w:keepNext/>
              <w:spacing w:after="0" w:line="240" w:lineRule="auto"/>
              <w:jc w:val="center"/>
            </w:pPr>
            <w:r/>
            <w:r>
              <w:rPr>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Thai</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Indonesian</w:t>
            </w:r>
          </w:p>
        </w:tc>
        <w:tc>
          <w:tcPr>
            <w:tcW w:type="dxa" w:w="1584"/>
          </w:tcPr>
          <w:p>
            <w:pPr>
              <w:keepNext/>
              <w:spacing w:after="0" w:line="240" w:lineRule="auto"/>
              <w:jc w:val="center"/>
            </w:pPr>
            <w:r/>
            <w:r>
              <w:rPr>
                <w:sz w:val="18"/>
              </w:rPr>
              <w:t>0.03</w:t>
            </w:r>
          </w:p>
        </w:tc>
        <w:tc>
          <w:tcPr>
            <w:tcW w:type="dxa" w:w="1584"/>
          </w:tcPr>
          <w:p>
            <w:pPr>
              <w:keepNext/>
              <w:spacing w:after="0" w:line="240" w:lineRule="auto"/>
              <w:jc w:val="center"/>
            </w:pPr>
            <w:r/>
            <w:r>
              <w:rPr>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Singaporean</w:t>
            </w:r>
          </w:p>
        </w:tc>
        <w:tc>
          <w:tcPr>
            <w:tcW w:type="dxa" w:w="1584"/>
          </w:tcPr>
          <w:p>
            <w:pPr>
              <w:keepNext/>
              <w:spacing w:after="0" w:line="240" w:lineRule="auto"/>
              <w:jc w:val="center"/>
            </w:pPr>
            <w:r/>
            <w:r>
              <w:rPr>
                <w:sz w:val="18"/>
              </w:rPr>
              <w:t>0.01</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sz w:val="18"/>
              </w:rPr>
              <w:t>Share Philippine</w:t>
            </w:r>
          </w:p>
        </w:tc>
        <w:tc>
          <w:tcPr>
            <w:tcW w:type="dxa" w:w="1584"/>
          </w:tcPr>
          <w:p>
            <w:pPr>
              <w:keepNext/>
              <w:spacing w:after="0" w:line="240" w:lineRule="auto"/>
              <w:jc w:val="center"/>
            </w:pPr>
            <w:r/>
            <w:r>
              <w:rPr>
                <w:sz w:val="18"/>
              </w:rPr>
              <w:t>0.00</w:t>
            </w:r>
          </w:p>
        </w:tc>
        <w:tc>
          <w:tcPr>
            <w:tcW w:type="dxa" w:w="1584"/>
          </w:tcPr>
          <w:p>
            <w:pPr>
              <w:keepNext/>
              <w:spacing w:after="0" w:line="240" w:lineRule="auto"/>
              <w:jc w:val="center"/>
            </w:pPr>
            <w:r/>
            <w:r>
              <w:rPr>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sz w:val="18"/>
              </w:rPr>
              <w:t>Share first recorded by 2020</w:t>
            </w:r>
          </w:p>
        </w:tc>
        <w:tc>
          <w:tcPr>
            <w:tcW w:type="dxa" w:w="1584"/>
            <w:tcBorders>
              <w:bottom w:val="single" w:sz="6" w:color="000000"/>
            </w:tcBorders>
          </w:tcPr>
          <w:p>
            <w:pPr>
              <w:spacing w:after="0" w:line="240" w:lineRule="auto"/>
              <w:jc w:val="center"/>
            </w:pPr>
            <w:r/>
            <w:r>
              <w:rPr>
                <w:sz w:val="18"/>
              </w:rPr>
              <w:t>0.12</w:t>
            </w:r>
          </w:p>
        </w:tc>
        <w:tc>
          <w:tcPr>
            <w:tcW w:type="dxa" w:w="1584"/>
            <w:tcBorders>
              <w:bottom w:val="single" w:sz="6" w:color="000000"/>
            </w:tcBorders>
          </w:tcPr>
          <w:p>
            <w:pPr>
              <w:spacing w:after="0" w:line="240" w:lineRule="auto"/>
              <w:jc w:val="center"/>
            </w:pPr>
            <w:r/>
            <w:r>
              <w:rPr>
                <w:sz w:val="18"/>
              </w:rPr>
              <w:t>0.59</w:t>
            </w:r>
          </w:p>
        </w:tc>
        <w:tc>
          <w:tcPr>
            <w:tcW w:type="dxa" w:w="2016"/>
            <w:tcBorders>
              <w:bottom w:val="single" w:sz="6" w:color="000000"/>
            </w:tcBorders>
          </w:tcPr>
          <w:p>
            <w:pPr>
              <w:spacing w:after="0" w:line="240" w:lineRule="auto"/>
              <w:jc w:val="center"/>
            </w:pPr>
            <w:r/>
          </w:p>
        </w:tc>
      </w:tr>
    </w:tbl>
    <w:p>
      <w:pPr>
        <w:keepNext/>
        <w:spacing w:line="240" w:lineRule="auto" w:after="40" w:before="80"/>
        <w:jc w:val="both"/>
      </w:pPr>
      <w:r>
        <w:rPr>
          <w:sz w:val="18"/>
        </w:rPr>
        <w:t>Note: Scored firms in the ln(MTB) estimate, measured in base year g − 1; never-scored firms over all firm-years.</w:t>
      </w:r>
    </w:p>
    <w:p>
      <w:pPr>
        <w:spacing w:line="240" w:lineRule="auto" w:after="240" w:before="0"/>
      </w:pPr>
      <w:r>
        <w:rPr>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5.7 </w:t>
      </w:r>
      <w:r>
        <w:rPr>
          <w:rFonts w:ascii="Times New Roman" w:hAnsi="Times New Roman" w:eastAsia="Times New Roman"/>
          <w:b/>
          <w:i w:val="0"/>
          <w:color w:val="000000"/>
          <w:sz w:val="24"/>
        </w:rPr>
        <w:t>Missing valuation data and recording errors</w:t>
      </w:r>
    </w:p>
    <w:p>
      <w:pPr>
        <w:spacing w:line="360" w:lineRule="auto" w:after="120" w:before="0"/>
        <w:ind w:firstLine="720"/>
        <w:jc w:val="both"/>
      </w:pPr>
      <w:r>
        <w:rPr/>
        <w:t>Missing MTB ratios are not random. Table S8 of the supplementary material compares firm-years with and without an MTB ratio. Firm-years without one are more often highly levered (book leverage above 0.5 in 25.4% of never-scored firm-years without an MTB ratio, against 8.4% with one) and more often Indonesian (38.9% against 24.1%), consistent with financial distress and with gaps in market data. Only 21.5% of never-scored and 24.8% of scored firm-years without an MTB ratio have a market capitalization, so most gaps are missing market data, not negative book equity alone. 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t>Table 7 checks whether these gaps and the recording errors of Section 3.4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or using the lower threshold of twice total assets, or winsorizing within each market and year instead of the pooled sample gives MTB estimates between −0.019 and 0.005. None of these checks produces an MTB gain.</w:t>
      </w:r>
    </w:p>
    <w:p>
      <w:pPr>
        <w:keepNext/>
        <w:spacing w:line="240" w:lineRule="auto" w:after="120" w:before="240"/>
        <w:jc w:val="center"/>
      </w:pPr>
      <w:r>
        <w:rPr>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608"/>
        <w:gridCol w:w="1728"/>
        <w:gridCol w:w="1800"/>
        <w:gridCol w:w="1152"/>
      </w:tblGrid>
      <w:tr>
        <w:trPr>
          <w:cantSplit/>
          <w:tblHeader/>
        </w:trPr>
        <w:tc>
          <w:tcPr>
            <w:tcW w:type="dxa" w:w="4608"/>
            <w:tcBorders>
              <w:top w:val="single" w:sz="6" w:color="000000"/>
              <w:bottom w:val="single" w:sz="6" w:color="000000"/>
            </w:tcBorders>
          </w:tcPr>
          <w:p>
            <w:pPr>
              <w:keepNext/>
              <w:spacing w:after="0" w:line="240" w:lineRule="auto"/>
            </w:pPr>
            <w:r/>
            <w:r>
              <w:rPr>
                <w:b/>
                <w:sz w:val="18"/>
              </w:rPr>
              <w:t>Specification</w:t>
            </w:r>
          </w:p>
        </w:tc>
        <w:tc>
          <w:tcPr>
            <w:tcW w:type="dxa" w:w="1728"/>
            <w:tcBorders>
              <w:top w:val="single" w:sz="6" w:color="000000"/>
              <w:bottom w:val="single" w:sz="6" w:color="000000"/>
            </w:tcBorders>
          </w:tcPr>
          <w:p>
            <w:pPr>
              <w:keepNext/>
              <w:spacing w:after="0" w:line="240" w:lineRule="auto"/>
              <w:jc w:val="center"/>
            </w:pPr>
            <w:r/>
            <w:r>
              <w:rPr>
                <w:b/>
                <w:sz w:val="18"/>
              </w:rPr>
              <w:t>ln(MTB)</w:t>
            </w:r>
          </w:p>
        </w:tc>
        <w:tc>
          <w:tcPr>
            <w:tcW w:type="dxa" w:w="1800"/>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r>
      <w:tr>
        <w:trPr>
          <w:cantSplit/>
        </w:trPr>
        <w:tc>
          <w:tcPr>
            <w:tcW w:type="dxa" w:w="4608"/>
          </w:tcPr>
          <w:p>
            <w:pPr>
              <w:keepNext/>
              <w:spacing w:after="0" w:line="240" w:lineRule="auto"/>
            </w:pPr>
            <w:r/>
            <w:r>
              <w:rPr>
                <w:sz w:val="18"/>
              </w:rPr>
              <w:t>Baseline</w:t>
            </w:r>
          </w:p>
        </w:tc>
        <w:tc>
          <w:tcPr>
            <w:tcW w:type="dxa" w:w="1728"/>
          </w:tcPr>
          <w:p>
            <w:pPr>
              <w:keepNext/>
              <w:spacing w:after="0" w:line="240" w:lineRule="auto"/>
              <w:jc w:val="center"/>
            </w:pPr>
            <w:r/>
            <w:r>
              <w:rPr>
                <w:sz w:val="18"/>
              </w:rPr>
              <w:t>0.002</w:t>
            </w:r>
            <w:r>
              <w:br/>
            </w:r>
            <w:r>
              <w:rPr>
                <w:sz w:val="18"/>
              </w:rPr>
              <w:t>(0.024)</w:t>
            </w:r>
          </w:p>
        </w:tc>
        <w:tc>
          <w:tcPr>
            <w:tcW w:type="dxa" w:w="1800"/>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r>
      <w:tr>
        <w:trPr>
          <w:cantSplit/>
        </w:trPr>
        <w:tc>
          <w:tcPr>
            <w:tcW w:type="dxa" w:w="4608"/>
          </w:tcPr>
          <w:p>
            <w:pPr>
              <w:keepNext/>
              <w:spacing w:after="0" w:line="240" w:lineRule="auto"/>
            </w:pPr>
            <w:r/>
            <w:r>
              <w:rPr>
                <w:sz w:val="18"/>
              </w:rPr>
              <w:t>Market capitalization on firm-years with an MTB ratio</w:t>
            </w:r>
          </w:p>
        </w:tc>
        <w:tc>
          <w:tcPr>
            <w:tcW w:type="dxa" w:w="1728"/>
          </w:tcPr>
          <w:p>
            <w:pPr>
              <w:keepNext/>
              <w:spacing w:after="0" w:line="240" w:lineRule="auto"/>
              <w:jc w:val="center"/>
            </w:pPr>
            <w:r/>
          </w:p>
        </w:tc>
        <w:tc>
          <w:tcPr>
            <w:tcW w:type="dxa" w:w="1800"/>
          </w:tcPr>
          <w:p>
            <w:pPr>
              <w:keepNext/>
              <w:spacing w:after="0" w:line="240" w:lineRule="auto"/>
              <w:jc w:val="center"/>
            </w:pPr>
            <w:r/>
            <w:r>
              <w:rPr>
                <w:sz w:val="18"/>
              </w:rPr>
              <w:t>−0.023</w:t>
            </w:r>
            <w:r>
              <w:br/>
            </w:r>
            <w:r>
              <w:rPr>
                <w:sz w:val="18"/>
              </w:rPr>
              <w:t>(0.029)</w:t>
            </w:r>
          </w:p>
        </w:tc>
        <w:tc>
          <w:tcPr>
            <w:tcW w:type="dxa" w:w="1152"/>
          </w:tcPr>
          <w:p>
            <w:pPr>
              <w:keepNext/>
              <w:spacing w:after="0" w:line="240" w:lineRule="auto"/>
              <w:jc w:val="center"/>
            </w:pPr>
            <w:r/>
            <w:r>
              <w:rPr>
                <w:sz w:val="18"/>
              </w:rPr>
              <w:t>624</w:t>
            </w:r>
          </w:p>
        </w:tc>
      </w:tr>
      <w:tr>
        <w:trPr>
          <w:cantSplit/>
        </w:trPr>
        <w:tc>
          <w:tcPr>
            <w:tcW w:type="dxa" w:w="4608"/>
          </w:tcPr>
          <w:p>
            <w:pPr>
              <w:keepNext/>
              <w:spacing w:after="0" w:line="240" w:lineRule="auto"/>
            </w:pPr>
            <w:r/>
            <w:r>
              <w:rPr>
                <w:sz w:val="18"/>
              </w:rPr>
              <w:t>Complete MTB series, scored and control firms</w:t>
            </w:r>
          </w:p>
        </w:tc>
        <w:tc>
          <w:tcPr>
            <w:tcW w:type="dxa" w:w="1728"/>
          </w:tcPr>
          <w:p>
            <w:pPr>
              <w:keepNext/>
              <w:spacing w:after="0" w:line="240" w:lineRule="auto"/>
              <w:jc w:val="center"/>
            </w:pPr>
            <w:r/>
            <w:r>
              <w:rPr>
                <w:sz w:val="18"/>
              </w:rPr>
              <w:t>0.008</w:t>
            </w:r>
            <w:r>
              <w:br/>
            </w:r>
            <w:r>
              <w:rPr>
                <w:sz w:val="18"/>
              </w:rPr>
              <w:t>(0.025)</w:t>
            </w:r>
          </w:p>
        </w:tc>
        <w:tc>
          <w:tcPr>
            <w:tcW w:type="dxa" w:w="1800"/>
          </w:tcPr>
          <w:p>
            <w:pPr>
              <w:keepNext/>
              <w:spacing w:after="0" w:line="240" w:lineRule="auto"/>
              <w:jc w:val="center"/>
            </w:pPr>
            <w:r/>
          </w:p>
        </w:tc>
        <w:tc>
          <w:tcPr>
            <w:tcW w:type="dxa" w:w="1152"/>
          </w:tcPr>
          <w:p>
            <w:pPr>
              <w:keepNext/>
              <w:spacing w:after="0" w:line="240" w:lineRule="auto"/>
              <w:jc w:val="center"/>
            </w:pPr>
            <w:r/>
            <w:r>
              <w:rPr>
                <w:sz w:val="18"/>
              </w:rPr>
              <w:t>598</w:t>
            </w:r>
          </w:p>
        </w:tc>
      </w:tr>
      <w:tr>
        <w:trPr>
          <w:cantSplit/>
        </w:trPr>
        <w:tc>
          <w:tcPr>
            <w:tcW w:type="dxa" w:w="4608"/>
          </w:tcPr>
          <w:p>
            <w:pPr>
              <w:keepNext/>
              <w:spacing w:after="0" w:line="240" w:lineRule="auto"/>
            </w:pPr>
            <w:r/>
            <w:r>
              <w:rPr>
                <w:sz w:val="18"/>
              </w:rPr>
              <w:t>Complete MTB series, scored firms only</w:t>
            </w:r>
          </w:p>
        </w:tc>
        <w:tc>
          <w:tcPr>
            <w:tcW w:type="dxa" w:w="1728"/>
          </w:tcPr>
          <w:p>
            <w:pPr>
              <w:keepNext/>
              <w:spacing w:after="0" w:line="240" w:lineRule="auto"/>
              <w:jc w:val="center"/>
            </w:pPr>
            <w:r/>
            <w:r>
              <w:rPr>
                <w:sz w:val="18"/>
              </w:rPr>
              <w:t>0.006</w:t>
            </w:r>
            <w:r>
              <w:br/>
            </w:r>
            <w:r>
              <w:rPr>
                <w:sz w:val="18"/>
              </w:rPr>
              <w:t>(0.024)</w:t>
            </w:r>
          </w:p>
        </w:tc>
        <w:tc>
          <w:tcPr>
            <w:tcW w:type="dxa" w:w="1800"/>
          </w:tcPr>
          <w:p>
            <w:pPr>
              <w:keepNext/>
              <w:spacing w:after="0" w:line="240" w:lineRule="auto"/>
              <w:jc w:val="center"/>
            </w:pPr>
            <w:r/>
          </w:p>
        </w:tc>
        <w:tc>
          <w:tcPr>
            <w:tcW w:type="dxa" w:w="1152"/>
          </w:tcPr>
          <w:p>
            <w:pPr>
              <w:keepNext/>
              <w:spacing w:after="0" w:line="240" w:lineRule="auto"/>
              <w:jc w:val="center"/>
            </w:pPr>
            <w:r/>
            <w:r>
              <w:rPr>
                <w:sz w:val="18"/>
              </w:rPr>
              <w:t>598</w:t>
            </w:r>
          </w:p>
        </w:tc>
      </w:tr>
      <w:tr>
        <w:trPr>
          <w:cantSplit/>
        </w:trPr>
        <w:tc>
          <w:tcPr>
            <w:tcW w:type="dxa" w:w="4608"/>
          </w:tcPr>
          <w:p>
            <w:pPr>
              <w:keepNext/>
              <w:spacing w:after="0" w:line="240" w:lineRule="auto"/>
            </w:pPr>
            <w:r/>
            <w:r>
              <w:rPr>
                <w:sz w:val="18"/>
              </w:rPr>
              <w:t>Flagged firm-years removed</w:t>
            </w:r>
          </w:p>
        </w:tc>
        <w:tc>
          <w:tcPr>
            <w:tcW w:type="dxa" w:w="1728"/>
          </w:tcPr>
          <w:p>
            <w:pPr>
              <w:keepNext/>
              <w:spacing w:after="0" w:line="240" w:lineRule="auto"/>
              <w:jc w:val="center"/>
            </w:pPr>
            <w:r/>
            <w:r>
              <w:rPr>
                <w:sz w:val="18"/>
              </w:rPr>
              <w:t>−0.007</w:t>
            </w:r>
            <w:r>
              <w:br/>
            </w:r>
            <w:r>
              <w:rPr>
                <w:sz w:val="18"/>
              </w:rPr>
              <w:t>(0.024)</w:t>
            </w:r>
          </w:p>
        </w:tc>
        <w:tc>
          <w:tcPr>
            <w:tcW w:type="dxa" w:w="1800"/>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615</w:t>
            </w:r>
          </w:p>
        </w:tc>
      </w:tr>
      <w:tr>
        <w:trPr>
          <w:cantSplit/>
        </w:trPr>
        <w:tc>
          <w:tcPr>
            <w:tcW w:type="dxa" w:w="4608"/>
          </w:tcPr>
          <w:p>
            <w:pPr>
              <w:keepNext/>
              <w:spacing w:after="0" w:line="240" w:lineRule="auto"/>
            </w:pPr>
            <w:r/>
            <w:r>
              <w:rPr>
                <w:sz w:val="18"/>
              </w:rPr>
              <w:t>Firms with any flagged year removed</w:t>
            </w:r>
          </w:p>
        </w:tc>
        <w:tc>
          <w:tcPr>
            <w:tcW w:type="dxa" w:w="1728"/>
          </w:tcPr>
          <w:p>
            <w:pPr>
              <w:keepNext/>
              <w:spacing w:after="0" w:line="240" w:lineRule="auto"/>
              <w:jc w:val="center"/>
            </w:pPr>
            <w:r/>
            <w:r>
              <w:rPr>
                <w:sz w:val="18"/>
              </w:rPr>
              <w:t>−0.008</w:t>
            </w:r>
            <w:r>
              <w:br/>
            </w:r>
            <w:r>
              <w:rPr>
                <w:sz w:val="18"/>
              </w:rPr>
              <w:t>(0.024)</w:t>
            </w:r>
          </w:p>
        </w:tc>
        <w:tc>
          <w:tcPr>
            <w:tcW w:type="dxa" w:w="1800"/>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613</w:t>
            </w:r>
          </w:p>
        </w:tc>
      </w:tr>
      <w:tr>
        <w:trPr>
          <w:cantSplit/>
        </w:trPr>
        <w:tc>
          <w:tcPr>
            <w:tcW w:type="dxa" w:w="4608"/>
          </w:tcPr>
          <w:p>
            <w:pPr>
              <w:keepNext/>
              <w:spacing w:after="0" w:line="240" w:lineRule="auto"/>
            </w:pPr>
            <w:r/>
            <w:r>
              <w:rPr>
                <w:sz w:val="18"/>
              </w:rPr>
              <w:t>Firm-years with implied book equity above twice total assets removed</w:t>
            </w:r>
          </w:p>
        </w:tc>
        <w:tc>
          <w:tcPr>
            <w:tcW w:type="dxa" w:w="1728"/>
          </w:tcPr>
          <w:p>
            <w:pPr>
              <w:keepNext/>
              <w:spacing w:after="0" w:line="240" w:lineRule="auto"/>
              <w:jc w:val="center"/>
            </w:pPr>
            <w:r/>
            <w:r>
              <w:rPr>
                <w:sz w:val="18"/>
              </w:rPr>
              <w:t>−0.019</w:t>
            </w:r>
            <w:r>
              <w:br/>
            </w:r>
            <w:r>
              <w:rPr>
                <w:sz w:val="18"/>
              </w:rPr>
              <w:t>(0.023)</w:t>
            </w:r>
          </w:p>
        </w:tc>
        <w:tc>
          <w:tcPr>
            <w:tcW w:type="dxa" w:w="1800"/>
          </w:tcPr>
          <w:p>
            <w:pPr>
              <w:keepNext/>
              <w:spacing w:after="0" w:line="240" w:lineRule="auto"/>
              <w:jc w:val="center"/>
            </w:pPr>
            <w:r/>
            <w:r>
              <w:rPr>
                <w:sz w:val="18"/>
              </w:rPr>
              <w:t>−0.039</w:t>
            </w:r>
            <w:r>
              <w:br/>
            </w:r>
            <w:r>
              <w:rPr>
                <w:sz w:val="18"/>
              </w:rPr>
              <w:t>(0.028)</w:t>
            </w:r>
          </w:p>
        </w:tc>
        <w:tc>
          <w:tcPr>
            <w:tcW w:type="dxa" w:w="1152"/>
          </w:tcPr>
          <w:p>
            <w:pPr>
              <w:keepNext/>
              <w:spacing w:after="0" w:line="240" w:lineRule="auto"/>
              <w:jc w:val="center"/>
            </w:pPr>
            <w:r/>
            <w:r>
              <w:rPr>
                <w:sz w:val="18"/>
              </w:rPr>
              <w:t>597</w:t>
            </w:r>
          </w:p>
        </w:tc>
      </w:tr>
      <w:tr>
        <w:trPr>
          <w:cantSplit/>
        </w:trPr>
        <w:tc>
          <w:tcPr>
            <w:tcW w:type="dxa" w:w="4608"/>
            <w:tcBorders>
              <w:bottom w:val="single" w:sz="6" w:color="000000"/>
            </w:tcBorders>
          </w:tcPr>
          <w:p>
            <w:pPr>
              <w:spacing w:after="0" w:line="240" w:lineRule="auto"/>
            </w:pPr>
            <w:r/>
            <w:r>
              <w:rPr>
                <w:sz w:val="18"/>
              </w:rPr>
              <w:t>Winsorized within market and year</w:t>
            </w:r>
          </w:p>
        </w:tc>
        <w:tc>
          <w:tcPr>
            <w:tcW w:type="dxa" w:w="1728"/>
            <w:tcBorders>
              <w:bottom w:val="single" w:sz="6" w:color="000000"/>
            </w:tcBorders>
          </w:tcPr>
          <w:p>
            <w:pPr>
              <w:spacing w:after="0" w:line="240" w:lineRule="auto"/>
              <w:jc w:val="center"/>
            </w:pPr>
            <w:r/>
            <w:r>
              <w:rPr>
                <w:sz w:val="18"/>
              </w:rPr>
              <w:t>0.005</w:t>
            </w:r>
            <w:r>
              <w:br/>
            </w:r>
            <w:r>
              <w:rPr>
                <w:sz w:val="18"/>
              </w:rPr>
              <w:t>(0.024)</w:t>
            </w:r>
          </w:p>
        </w:tc>
        <w:tc>
          <w:tcPr>
            <w:tcW w:type="dxa" w:w="1800"/>
            <w:tcBorders>
              <w:bottom w:val="single" w:sz="6" w:color="000000"/>
            </w:tcBorders>
          </w:tcPr>
          <w:p>
            <w:pPr>
              <w:spacing w:after="0" w:line="240" w:lineRule="auto"/>
              <w:jc w:val="center"/>
            </w:pPr>
            <w:r/>
            <w:r>
              <w:rPr>
                <w:sz w:val="18"/>
              </w:rPr>
              <w:t>−0.064**</w:t>
            </w:r>
            <w:r>
              <w:br/>
            </w:r>
            <w:r>
              <w:rPr>
                <w:sz w:val="18"/>
              </w:rPr>
              <w:t>(0.031)</w:t>
            </w:r>
          </w:p>
        </w:tc>
        <w:tc>
          <w:tcPr>
            <w:tcW w:type="dxa" w:w="1152"/>
            <w:tcBorders>
              <w:bottom w:val="single" w:sz="6" w:color="000000"/>
            </w:tcBorders>
          </w:tcPr>
          <w:p>
            <w:pPr>
              <w:spacing w:after="0" w:line="240" w:lineRule="auto"/>
              <w:jc w:val="center"/>
            </w:pPr>
            <w:r/>
            <w:r>
              <w:rPr>
                <w:sz w:val="18"/>
              </w:rPr>
              <w:t>625</w:t>
            </w:r>
          </w:p>
        </w:tc>
      </w:tr>
    </w:tbl>
    <w:p>
      <w:pPr>
        <w:keepNext/>
        <w:spacing w:line="240" w:lineRule="auto" w:after="40" w:before="80"/>
        <w:jc w:val="both"/>
      </w:pPr>
      <w:r>
        <w:rPr>
          <w:sz w:val="18"/>
        </w:rPr>
        <w:t>Note: Outcome regression with firm-bootstrap standard errors; flags mark implied book equity above ten times total assets. *, **, ***: 10%, 5%, 1%.</w:t>
      </w:r>
    </w:p>
    <w:p>
      <w:pPr>
        <w:spacing w:line="240" w:lineRule="auto" w:after="240" w:before="0"/>
      </w:pPr>
      <w:r>
        <w:rPr>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00"/>
          <w:sz w:val="24"/>
        </w:rPr>
        <w:t xml:space="preserve">5.8 </w:t>
      </w:r>
      <w:r>
        <w:rPr>
          <w:rFonts w:ascii="Times New Roman" w:hAnsi="Times New Roman" w:eastAsia="Times New Roman"/>
          <w:b/>
          <w:i w:val="0"/>
          <w:color w:val="000000"/>
          <w:sz w:val="24"/>
        </w:rPr>
        <w:t>Other robustness checks</w:t>
      </w:r>
    </w:p>
    <w:p>
      <w:pPr>
        <w:spacing w:line="360" w:lineRule="auto" w:after="120" w:before="0"/>
        <w:ind w:firstLine="720"/>
        <w:jc w:val="both"/>
      </w:pPr>
      <w:r>
        <w:rPr/>
        <w:t>None of the pre-specified rows R1 to R4 shows an MTB effect that differs from zero at the 10% level (estimates from −0.001 to 0.031; Appendix A.11 of the supplementary material). The market capitalization and total assets results are less stable, so we do not read the total assets estimate in Table 2 as evidence that coverage causes growth. Excluding one market at a time (row R9 and Table S9) gives MTB effects from −0.007 to 0.017.</w:t>
      </w:r>
    </w:p>
    <w:p>
      <w:pPr>
        <w:spacing w:line="360" w:lineRule="auto" w:after="120" w:before="0"/>
        <w:ind w:firstLine="720"/>
        <w:jc w:val="both"/>
      </w:pPr>
      <w:r>
        <w:rPr/>
        <w:t xml:space="preserve">The placebo in row R5, which dates coverage three years before the first </w:t>
      </w:r>
      <w:r>
        <w:rPr/>
        <w:t>recorded</w:t>
      </w:r>
      <w:r>
        <w:rPr/>
        <w:t xml:space="preserve"> score within pre-score years, yields 0.059 on log MTB (p = 0.010). This failure restates the pre-coverage growth in Figure 1 </w:t>
      </w:r>
      <w:r>
        <w:rPr/>
        <w:t>and shows how hard it is to construct a counterfactual path for firms that were growing toward the provider's universe</w:t>
      </w:r>
      <w:r>
        <w:rPr/>
        <w:t xml:space="preserve">. The static TWFE regression in Eq. (11) in row R6 attributes an increase of 0.064 in log MTB (p = 0.014) to coverage. </w:t>
      </w:r>
      <w:r>
        <w:rPr/>
        <w:t>Table S5 shows that comparing each cohort with its own base year accounts for about half of the gap to the headline estimate and conditioning on base-year size for most of the rest.</w:t>
      </w:r>
    </w:p>
    <w:p>
      <w:pPr>
        <w:pStyle w:val="Heading2"/>
        <w:keepNext/>
        <w:spacing w:line="360" w:lineRule="auto" w:after="120" w:before="160"/>
      </w:pPr>
      <w:r>
        <w:rPr>
          <w:rFonts w:ascii="Times New Roman" w:hAnsi="Times New Roman" w:eastAsia="Times New Roman"/>
          <w:b/>
          <w:i w:val="0"/>
          <w:color w:val="000000"/>
          <w:sz w:val="24"/>
        </w:rPr>
        <w:t>5.9 Does the initial score matter?</w:t>
      </w:r>
    </w:p>
    <w:p>
      <w:pPr>
        <w:spacing w:line="360" w:lineRule="auto" w:after="120" w:before="0"/>
        <w:ind w:firstLine="720"/>
        <w:jc w:val="both"/>
      </w:pPr>
      <w:r>
        <w:rPr/>
        <w:t xml:space="preserve">The last three rows of Table 3 divide scored firms at the cohort median of their first recorded ESG score. The difference between high- and low-score entrants is −0.041 (standard error 0.040, p = 0.307). Because the score rises with firm size (correlation 0.35 with base-year log total assets), Table S4 repeats the split after purging the score of size, country, and cohort; the difference is then −0.027 (p = 0.491). </w:t>
      </w:r>
      <w:r>
        <w:rPr/>
        <w:t>Neither split shows the sign pattern that the preference channel predicts, but the test is weak: with minimum detectable differences of 0.113 and 0.111, about 12% in the MTB ratio, neither can detect a moderate difference, and the residual split removes only part of the link between the score and firm characteristics. The insignificant difference therefore does not show that ESG preferences are unimportant; our sample cannot detect them if they are moderate.</w:t>
      </w:r>
    </w:p>
    <w:p>
      <w:pPr>
        <w:pStyle w:val="Heading2"/>
        <w:keepNext/>
        <w:spacing w:line="360" w:lineRule="auto" w:after="120" w:before="160"/>
      </w:pPr>
      <w:r>
        <w:rPr>
          <w:rFonts w:ascii="Times New Roman" w:hAnsi="Times New Roman" w:eastAsia="Times New Roman"/>
          <w:b/>
          <w:i w:val="0"/>
          <w:color w:val="000000"/>
          <w:sz w:val="24"/>
        </w:rPr>
        <w:t>5.10 What the pooled estimate represents, and its magnitude</w:t>
      </w:r>
    </w:p>
    <w:p>
      <w:pPr>
        <w:spacing w:line="360" w:lineRule="auto" w:after="120" w:before="0"/>
        <w:ind w:firstLine="720"/>
        <w:jc w:val="both"/>
      </w:pPr>
      <w:r>
        <w:rPr/>
        <w:t>The pooled estimate is a weighted average over cohorts and event years, with weights equal to the number of scored firms in each cell (Eq. 6). Table S10 of the supplementary material shows that Malaysian firms carry 55.2% of the weight in the headline MTB estimate and Thai firms 26.7%, so the two markets account for 81.9%; Indonesia, the Philippines, and Singapore together carry the rest. The Malaysian wave of 2021 and 2022 alone carries 44.1%, and firm-years from 2021 to 2024 carry 87.2%. The pooled estimate therefore describes mainly the Malaysian expansion and the Thai cohorts in the years after the COVID-19 pandemic. It is not an average effect for the five markets, and the country estimates in Table S11 for Indonesia, the Philippines, and Singapore rest on too few scored firms to support conclusions for those markets.</w:t>
      </w:r>
    </w:p>
    <w:p>
      <w:pPr>
        <w:spacing w:line="360" w:lineRule="auto" w:after="120" w:before="0"/>
        <w:ind w:firstLine="720"/>
        <w:jc w:val="both"/>
      </w:pPr>
      <w:r>
        <w:rPr/>
        <w:t xml:space="preserve">Under assumption (2), the largest increase compatible with the headline interval is of the same order as the announcement return of 4.86% that Demiroglu and Ryngaert (2010) report for the first analyst coverage of neglected stocks. </w:t>
      </w:r>
      <w:r>
        <w:rPr/>
        <w:t>Because annual ratios miss short-lived price pressure, our estimates concern lasting revaluation (Chen et al., 2004; Merton, 1987), and a lasting effect half as large as the MTB run-up would lie at the upper end of the interval.</w:t>
      </w:r>
    </w:p>
    <w:p>
      <w:pPr>
        <w:pStyle w:val="Heading1"/>
        <w:keepNext/>
        <w:spacing w:line="360" w:lineRule="auto" w:after="120" w:before="360"/>
      </w:pPr>
      <w:r>
        <w:rPr>
          <w:rFonts w:ascii="Times New Roman" w:hAnsi="Times New Roman" w:eastAsia="Times New Roman"/>
          <w:b/>
          <w:i w:val="0"/>
          <w:color w:val="000000"/>
          <w:sz w:val="26"/>
        </w:rPr>
        <w:t>6. Discussion</w:t>
      </w:r>
    </w:p>
    <w:p>
      <w:pPr>
        <w:pStyle w:val="Heading2"/>
        <w:keepNext/>
        <w:spacing w:line="360" w:lineRule="auto" w:after="120" w:before="160"/>
      </w:pPr>
      <w:r>
        <w:rPr>
          <w:rFonts w:ascii="Times New Roman" w:hAnsi="Times New Roman" w:eastAsia="Times New Roman"/>
          <w:b/>
          <w:i w:val="0"/>
          <w:color w:val="000000"/>
          <w:sz w:val="24"/>
        </w:rPr>
        <w:t>6.1 What the ordering of events shows</w:t>
      </w:r>
    </w:p>
    <w:p>
      <w:pPr>
        <w:spacing w:line="360" w:lineRule="auto" w:after="120" w:before="0"/>
        <w:ind w:firstLine="720"/>
        <w:jc w:val="both"/>
      </w:pPr>
      <w:r>
        <w:rPr/>
        <w:t xml:space="preserve">The clearest result is an ordering of events: firms entered the scored universe after their MTB ratio and market capitalization had grown faster than those of never-scored firms, and their MTB ratio stopped gaining afterward. </w:t>
      </w:r>
      <w:r>
        <w:rPr/>
        <w:t>The provider may have added firms once they were large and visible enough to matter to its clients (Section 2.3), or firms may have become scoreable by publishing a first sustainability report, joining an index, or issuing equity, which can coincide with rising value; the fall in leverage toward the base year fits equity issuance. Either way, entry marks the end of a period of relative growth, not a random draw. This finding does not rest on assumption (2) or on the dating of publication, because the growth happened before the first recorded score.</w:t>
      </w:r>
    </w:p>
    <w:p>
      <w:pPr>
        <w:pStyle w:val="Heading2"/>
        <w:keepNext/>
        <w:spacing w:line="360" w:lineRule="auto" w:after="120" w:before="160"/>
      </w:pPr>
      <w:r>
        <w:rPr>
          <w:rFonts w:ascii="Times New Roman" w:hAnsi="Times New Roman" w:eastAsia="Times New Roman"/>
          <w:b/>
          <w:i w:val="0"/>
          <w:color w:val="000000"/>
          <w:sz w:val="24"/>
        </w:rPr>
        <w:t xml:space="preserve">6.2 </w:t>
      </w:r>
      <w:r>
        <w:rPr>
          <w:rFonts w:ascii="Times New Roman" w:hAnsi="Times New Roman" w:eastAsia="Times New Roman"/>
          <w:b/>
          <w:i w:val="0"/>
          <w:color w:val="000000"/>
          <w:sz w:val="24"/>
        </w:rPr>
        <w:t>What the evidence says about a valuation effect of coverage</w:t>
      </w:r>
    </w:p>
    <w:p>
      <w:pPr>
        <w:spacing w:line="360" w:lineRule="auto" w:after="120" w:before="0"/>
        <w:ind w:firstLine="720"/>
        <w:jc w:val="both"/>
      </w:pPr>
      <w:r>
        <w:rPr/>
        <w:t xml:space="preserve">The flat post-coverage MTB path admits three readings, depending on the counterfactual trend (Rambachan &amp; Roth, 2023; Roth, 2022). With parallel paths from the base year, the data show no detected effect of coverage (95% interval −0.046 to 0.048 in log MTB). With a continued run-up, coverage lowered valuations relative to the trend. With a partly transitory run-up, the flat path is consistent with a positive coverage effect that offset a reversal. </w:t>
      </w:r>
      <w:r>
        <w:rPr/>
        <w:t>The comparison of datings in Section 5.4 fits a reversal, but a negative effect of coverage confined to the waves with a run-up would look the same. With annual data, a provider that chooses whom to score, and recorded scores that may precede publication, a valuation effect of coverage cannot be reliably identified without additional assumptions; under the assumptions we can state, none of the main specifications detects a gain, and the bounds do not exclude one. One of many exploratory subgroups, the 58 firms first scored by 2019, shows 0.094 (p = 0.047), which we do not read as evidence of a gain because it is not adjusted for multiple comparisons.</w:t>
      </w:r>
    </w:p>
    <w:p>
      <w:pPr>
        <w:pStyle w:val="Heading2"/>
        <w:keepNext/>
        <w:spacing w:line="360" w:lineRule="auto" w:after="120" w:before="160"/>
      </w:pPr>
      <w:r>
        <w:rPr>
          <w:rFonts w:ascii="Times New Roman" w:hAnsi="Times New Roman" w:eastAsia="Times New Roman"/>
          <w:b/>
          <w:i w:val="0"/>
          <w:color w:val="000000"/>
          <w:sz w:val="24"/>
        </w:rPr>
        <w:t xml:space="preserve">6.3 </w:t>
      </w:r>
      <w:r>
        <w:rPr>
          <w:rFonts w:ascii="Times New Roman" w:hAnsi="Times New Roman" w:eastAsia="Times New Roman"/>
          <w:b/>
          <w:i w:val="0"/>
          <w:color w:val="000000"/>
          <w:sz w:val="24"/>
        </w:rPr>
        <w:t>Mechanisms that the data can and cannot evaluate</w:t>
      </w:r>
    </w:p>
    <w:p>
      <w:pPr>
        <w:spacing w:line="360" w:lineRule="auto" w:after="120" w:before="0"/>
        <w:ind w:firstLine="720"/>
        <w:jc w:val="both"/>
      </w:pPr>
      <w:r>
        <w:rPr/>
        <w:t>The recognition and preference channels motivate the hypotheses, but the evidence speaks to them only indirectly. Recognition predicts a lasting gain for every newly scored firm; we detect none under assumption (2), but without ownership, trading, or fund-holding data we cannot tell whether recognition did not increase or whether it increased without moving prices. Investor participation is a natural place to look, since investor groups in the region respond differently to trading conditions (Sudsawasd &amp; Sakdapat, 2026). Preferences predict opposite signs for high- and low-score entrants; the split in Section 5.9 cannot detect a moderate difference. What the data can test directly is narrower: selection into coverage and the valuation path that follows it.</w:t>
      </w:r>
    </w:p>
    <w:p>
      <w:pPr>
        <w:spacing w:line="360" w:lineRule="auto" w:after="120" w:before="0"/>
        <w:ind w:firstLine="720"/>
        <w:jc w:val="both"/>
      </w:pPr>
      <w:r>
        <w:rPr/>
        <w:t xml:space="preserve">The absence of a detected gain fits the evidence on certification by sustainability indices, where additions have little price effect relative to comparable firms (Durand et al., 2019; Hawn et al., 2018), and contrasts with the price effects of MSCI downgrades (Berg, Heeb, et al., 2022). </w:t>
      </w:r>
      <w:r>
        <w:rPr/>
        <w:t>Two features of our setting may explain the contrast: ESG fund holdings respond to MSCI ratings, not to those of other providers (Berg, Heeb, et al., 2022), and scored firms were large and visible before coverage (Table 1), which leaves less room for recognition (Merton, 1987). Studies, mostly of U.S. firms, find that coverage changes firm conduct and payout (Bikmetova &amp; Pirinsky, 2026; Tsang et al., 2024, 2025); we find no stable change in leverage or total assets.</w:t>
      </w:r>
    </w:p>
    <w:p>
      <w:pPr>
        <w:spacing w:line="360" w:lineRule="auto" w:after="120" w:before="0"/>
        <w:ind w:firstLine="720"/>
        <w:jc w:val="both"/>
      </w:pPr>
      <w:r>
        <w:rPr/>
        <w:t>The run-up also fits evidence that realized green returns reflect unexpected shifts in ESG demand (Pástor et al., 2022): a one-time demand shift, or selection after one, would produce a run-up followed by a flat path. Without ownership data, we cannot tell whether ESG investors bought these firms before or after coverage.</w:t>
      </w:r>
    </w:p>
    <w:p>
      <w:pPr>
        <w:pStyle w:val="Heading2"/>
        <w:keepNext/>
        <w:spacing w:line="360" w:lineRule="auto" w:after="120" w:before="160"/>
      </w:pPr>
      <w:r>
        <w:rPr>
          <w:rFonts w:ascii="Times New Roman" w:hAnsi="Times New Roman" w:eastAsia="Times New Roman"/>
          <w:b/>
          <w:i w:val="0"/>
          <w:color w:val="000000"/>
          <w:sz w:val="24"/>
        </w:rPr>
        <w:t>6.4 Implications</w:t>
      </w:r>
    </w:p>
    <w:p>
      <w:pPr>
        <w:spacing w:line="360" w:lineRule="auto" w:after="120" w:before="0"/>
        <w:ind w:firstLine="720"/>
        <w:jc w:val="both"/>
      </w:pPr>
      <w:r>
        <w:rPr/>
        <w:t>These implications are bounded by the design: one provider, annual data, five markets, and no data on ownership, returns, or publication dates. For researchers, comparisons of scored and unscored firms, static TWFE estimates, and backtests built on the first recorded score can attribute selection to the score (Table S5; Berg et al., 2020; Sahin et al., 2023). Studies of ESG ratings in Southeast Asia should model when firms enter coverage, report pre-entry dynamics, and record the download date of their rating data.</w:t>
      </w:r>
    </w:p>
    <w:p>
      <w:pPr>
        <w:spacing w:line="360" w:lineRule="auto" w:after="120" w:before="0"/>
        <w:ind w:firstLine="720"/>
        <w:jc w:val="both"/>
      </w:pPr>
      <w:r>
        <w:rPr/>
        <w:t>For rating providers and data users, the scored universe in these markets tilts toward large firms and toward firms that had outgrown their peers, most clearly in the Thai and Singaporean wave. Publishing the date on which each firm's coverage began, and keeping the vintages of revised scores, would separate what was known from what was filled in later.</w:t>
      </w:r>
    </w:p>
    <w:p>
      <w:pPr>
        <w:spacing w:line="360" w:lineRule="auto" w:after="120" w:before="0"/>
        <w:ind w:firstLine="720"/>
        <w:jc w:val="both"/>
      </w:pPr>
      <w:r>
        <w:rPr/>
        <w:t>For investors, a portfolio screened on ESG scores in these markets holds firms that entered coverage after outgrowing their peers, so the screen tilts toward recent winners and away from smaller firms. Back-tested performance of such screens mixes that tilt with any effect of the score, and the date a firm became screenable is the publication date, which may follow the recorded year (Section 3.3).</w:t>
      </w:r>
    </w:p>
    <w:p>
      <w:pPr>
        <w:spacing w:line="360" w:lineRule="auto" w:after="120" w:before="0"/>
        <w:ind w:firstLine="720"/>
        <w:jc w:val="both"/>
      </w:pPr>
      <w:r>
        <w:rPr/>
        <w:t>For exchanges, regulators, and listed firms, broad expansions such as the Malaysian wave appear to select less on prior growth, and we detect no MTB gain within it, although its interval (−0.053 to 0.091) admits gains larger than the pooled upper bound. Our results do not show that expanding ESG coverage has no valuation benefit; they show that such a benefit cannot be established from these data, so arguments for expanding coverage should rest on grounds other than an expected rise in issuer valuations. Under assumption (2), the interval excludes increases above 4.9%, but smaller effects remain possible.</w:t>
      </w:r>
    </w:p>
    <w:p>
      <w:pPr>
        <w:pStyle w:val="Heading1"/>
        <w:keepNext/>
        <w:spacing w:line="360" w:lineRule="auto" w:after="120" w:before="360"/>
      </w:pPr>
      <w:r>
        <w:rPr>
          <w:rFonts w:ascii="Times New Roman" w:hAnsi="Times New Roman" w:eastAsia="Times New Roman"/>
          <w:b/>
          <w:i w:val="0"/>
          <w:color w:val="000000"/>
          <w:sz w:val="26"/>
        </w:rPr>
        <w:t>7. Limitations</w:t>
      </w:r>
    </w:p>
    <w:p>
      <w:pPr>
        <w:spacing w:line="360" w:lineRule="auto" w:after="120" w:before="0"/>
        <w:ind w:firstLine="720"/>
        <w:jc w:val="both"/>
      </w:pPr>
      <w:r>
        <w:rPr/>
        <w:t>The study has eight limitations. First, the provider chooses when to cover a firm, and the post-coverage estimates rest on conditional parallel trends that the pre-coverage estimates question; our sensitivity analysis uses a linear trend and a simplified bound, not the confidence sets of Rambachan and Roth (2023). Second, we observe neither publication dates nor announcement returns, and the unrecorded download date leaves the vintage of revisable recent scores uncertain. Third, we observe only LSEG coverage, so for firms with earlier FTSE Russell or other scores the event is an additional score. Fourth, the data contain no returns, shares outstanding, ownership, index membership, or firm-level report dates. Fifth, MTB ratios are missing for about a quarter of firm-years, more often for distressed and Indonesian firms, and some market capitalization records contain scale errors. Sixth, Malaysian and Thai firms make up 84.3% of scored firms. Seventh, the sample includes only firms that survived to 2024, so firms that delisted after a decline are missing from both groups. Eighth, with an MDE of 0.067 on log MTB, smaller effects would be detected with less than 80% probability.</w:t>
      </w:r>
    </w:p>
    <w:p>
      <w:pPr>
        <w:pStyle w:val="Heading1"/>
        <w:keepNext/>
        <w:spacing w:line="360" w:lineRule="auto" w:after="120" w:before="360"/>
      </w:pPr>
      <w:r>
        <w:rPr>
          <w:rFonts w:ascii="Times New Roman" w:hAnsi="Times New Roman" w:eastAsia="Times New Roman"/>
          <w:b/>
          <w:i w:val="0"/>
          <w:color w:val="000000"/>
          <w:sz w:val="26"/>
        </w:rPr>
        <w:t>8. Conclusion</w:t>
      </w:r>
    </w:p>
    <w:p>
      <w:pPr>
        <w:spacing w:line="360" w:lineRule="auto" w:after="120" w:before="0"/>
        <w:ind w:firstLine="720"/>
        <w:jc w:val="both"/>
      </w:pPr>
      <w:r>
        <w:rPr/>
        <w:t>Entry into LSEG ESG coverage in five Southeast Asian markets was selective. The firms that received a first recorded score were larger than never-scored firms, and on average their market-to-book ratio had grown 10.0% more than that of similar firms over the five years before entry. The run-up was largest in the Thai and Singaporean wave of 2019 and 2020, present in the remaining cohorts, and not detected in the broad Malaysian wave of 2021 and 2022 (95% interval −7.4% to 15.2%). After entry, the valuation gap stopped widening. Whether coverage itself changed valuations cannot be settled with these data: the answer moves from no detected change (95% interval −0.046 to 0.048 in log MTB) to a decline of 6.6% depending on when investors are assumed to have seen the score, the decline appears only where valuations had run up, and modest departures from parallel trends change either reading.</w:t>
      </w:r>
    </w:p>
    <w:p>
      <w:pPr>
        <w:spacing w:line="360" w:lineRule="auto" w:after="120" w:before="0"/>
        <w:ind w:firstLine="720"/>
        <w:jc w:val="both"/>
      </w:pPr>
      <w:r>
        <w:rPr/>
        <w:t>A rated firm is not a random firm, and research and investment screens that start from a provider's universe inherit the provider's selection. Two kinds of data would move the question forward: point-in-time records of when each firm's score was first published, which would date the event as investors saw it, and ownership and trading data, which would show whether new coverage brings new investors. With both, future work could test whether ESG coverage in Southeast Asian markets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t xml:space="preserve">Crump, R. K., Hotz, V. J., Imbens, G. W., &amp; Mitnik, O. A. (2009).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LSEG. (2023). </w:t>
      </w:r>
      <w:r>
        <w:rPr>
          <w:i/>
        </w:rPr>
        <w:t>Refinitiv Data Platform ESG bulk point in time user guide</w:t>
      </w:r>
      <w:r>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t xml:space="preserve">Nguyen, T. T. (2025). Ownership structure and corporate social responsibility: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t xml:space="preserve">Prukumpai, S., Sethapramote, Y., &amp; Luangaram, P. (2022). Political uncertainty and the Thai stock market. </w:t>
      </w:r>
      <w:r>
        <w:rPr>
          <w:i/>
        </w:rPr>
        <w:t>Southeast Asian Journal of Economics</w:t>
      </w:r>
      <w:r>
        <w:rPr/>
        <w:t xml:space="preserve">, </w:t>
      </w:r>
      <w:r>
        <w:rPr>
          <w:i/>
        </w:rPr>
        <w:t>10</w:t>
      </w:r>
      <w:r>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t xml:space="preserve">Sudsawasd, S., &amp; Sakdapat, P. (2026). Transaction costs and stock market behavior: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