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3.3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S10).</w:t>
      </w:r>
    </w:p>
    <w:p>
      <w:pPr>
        <w:pStyle w:val="BodyText"/>
      </w:pPr>
      <w:r>
        <w:t xml:space="preserve">As requested, we answer the editor’s comments in this letter and Reviewer A’s comments in a separate response file. Comments are quoted in full in italics, and our responses follow in plain text. Section, table, and equation numbers refer to the revised manuscript,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4.3, and 6.3).</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6.3, where investor participation is the channel through which a score would act and which our data cannot observe. Prukumpai et al. (2022) show that political uncertainty moves Thai stock prices; we cite it in Section 4.3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150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over the five years before the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We have added a declaration of the use of generative AI tools to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4.3, 6.3</w:t>
            </w:r>
          </w:p>
        </w:tc>
      </w:tr>
      <w:tr>
        <w:tc>
          <w:tcPr/>
          <w:p>
            <w:pPr>
              <w:pStyle w:val="Compact"/>
              <w:jc w:val="left"/>
            </w:pPr>
            <w:r>
              <w:t xml:space="preserve">E2</w:t>
            </w:r>
          </w:p>
        </w:tc>
        <w:tc>
          <w:tcPr/>
          <w:p>
            <w:pPr>
              <w:pStyle w:val="Compact"/>
              <w:jc w:val="left"/>
            </w:pPr>
            <w:r>
              <w:t xml:space="preserve">Abstract rewritten (150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2026-10-30T14:17:28Z</dcterms:created>
  <dcterms:modified xsi:type="dcterms:W3CDTF">2026-10-30T14:17:28Z</dcterms:modified>
</cp:coreProperties>
</file>

<file path=docProps/custom.xml><?xml version="1.0" encoding="utf-8"?>
<Properties xmlns="http://schemas.openxmlformats.org/officeDocument/2006/custom-properties" xmlns:vt="http://schemas.openxmlformats.org/officeDocument/2006/docPropsVTypes"/>
</file>