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numbers inside the quoted comments refer to the original manuscript; in our responses, section and table numbers refer to the revised manuscript, which has five sections (original Section 5 is now Section 4, and Sections 6 to 8 are now Section 5),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3.2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3.1);</w:t>
      </w:r>
      <w:r>
        <w:t xml:space="preserve"> </w:t>
      </w:r>
      <w:r>
        <w:t xml:space="preserve">“</w:t>
      </w:r>
      <w:r>
        <w:t xml:space="preserve">first scored in year g</w:t>
      </w:r>
      <w:r>
        <w:t xml:space="preserve">”</w:t>
      </w:r>
      <w:r>
        <w:t xml:space="preserve"> </w:t>
      </w:r>
      <w:r>
        <w:t xml:space="preserve">is used as shorthand for a first recorded score in year g. Second, a new Section 3.2,</w:t>
      </w:r>
      <w:r>
        <w:t xml:space="preserve"> </w:t>
      </w:r>
      <w:r>
        <w:t xml:space="preserve">“</w:t>
      </w:r>
      <w:r>
        <w:t xml:space="preserve">Event Dating, Outcomes, and Recording Errors,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5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4.2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4.1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4.3 now states that its failure restates the pre-coverage growth in Figure 1. On the sensitivity analyses, Section 4.3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3.3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parallel trends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4.1,</w:t>
      </w:r>
      <w:r>
        <w:t xml:space="preserve"> </w:t>
      </w:r>
      <w:r>
        <w:t xml:space="preserve">“</w:t>
      </w:r>
      <w:r>
        <w:t xml:space="preserve">Who Gets Scored and the Valuation Path Around Entry,</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4.2 reports the average change after entry as conditional on parallel trends, 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4.2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minus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4.2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4.2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part of Section 4.3 on firm size and common support and two new tables. Section 3.3 now states that, because so many scored firms are larger than the 95th percentile of controls, we also restrict scored firms to the size range of the controls.</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4.3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5 applies the same distinction to the discussion.</w:t>
      </w:r>
    </w:p>
    <w:p>
      <w:pPr>
        <w:pStyle w:val="BodyText"/>
      </w:pPr>
      <w:r>
        <w:t xml:space="preserve">The interpretation of the high- and low-score comparison (now Section 4.4) is more cautious. It reports the minimum detectable differences of 0.113 and 0.111, about 12% in the MTB ratio, notes that the score is correlated with size (0.35) and that the residual split removes only part of this link, and concludes that the result</w:t>
      </w:r>
      <w:r>
        <w:t xml:space="preserve"> </w:t>
      </w:r>
      <w:r>
        <w:t xml:space="preserve">“</w:t>
      </w:r>
      <w:r>
        <w:t xml:space="preserve">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4.3, new Table 7, and new Table S8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3.1 says so.</w:t>
      </w:r>
    </w:p>
    <w:p>
      <w:pPr>
        <w:pStyle w:val="BodyText"/>
      </w:pPr>
      <w:r>
        <w:t xml:space="preserve">All missing-data shares are now computed over listed firm-years: every firm has a row for each year from 2014 to 2024, and the 3,647 rows before a firm lists carry no data.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4.3 reports this.</w:t>
      </w:r>
    </w:p>
    <w:p>
      <w:pPr>
        <w:pStyle w:val="BodyText"/>
      </w:pPr>
      <w:r>
        <w:t xml:space="preserve">On the implausible market capitalization records, Section 3.2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5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3.1 now states that the sample conditions on survival to 2024, Section 3.2 notes that the fact that every scored firm still has a score in 2024 fits a download of the provider’s current universe, and Section 5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part of Section 4.4 on what the pooled estimate represents 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4.1 reports the paths by wave, and Section 4.2 and Table S6 show that the waves differ under the later dating as well: the Malaysian wave, in which no run-up was detected, shows no detectable change under either dating, while the waves with a run-up show the decline. We now use this contrast as evidence (Sections 3.3 and 4.2) rather than averaging over it. Section 4.2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(−0.075, 95% interval −0.219 to 0.075).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5 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Appendix A.6 of the supplementary material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5.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 that</w:t>
      </w:r>
      <w:r>
        <w:t xml:space="preserve"> </w:t>
      </w:r>
      <w:r>
        <w:t xml:space="preserve">“</w:t>
      </w:r>
      <w:r>
        <w:t xml:space="preserve">arguments for expanding coverage should therefore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2026-10-31T07:58:42Z</dcterms:created>
  <dcterms:modified xsi:type="dcterms:W3CDTF">2026-10-31T07:58:42Z</dcterms:modified>
</cp:coreProperties>
</file>

<file path=docProps/custom.xml><?xml version="1.0" encoding="utf-8"?>
<Properties xmlns="http://schemas.openxmlformats.org/officeDocument/2006/custom-properties" xmlns:vt="http://schemas.openxmlformats.org/officeDocument/2006/docPropsVTypes"/>
</file>