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Table S1 re-estimates the average </w:t>
      </w:r>
      <w:r>
        <w:rPr/>
        <w:t>changes after</w:t>
      </w:r>
      <w:r>
        <w:rPr/>
        <w:t xml:space="preserve"> the first </w:t>
      </w:r>
      <w:r>
        <w:rPr/>
        <w:t>recorded</w:t>
      </w:r>
      <w:r>
        <w:rPr/>
        <w:t xml:space="preserve"> score over event years 0 to 3 after excluding one market at a time. Table S2 shows the number of non-financial firms that received their first </w:t>
      </w:r>
      <w:r>
        <w:rPr/>
        <w:t>recorded</w:t>
      </w:r>
      <w:r>
        <w:rPr/>
        <w:t xml:space="preserve"> LSEG ESG score in each year by market, and Figure S1 for all markets combined. Table S3 reports the estimates for each market separately, Table S4 the number of firm-years available for each outcome, Table S5 the relative-magnitude bounds of Eq. (10) in the paper, and Table S6 the number of scored and control firms by event year for ln MTB. Table S7 and Figure S2 report </w:t>
      </w:r>
      <w:r>
        <w:rPr/>
        <w:t>further exploratory specifications</w:t>
      </w:r>
      <w:r>
        <w:rPr/>
        <w:t xml:space="preserve">, and Table S8 decomposes the gap between the static two-way fixed effects estimate and the baseline. </w:t>
      </w:r>
      <w:r>
        <w:rPr/>
        <w:t>Table S9 reports the weight of each market and coverage wave in the pooled estimate, Table S10 the estimates by wave under both datings, and Table S11 compares firm-years with and without an MTB ratio. Appendix A gives additional results.</w:t>
      </w:r>
      <w:r>
        <w:rPr/>
        <w:t xml:space="preserve"> The pre-analysis plan is provided with the replication package.</w:t>
      </w:r>
    </w:p>
    <w:p>
      <w:pPr>
        <w:pStyle w:val="Heading1"/>
        <w:keepNext/>
        <w:spacing w:line="360" w:lineRule="auto" w:after="120" w:before="360"/>
      </w:pPr>
      <w:r>
        <w:rPr>
          <w:rFonts w:ascii="Times New Roman" w:hAnsi="Times New Roman" w:eastAsia="Times New Roman"/>
          <w:b/>
          <w:i w:val="0"/>
          <w:color w:val="000000"/>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A.1. Event year 4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A.2. Further timing variants of R10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w:t>
      </w:r>
    </w:p>
    <w:p>
      <w:pPr>
        <w:spacing w:line="360" w:lineRule="auto" w:after="120" w:before="0"/>
        <w:ind w:firstLine="720"/>
        <w:jc w:val="both"/>
      </w:pPr>
      <w:r>
        <w:rPr/>
        <w:t>Under R10, the decline in log MTB loses significance once M̄ in Eq. (10)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A.3. Reconciling the R10 and baseline event-time paths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R10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A.4. Size covariate and support (Section </w:t>
      </w:r>
      <w:r>
        <w:rPr>
          <w:rFonts w:ascii="Times New Roman" w:hAnsi="Times New Roman" w:eastAsia="Times New Roman"/>
          <w:b/>
          <w:i w:val="0"/>
          <w:color w:val="000000"/>
          <w:sz w:val="24"/>
        </w:rPr>
        <w:t>5.6</w:t>
      </w:r>
      <w:r>
        <w:rPr>
          <w:rFonts w:ascii="Times New Roman" w:hAnsi="Times New Roman" w:eastAsia="Times New Roman"/>
          <w:b/>
          <w:i w:val="0"/>
          <w:color w:val="000000"/>
          <w:sz w:val="24"/>
        </w:rPr>
        <w:t>, Table S7, Figure S2)</w:t>
      </w:r>
    </w:p>
    <w:p>
      <w:pPr>
        <w:spacing w:line="360" w:lineRule="auto" w:after="120" w:before="0"/>
        <w:ind w:firstLine="720"/>
        <w:jc w:val="both"/>
      </w:pPr>
      <w:r>
        <w:rPr/>
        <w:t>Table S7 and Figure S2 vary the size covariate and support</w:t>
      </w:r>
      <w:r>
        <w:rPr/>
        <w:t>; Table 5 of the paper reports the full set of variants</w:t>
      </w:r>
      <w:r>
        <w:rPr/>
        <w:t xml:space="preserve">. </w:t>
      </w:r>
      <w:r>
        <w:rPr/>
        <w:t>Scored-firm counts differ slightly across tables for the same estimate: 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A.5. Decomposition of the TWFE gap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S8)</w:t>
      </w:r>
    </w:p>
    <w:p>
      <w:pPr>
        <w:spacing w:line="360" w:lineRule="auto" w:after="120" w:before="0"/>
        <w:ind w:firstLine="720"/>
        <w:jc w:val="both"/>
      </w:pPr>
      <w:r>
        <w:rPr/>
        <w:t>Table S8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A.6. Market-by-market and early versus late cohorts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S3)</w:t>
      </w:r>
    </w:p>
    <w:p>
      <w:pPr>
        <w:spacing w:line="360" w:lineRule="auto" w:after="120" w:before="0"/>
        <w:ind w:firstLine="720"/>
        <w:jc w:val="both"/>
      </w:pPr>
      <w:r>
        <w:rPr/>
        <w:t>Estimated market by market in Table S3, the MTB effect is 0.009 in Malaysia, with 372 scored firms, and 0.027 in Thailand, with 157. Indonesia, the Philippines, and Singapore have few scored firms and imprecise estimates. The 58 firms first scored by 2019 that enter the MTB estimate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A.7. Breadth of the Malaysian wave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A.8. Composition of the pooled estimate (Section 5.10, Table S9)</w:t>
      </w:r>
    </w:p>
    <w:p>
      <w:pPr>
        <w:spacing w:line="360" w:lineRule="auto" w:after="120" w:before="0"/>
        <w:ind w:firstLine="720"/>
        <w:jc w:val="both"/>
      </w:pPr>
      <w:r>
        <w:rPr/>
        <w:t>Table S9 counts scored firm-cells, one for each scored firm in each post-coverage cell of the ln(MTB) estimate, by market and by coverage wave. These counts are the weights of Eq. (6).</w:t>
      </w:r>
    </w:p>
    <w:p>
      <w:pPr>
        <w:pStyle w:val="Heading2"/>
        <w:keepNext/>
        <w:spacing w:line="360" w:lineRule="auto" w:after="120" w:before="160"/>
      </w:pPr>
      <w:r>
        <w:rPr>
          <w:rFonts w:ascii="Times New Roman" w:hAnsi="Times New Roman" w:eastAsia="Times New Roman"/>
          <w:b/>
          <w:i w:val="0"/>
          <w:color w:val="000000"/>
          <w:sz w:val="24"/>
        </w:rPr>
        <w:t>A.9. Dating by wave (Section 5.4, Table S10)</w:t>
      </w:r>
    </w:p>
    <w:p>
      <w:pPr>
        <w:spacing w:line="360" w:lineRule="auto" w:after="120" w:before="0"/>
        <w:ind w:firstLine="720"/>
        <w:jc w:val="both"/>
      </w:pPr>
      <w:r>
        <w:rPr/>
        <w:t>Table S10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A.10. Firm-years with and without an MTB ratio (Section 5.7, Table S11)</w:t>
      </w:r>
    </w:p>
    <w:p>
      <w:pPr>
        <w:spacing w:line="360" w:lineRule="auto" w:after="120" w:before="0"/>
        <w:ind w:firstLine="720"/>
        <w:jc w:val="both"/>
      </w:pPr>
      <w:r>
        <w:rPr/>
        <w:t>Table S11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A.11. Other robustness checks (Sections 5.5 and 5.8)</w:t>
      </w:r>
    </w:p>
    <w:p>
      <w:pPr>
        <w:spacing w:line="360" w:lineRule="auto" w:after="120" w:before="0"/>
        <w:ind w:firstLine="720"/>
        <w:jc w:val="both"/>
      </w:pPr>
      <w:r>
        <w:rPr/>
        <w:t>Rows R1 to R4 of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Row R7 removes a linear pre-trend with Eq. (9); its MTB effect is negative because a continued run-up would have raised valuations further. Row R8 adds market capitalization growth from g − 3 to the base year to the covariates; because control firms matched on past growth can themselves revert, it does not settle the reversal question. The placebo in row R5 gives 0.134 for log market capitalization (p &lt; 0.001), and the static TWFE regression gives 0.185. Without Malaysia (row R9), the MTB effect is −0.003 (p = 0.940) and the market capitalization effect 0.037.</w:t>
      </w:r>
    </w:p>
    <w:p>
      <w:pPr>
        <w:spacing w:line="360" w:lineRule="auto" w:after="120" w:before="0"/>
        <w:ind w:firstLine="720"/>
        <w:jc w:val="both"/>
      </w:pPr>
      <w:r>
        <w:rPr/>
        <w:t>In the outcome regression of Eq. (3), a country or industry indicator would be unidentified in a cell with no control firm in that country or industry, and its coefficient would be set to zero. This does not occur: in all 34 cells of event years 0 to 3 for ln(MTB), and all 34 for ln(market capitalization), every indicator carried by a scored firm is also carried by a control firm.</w:t>
      </w:r>
    </w:p>
    <w:p>
      <w:pPr>
        <w:keepNext/>
        <w:spacing w:line="240" w:lineRule="auto" w:after="120" w:before="240"/>
        <w:jc w:val="center"/>
      </w:pPr>
      <w:r>
        <w:rPr>
          <w:sz w:val="22"/>
        </w:rPr>
        <w:t xml:space="preserve">Table S1. Leave-one-market-out estimates of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304"/>
          </w:tcPr>
          <w:p>
            <w:pPr>
              <w:keepNext/>
              <w:spacing w:after="0" w:line="240" w:lineRule="auto"/>
            </w:pPr>
            <w:r/>
            <w:r>
              <w:rPr>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sz w:val="18"/>
              </w:rPr>
              <w:t>589 / 1,734</w:t>
            </w:r>
          </w:p>
        </w:tc>
      </w:tr>
      <w:tr>
        <w:trPr>
          <w:cantSplit/>
        </w:trPr>
        <w:tc>
          <w:tcPr>
            <w:tcW w:type="dxa" w:w="2304"/>
          </w:tcPr>
          <w:p>
            <w:pPr>
              <w:keepNext/>
              <w:spacing w:after="0" w:line="240" w:lineRule="auto"/>
            </w:pPr>
            <w:r/>
            <w:r>
              <w:rPr>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sz w:val="18"/>
              </w:rPr>
              <w:t>256 / 1,926</w:t>
            </w:r>
          </w:p>
        </w:tc>
      </w:tr>
      <w:tr>
        <w:trPr>
          <w:cantSplit/>
        </w:trPr>
        <w:tc>
          <w:tcPr>
            <w:tcW w:type="dxa" w:w="2304"/>
          </w:tcPr>
          <w:p>
            <w:pPr>
              <w:keepNext/>
              <w:spacing w:after="0" w:line="240" w:lineRule="auto"/>
            </w:pPr>
            <w:r/>
            <w:r>
              <w:rPr>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sz w:val="18"/>
              </w:rPr>
              <w:t>614 / 2,220</w:t>
            </w:r>
          </w:p>
        </w:tc>
      </w:tr>
      <w:tr>
        <w:trPr>
          <w:cantSplit/>
        </w:trPr>
        <w:tc>
          <w:tcPr>
            <w:tcW w:type="dxa" w:w="2304"/>
          </w:tcPr>
          <w:p>
            <w:pPr>
              <w:keepNext/>
              <w:spacing w:after="0" w:line="240" w:lineRule="auto"/>
            </w:pPr>
            <w:r/>
            <w:r>
              <w:rPr>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sz w:val="18"/>
              </w:rPr>
              <w:t>582 / 1,955</w:t>
            </w:r>
          </w:p>
        </w:tc>
      </w:tr>
      <w:tr>
        <w:trPr>
          <w:cantSplit/>
        </w:trPr>
        <w:tc>
          <w:tcPr>
            <w:tcW w:type="dxa" w:w="2304"/>
            <w:tcBorders>
              <w:bottom w:val="single" w:sz="6" w:color="000000"/>
            </w:tcBorders>
          </w:tcPr>
          <w:p>
            <w:pPr>
              <w:spacing w:after="0" w:line="240" w:lineRule="auto"/>
            </w:pPr>
            <w:r/>
            <w:r>
              <w:rPr>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sz w:val="18"/>
              </w:rPr>
              <w:t>471 / 1,813</w:t>
            </w:r>
          </w:p>
        </w:tc>
      </w:tr>
    </w:tbl>
    <w:p>
      <w:pPr>
        <w:keepNext/>
        <w:spacing w:line="240" w:lineRule="auto" w:after="40" w:before="80"/>
        <w:jc w:val="both"/>
      </w:pPr>
      <w:r>
        <w:rPr>
          <w:sz w:val="18"/>
        </w:rPr>
        <w:t>Note: Average change over event years 0 to 3 without the named market; firm-bootstrap standard errors; firm counts for ln(MTB). *, **, ***: 10%, 5%, 1% (unadjusted).</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 xml:space="preserve">Table S2. Number of non-financial firms by year of first </w:t>
      </w:r>
      <w:r>
        <w:rPr>
          <w:sz w:val="22"/>
        </w:rPr>
        <w:t>recorded</w:t>
      </w:r>
      <w:r>
        <w:rPr>
          <w:sz w:val="22"/>
        </w:rPr>
        <w:t xml:space="preserve">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keepNext/>
        <w:spacing w:line="240" w:lineRule="auto" w:after="40" w:before="80"/>
        <w:jc w:val="both"/>
      </w:pPr>
      <w:r>
        <w:rPr>
          <w:sz w:val="18"/>
        </w:rPr>
        <w:t>Note: Firms first scored in 2014 are excluded because they have no pre-coverage year.</w:t>
      </w:r>
    </w:p>
    <w:p>
      <w:pPr>
        <w:spacing w:line="240" w:lineRule="auto" w:after="240" w:before="0"/>
      </w:pPr>
      <w:r>
        <w:rPr>
          <w:sz w:val="18"/>
        </w:rPr>
        <w:t>Source: Authors' calculations from LSEG ESG scores.</w:t>
      </w:r>
    </w:p>
    <w:p>
      <w:pPr>
        <w:keepNext/>
        <w:spacing w:line="240" w:lineRule="auto" w:after="120" w:before="240"/>
        <w:jc w:val="center"/>
      </w:pPr>
      <w:r>
        <w:rPr>
          <w:sz w:val="22"/>
        </w:rPr>
        <w:t xml:space="preserve">Figure S1. Number of non-financial firms by year of first </w:t>
      </w:r>
      <w:r>
        <w:rPr>
          <w:sz w:val="22"/>
        </w:rPr>
        <w:t>recorded</w:t>
      </w:r>
      <w:r>
        <w:rPr>
          <w:sz w:val="22"/>
        </w:rPr>
        <w:t xml:space="preserve">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keepNext/>
        <w:spacing w:line="240" w:lineRule="auto" w:after="40" w:before="80"/>
        <w:jc w:val="both"/>
      </w:pPr>
      <w:r>
        <w:rPr>
          <w:sz w:val="18"/>
        </w:rPr>
        <w:t>Note: Bars show the number of firms in the estimation sample first scored in each year, all five markets combined.</w:t>
      </w:r>
    </w:p>
    <w:p>
      <w:pPr>
        <w:spacing w:line="240" w:lineRule="auto" w:after="240" w:before="0"/>
      </w:pPr>
      <w:r>
        <w:rPr>
          <w:sz w:val="18"/>
        </w:rPr>
        <w:t>Source: Authors' calculations from LSEG ESG scores.</w:t>
      </w:r>
    </w:p>
    <w:p>
      <w:pPr>
        <w:keepNext/>
        <w:spacing w:line="240" w:lineRule="auto" w:after="120" w:before="240"/>
        <w:jc w:val="center"/>
      </w:pPr>
      <w:r>
        <w:rPr>
          <w:sz w:val="22"/>
        </w:rPr>
        <w:t xml:space="preserve">Table S3. Average change after the first </w:t>
      </w:r>
      <w:r>
        <w:rPr>
          <w:sz w:val="22"/>
        </w:rPr>
        <w:t>recorded</w:t>
      </w:r>
      <w:r>
        <w:rPr>
          <w:sz w:val="22"/>
        </w:rPr>
        <w:t xml:space="preserve">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1872"/>
          </w:tcPr>
          <w:p>
            <w:pPr>
              <w:keepNext/>
              <w:spacing w:after="0" w:line="240" w:lineRule="auto"/>
            </w:pPr>
            <w:r/>
            <w:r>
              <w:rPr>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sz w:val="18"/>
              </w:rPr>
              <w:t>39 / 678</w:t>
            </w:r>
          </w:p>
        </w:tc>
      </w:tr>
      <w:tr>
        <w:trPr>
          <w:cantSplit/>
        </w:trPr>
        <w:tc>
          <w:tcPr>
            <w:tcW w:type="dxa" w:w="1872"/>
          </w:tcPr>
          <w:p>
            <w:pPr>
              <w:keepNext/>
              <w:spacing w:after="0" w:line="240" w:lineRule="auto"/>
            </w:pPr>
            <w:r/>
            <w:r>
              <w:rPr>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sz w:val="18"/>
              </w:rPr>
              <w:t>372 / 486</w:t>
            </w:r>
          </w:p>
        </w:tc>
      </w:tr>
      <w:tr>
        <w:trPr>
          <w:cantSplit/>
        </w:trPr>
        <w:tc>
          <w:tcPr>
            <w:tcW w:type="dxa" w:w="1872"/>
          </w:tcPr>
          <w:p>
            <w:pPr>
              <w:keepNext/>
              <w:spacing w:after="0" w:line="240" w:lineRule="auto"/>
            </w:pPr>
            <w:r/>
            <w:r>
              <w:rPr>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sz w:val="18"/>
              </w:rPr>
              <w:t>14 / 179</w:t>
            </w:r>
          </w:p>
        </w:tc>
      </w:tr>
      <w:tr>
        <w:trPr>
          <w:cantSplit/>
        </w:trPr>
        <w:tc>
          <w:tcPr>
            <w:tcW w:type="dxa" w:w="1872"/>
          </w:tcPr>
          <w:p>
            <w:pPr>
              <w:keepNext/>
              <w:spacing w:after="0" w:line="240" w:lineRule="auto"/>
            </w:pPr>
            <w:r/>
            <w:r>
              <w:rPr>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sz w:val="18"/>
              </w:rPr>
              <w:t>46 / 452</w:t>
            </w:r>
          </w:p>
        </w:tc>
      </w:tr>
      <w:tr>
        <w:trPr>
          <w:cantSplit/>
        </w:trPr>
        <w:tc>
          <w:tcPr>
            <w:tcW w:type="dxa" w:w="1872"/>
            <w:tcBorders>
              <w:bottom w:val="single" w:sz="6" w:color="000000"/>
            </w:tcBorders>
          </w:tcPr>
          <w:p>
            <w:pPr>
              <w:spacing w:after="0" w:line="240" w:lineRule="auto"/>
            </w:pPr>
            <w:r/>
            <w:r>
              <w:rPr>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sz w:val="18"/>
              </w:rPr>
              <w:t>157 / 599</w:t>
            </w:r>
          </w:p>
        </w:tc>
      </w:tr>
    </w:tbl>
    <w:p>
      <w:pPr>
        <w:keepNext/>
        <w:spacing w:line="240" w:lineRule="auto" w:after="40" w:before="80"/>
        <w:jc w:val="both"/>
      </w:pPr>
      <w:r>
        <w:rPr>
          <w:sz w:val="18"/>
        </w:rPr>
        <w:t>Note: Average change over event years 0 to 3 within each market; firm-bootstrap standard errors; firm counts for ln(MTB). *, **, ***: 10%, 5%, 1% (unadjusted).</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S4.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0.248</w:t>
            </w:r>
          </w:p>
        </w:tc>
      </w:tr>
      <w:tr>
        <w:trPr>
          <w:cantSplit/>
        </w:trPr>
        <w:tc>
          <w:tcPr>
            <w:tcW w:type="dxa" w:w="2448"/>
          </w:tcPr>
          <w:p>
            <w:pPr>
              <w:keepNext/>
              <w:spacing w:after="0" w:line="240" w:lineRule="auto"/>
            </w:pPr>
            <w:r/>
            <w:r>
              <w:rPr>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0.195</w:t>
            </w:r>
          </w:p>
        </w:tc>
      </w:tr>
      <w:tr>
        <w:trPr>
          <w:cantSplit/>
        </w:trPr>
        <w:tc>
          <w:tcPr>
            <w:tcW w:type="dxa" w:w="2448"/>
          </w:tcPr>
          <w:p>
            <w:pPr>
              <w:keepNext/>
              <w:spacing w:after="0" w:line="240" w:lineRule="auto"/>
            </w:pPr>
            <w:r/>
            <w:r>
              <w:rPr>
                <w:sz w:val="18"/>
              </w:rPr>
              <w:t>Leverage</w:t>
            </w:r>
            <w:r>
              <w:br/>
            </w:r>
            <w:r>
              <w:rPr>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0.202</w:t>
            </w:r>
          </w:p>
        </w:tc>
      </w:tr>
      <w:tr>
        <w:trPr>
          <w:cantSplit/>
        </w:trPr>
        <w:tc>
          <w:tcPr>
            <w:tcW w:type="dxa" w:w="2448"/>
            <w:tcBorders>
              <w:bottom w:val="single" w:sz="6" w:color="000000"/>
            </w:tcBorders>
          </w:tcPr>
          <w:p>
            <w:pPr>
              <w:spacing w:after="0" w:line="240" w:lineRule="auto"/>
            </w:pPr>
            <w:r/>
            <w:r>
              <w:rPr>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0.123</w:t>
            </w:r>
          </w:p>
        </w:tc>
      </w:tr>
    </w:tbl>
    <w:p>
      <w:pPr>
        <w:keepNext/>
        <w:spacing w:line="240" w:lineRule="auto" w:after="40" w:before="80"/>
        <w:jc w:val="both"/>
      </w:pPr>
      <w:r>
        <w:rPr>
          <w:sz w:val="18"/>
        </w:rPr>
        <w:t>Note: Counts refer to the estimation sample; the last column is the share of firm-years with a missing outcome.</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 xml:space="preserve">Table S5. Relative-magnitude bounds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keepNext/>
        <w:spacing w:line="240" w:lineRule="auto" w:after="40" w:before="80"/>
        <w:jc w:val="both"/>
      </w:pPr>
      <w:r>
        <w:rPr>
          <w:sz w:val="18"/>
        </w:rPr>
        <w:t>Note: Bias bound: M̄ × largest pre-coverage step × weighted mean of (e + 1) in event years 0–3 (Eq. 10). The robust interval widens the bootstrap interval by it.</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S6.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keepNext/>
        <w:spacing w:line="240" w:lineRule="auto" w:after="40" w:before="80"/>
        <w:jc w:val="both"/>
      </w:pPr>
      <w:r>
        <w:rPr>
          <w:sz w:val="18"/>
        </w:rPr>
        <w:t>Note: Scored firms are summed over cohorts; control firms are the smallest and largest number of never-scored firms across cohort cells.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 xml:space="preserve">Table S7. Alternative specifications, inference, and initial-score splits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sz w:val="18"/>
              </w:rPr>
              <w:t>R10,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sz w:val="18"/>
              </w:rPr>
              <w:t>Dated one year later (R10)</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sz w:val="18"/>
              </w:rPr>
              <w:t>R10,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keepNext/>
        <w:spacing w:line="240" w:lineRule="auto" w:after="40" w:before="80"/>
        <w:jc w:val="both"/>
      </w:pPr>
      <w:r>
        <w:rPr>
          <w:sz w:val="18"/>
        </w:rPr>
        <w:t>Note: Average change over event years 0 to 3, firm-bootstrap standard errors, and pre-trend p of Eq. (8); *, **, ***: 10%, 5%, 1% (unadjusted). All rows are exploratory.</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S8.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sz w:val="18"/>
              </w:rPr>
              <w:t>Static TWFE, all firm-years (R6)</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sz w:val="18"/>
              </w:rPr>
              <w:t>Heterogeneity-robust, no covariates (R2)</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keepNext/>
        <w:spacing w:line="240" w:lineRule="auto" w:after="40" w:before="80"/>
        <w:jc w:val="both"/>
      </w:pPr>
      <w:r>
        <w:rPr>
          <w:sz w:val="18"/>
        </w:rPr>
        <w:t>Note: Steps from the two-way fixed effects Eq. (11) to the baseline Eq. (6). Standard errors are firm-clustered for Eq. (11) and firm-bootstrap otherwise; *, **, ***: 10%, 5%,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S2. 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keepNext/>
        <w:spacing w:line="240" w:lineRule="auto" w:after="40" w:before="80"/>
        <w:jc w:val="both"/>
      </w:pPr>
      <w:r>
        <w:rPr>
          <w:sz w:val="18"/>
        </w:rPr>
        <w:t>Note: Panel (a) varies size covariate and support; panel (b) dates the event one year later. Firm-bootstrap 95% intervals; scored firms per event year in Table S6.</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S9.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sz w:val="18"/>
              </w:rPr>
              <w:t>Group</w:t>
            </w:r>
          </w:p>
        </w:tc>
        <w:tc>
          <w:tcPr>
            <w:tcW w:type="dxa" w:w="1872"/>
            <w:tcBorders>
              <w:top w:val="single" w:sz="6" w:color="000000"/>
              <w:bottom w:val="single" w:sz="6" w:color="000000"/>
            </w:tcBorders>
          </w:tcPr>
          <w:p>
            <w:pPr>
              <w:keepNext/>
              <w:spacing w:after="0" w:line="240" w:lineRule="auto"/>
              <w:jc w:val="center"/>
            </w:pPr>
            <w:r/>
            <w:r>
              <w:rPr>
                <w:b/>
                <w:sz w:val="18"/>
              </w:rPr>
              <w:t>Scored firm-cells</w:t>
            </w:r>
          </w:p>
        </w:tc>
        <w:tc>
          <w:tcPr>
            <w:tcW w:type="dxa" w:w="2304"/>
            <w:tcBorders>
              <w:top w:val="single" w:sz="6" w:color="000000"/>
              <w:bottom w:val="single" w:sz="6" w:color="000000"/>
            </w:tcBorders>
          </w:tcPr>
          <w:p>
            <w:pPr>
              <w:keepNext/>
              <w:spacing w:after="0" w:line="240" w:lineRule="auto"/>
              <w:jc w:val="center"/>
            </w:pPr>
            <w:r/>
            <w:r>
              <w:rPr>
                <w:b/>
                <w:sz w:val="18"/>
              </w:rPr>
              <w:t>Weight in the pooled estimate</w:t>
            </w:r>
          </w:p>
        </w:tc>
      </w:tr>
      <w:tr>
        <w:trPr>
          <w:cantSplit/>
        </w:trPr>
        <w:tc>
          <w:tcPr>
            <w:tcW w:type="dxa" w:w="4752"/>
          </w:tcPr>
          <w:p>
            <w:pPr>
              <w:keepNext/>
              <w:spacing w:after="0" w:line="240" w:lineRule="auto"/>
            </w:pPr>
            <w:r/>
            <w:r>
              <w:rPr>
                <w:sz w:val="18"/>
              </w:rPr>
              <w:t>Indonesia</w:t>
            </w:r>
          </w:p>
        </w:tc>
        <w:tc>
          <w:tcPr>
            <w:tcW w:type="dxa" w:w="1872"/>
          </w:tcPr>
          <w:p>
            <w:pPr>
              <w:keepNext/>
              <w:spacing w:after="0" w:line="240" w:lineRule="auto"/>
              <w:jc w:val="center"/>
            </w:pPr>
            <w:r/>
            <w:r>
              <w:rPr>
                <w:sz w:val="18"/>
              </w:rPr>
              <w:t>123</w:t>
            </w:r>
          </w:p>
        </w:tc>
        <w:tc>
          <w:tcPr>
            <w:tcW w:type="dxa" w:w="2304"/>
          </w:tcPr>
          <w:p>
            <w:pPr>
              <w:keepNext/>
              <w:spacing w:after="0" w:line="240" w:lineRule="auto"/>
              <w:jc w:val="center"/>
            </w:pPr>
            <w:r/>
            <w:r>
              <w:rPr>
                <w:sz w:val="18"/>
              </w:rPr>
              <w:t>0.063</w:t>
            </w:r>
          </w:p>
        </w:tc>
      </w:tr>
      <w:tr>
        <w:trPr>
          <w:cantSplit/>
        </w:trPr>
        <w:tc>
          <w:tcPr>
            <w:tcW w:type="dxa" w:w="4752"/>
          </w:tcPr>
          <w:p>
            <w:pPr>
              <w:keepNext/>
              <w:spacing w:after="0" w:line="240" w:lineRule="auto"/>
            </w:pPr>
            <w:r/>
            <w:r>
              <w:rPr>
                <w:sz w:val="18"/>
              </w:rPr>
              <w:t>Malaysia</w:t>
            </w:r>
          </w:p>
        </w:tc>
        <w:tc>
          <w:tcPr>
            <w:tcW w:type="dxa" w:w="1872"/>
          </w:tcPr>
          <w:p>
            <w:pPr>
              <w:keepNext/>
              <w:spacing w:after="0" w:line="240" w:lineRule="auto"/>
              <w:jc w:val="center"/>
            </w:pPr>
            <w:r/>
            <w:r>
              <w:rPr>
                <w:sz w:val="18"/>
              </w:rPr>
              <w:t>1,074</w:t>
            </w:r>
          </w:p>
        </w:tc>
        <w:tc>
          <w:tcPr>
            <w:tcW w:type="dxa" w:w="2304"/>
          </w:tcPr>
          <w:p>
            <w:pPr>
              <w:keepNext/>
              <w:spacing w:after="0" w:line="240" w:lineRule="auto"/>
              <w:jc w:val="center"/>
            </w:pPr>
            <w:r/>
            <w:r>
              <w:rPr>
                <w:sz w:val="18"/>
              </w:rPr>
              <w:t>0.552</w:t>
            </w:r>
          </w:p>
        </w:tc>
      </w:tr>
      <w:tr>
        <w:trPr>
          <w:cantSplit/>
        </w:trPr>
        <w:tc>
          <w:tcPr>
            <w:tcW w:type="dxa" w:w="4752"/>
          </w:tcPr>
          <w:p>
            <w:pPr>
              <w:keepNext/>
              <w:spacing w:after="0" w:line="240" w:lineRule="auto"/>
            </w:pPr>
            <w:r/>
            <w:r>
              <w:rPr>
                <w:sz w:val="18"/>
              </w:rPr>
              <w:t>Philippines</w:t>
            </w:r>
          </w:p>
        </w:tc>
        <w:tc>
          <w:tcPr>
            <w:tcW w:type="dxa" w:w="1872"/>
          </w:tcPr>
          <w:p>
            <w:pPr>
              <w:keepNext/>
              <w:spacing w:after="0" w:line="240" w:lineRule="auto"/>
              <w:jc w:val="center"/>
            </w:pPr>
            <w:r/>
            <w:r>
              <w:rPr>
                <w:sz w:val="18"/>
              </w:rPr>
              <w:t>52</w:t>
            </w:r>
          </w:p>
        </w:tc>
        <w:tc>
          <w:tcPr>
            <w:tcW w:type="dxa" w:w="2304"/>
          </w:tcPr>
          <w:p>
            <w:pPr>
              <w:keepNext/>
              <w:spacing w:after="0" w:line="240" w:lineRule="auto"/>
              <w:jc w:val="center"/>
            </w:pPr>
            <w:r/>
            <w:r>
              <w:rPr>
                <w:sz w:val="18"/>
              </w:rPr>
              <w:t>0.027</w:t>
            </w:r>
          </w:p>
        </w:tc>
      </w:tr>
      <w:tr>
        <w:trPr>
          <w:cantSplit/>
        </w:trPr>
        <w:tc>
          <w:tcPr>
            <w:tcW w:type="dxa" w:w="4752"/>
          </w:tcPr>
          <w:p>
            <w:pPr>
              <w:keepNext/>
              <w:spacing w:after="0" w:line="240" w:lineRule="auto"/>
            </w:pPr>
            <w:r/>
            <w:r>
              <w:rPr>
                <w:sz w:val="18"/>
              </w:rPr>
              <w:t>Singapore</w:t>
            </w:r>
          </w:p>
        </w:tc>
        <w:tc>
          <w:tcPr>
            <w:tcW w:type="dxa" w:w="1872"/>
          </w:tcPr>
          <w:p>
            <w:pPr>
              <w:keepNext/>
              <w:spacing w:after="0" w:line="240" w:lineRule="auto"/>
              <w:jc w:val="center"/>
            </w:pPr>
            <w:r/>
            <w:r>
              <w:rPr>
                <w:sz w:val="18"/>
              </w:rPr>
              <w:t>178</w:t>
            </w:r>
          </w:p>
        </w:tc>
        <w:tc>
          <w:tcPr>
            <w:tcW w:type="dxa" w:w="2304"/>
          </w:tcPr>
          <w:p>
            <w:pPr>
              <w:keepNext/>
              <w:spacing w:after="0" w:line="240" w:lineRule="auto"/>
              <w:jc w:val="center"/>
            </w:pPr>
            <w:r/>
            <w:r>
              <w:rPr>
                <w:sz w:val="18"/>
              </w:rPr>
              <w:t>0.091</w:t>
            </w:r>
          </w:p>
        </w:tc>
      </w:tr>
      <w:tr>
        <w:trPr>
          <w:cantSplit/>
        </w:trPr>
        <w:tc>
          <w:tcPr>
            <w:tcW w:type="dxa" w:w="4752"/>
          </w:tcPr>
          <w:p>
            <w:pPr>
              <w:keepNext/>
              <w:spacing w:after="0" w:line="240" w:lineRule="auto"/>
            </w:pPr>
            <w:r/>
            <w:r>
              <w:rPr>
                <w:sz w:val="18"/>
              </w:rPr>
              <w:t>Thailand</w:t>
            </w:r>
          </w:p>
        </w:tc>
        <w:tc>
          <w:tcPr>
            <w:tcW w:type="dxa" w:w="1872"/>
          </w:tcPr>
          <w:p>
            <w:pPr>
              <w:keepNext/>
              <w:spacing w:after="0" w:line="240" w:lineRule="auto"/>
              <w:jc w:val="center"/>
            </w:pPr>
            <w:r/>
            <w:r>
              <w:rPr>
                <w:sz w:val="18"/>
              </w:rPr>
              <w:t>519</w:t>
            </w:r>
          </w:p>
        </w:tc>
        <w:tc>
          <w:tcPr>
            <w:tcW w:type="dxa" w:w="2304"/>
          </w:tcPr>
          <w:p>
            <w:pPr>
              <w:keepNext/>
              <w:spacing w:after="0" w:line="240" w:lineRule="auto"/>
              <w:jc w:val="center"/>
            </w:pPr>
            <w:r/>
            <w:r>
              <w:rPr>
                <w:sz w:val="18"/>
              </w:rPr>
              <w:t>0.267</w:t>
            </w:r>
          </w:p>
        </w:tc>
      </w:tr>
      <w:tr>
        <w:trPr>
          <w:cantSplit/>
        </w:trPr>
        <w:tc>
          <w:tcPr>
            <w:tcW w:type="dxa" w:w="4752"/>
          </w:tcPr>
          <w:p>
            <w:pPr>
              <w:keepNext/>
              <w:spacing w:after="0" w:line="240" w:lineRule="auto"/>
            </w:pPr>
            <w:r/>
            <w:r>
              <w:rPr>
                <w:sz w:val="18"/>
              </w:rPr>
              <w:t>Malaysian wave (first recorded 2021–2022)</w:t>
            </w:r>
          </w:p>
        </w:tc>
        <w:tc>
          <w:tcPr>
            <w:tcW w:type="dxa" w:w="1872"/>
          </w:tcPr>
          <w:p>
            <w:pPr>
              <w:keepNext/>
              <w:spacing w:after="0" w:line="240" w:lineRule="auto"/>
              <w:jc w:val="center"/>
            </w:pPr>
            <w:r/>
            <w:r>
              <w:rPr>
                <w:sz w:val="18"/>
              </w:rPr>
              <w:t>858</w:t>
            </w:r>
          </w:p>
        </w:tc>
        <w:tc>
          <w:tcPr>
            <w:tcW w:type="dxa" w:w="2304"/>
          </w:tcPr>
          <w:p>
            <w:pPr>
              <w:keepNext/>
              <w:spacing w:after="0" w:line="240" w:lineRule="auto"/>
              <w:jc w:val="center"/>
            </w:pPr>
            <w:r/>
            <w:r>
              <w:rPr>
                <w:sz w:val="18"/>
              </w:rPr>
              <w:t>0.441</w:t>
            </w:r>
          </w:p>
        </w:tc>
      </w:tr>
      <w:tr>
        <w:trPr>
          <w:cantSplit/>
        </w:trPr>
        <w:tc>
          <w:tcPr>
            <w:tcW w:type="dxa" w:w="4752"/>
          </w:tcPr>
          <w:p>
            <w:pPr>
              <w:keepNext/>
              <w:spacing w:after="0" w:line="240" w:lineRule="auto"/>
            </w:pPr>
            <w:r/>
            <w:r>
              <w:rPr>
                <w:sz w:val="18"/>
              </w:rPr>
              <w:t>Thai and Singaporean wave (2019–2020)</w:t>
            </w:r>
          </w:p>
        </w:tc>
        <w:tc>
          <w:tcPr>
            <w:tcW w:type="dxa" w:w="1872"/>
          </w:tcPr>
          <w:p>
            <w:pPr>
              <w:keepNext/>
              <w:spacing w:after="0" w:line="240" w:lineRule="auto"/>
              <w:jc w:val="center"/>
            </w:pPr>
            <w:r/>
            <w:r>
              <w:rPr>
                <w:sz w:val="18"/>
              </w:rPr>
              <w:t>401</w:t>
            </w:r>
          </w:p>
        </w:tc>
        <w:tc>
          <w:tcPr>
            <w:tcW w:type="dxa" w:w="2304"/>
          </w:tcPr>
          <w:p>
            <w:pPr>
              <w:keepNext/>
              <w:spacing w:after="0" w:line="240" w:lineRule="auto"/>
              <w:jc w:val="center"/>
            </w:pPr>
            <w:r/>
            <w:r>
              <w:rPr>
                <w:sz w:val="18"/>
              </w:rPr>
              <w:t>0.206</w:t>
            </w:r>
          </w:p>
        </w:tc>
      </w:tr>
      <w:tr>
        <w:trPr>
          <w:cantSplit/>
        </w:trPr>
        <w:tc>
          <w:tcPr>
            <w:tcW w:type="dxa" w:w="4752"/>
          </w:tcPr>
          <w:p>
            <w:pPr>
              <w:keepNext/>
              <w:spacing w:after="0" w:line="240" w:lineRule="auto"/>
            </w:pPr>
            <w:r/>
            <w:r>
              <w:rPr>
                <w:sz w:val="18"/>
              </w:rPr>
              <w:t>All other cohorts</w:t>
            </w:r>
          </w:p>
        </w:tc>
        <w:tc>
          <w:tcPr>
            <w:tcW w:type="dxa" w:w="1872"/>
          </w:tcPr>
          <w:p>
            <w:pPr>
              <w:keepNext/>
              <w:spacing w:after="0" w:line="240" w:lineRule="auto"/>
              <w:jc w:val="center"/>
            </w:pPr>
            <w:r/>
            <w:r>
              <w:rPr>
                <w:sz w:val="18"/>
              </w:rPr>
              <w:t>687</w:t>
            </w:r>
          </w:p>
        </w:tc>
        <w:tc>
          <w:tcPr>
            <w:tcW w:type="dxa" w:w="2304"/>
          </w:tcPr>
          <w:p>
            <w:pPr>
              <w:keepNext/>
              <w:spacing w:after="0" w:line="240" w:lineRule="auto"/>
              <w:jc w:val="center"/>
            </w:pPr>
            <w:r/>
            <w:r>
              <w:rPr>
                <w:sz w:val="18"/>
              </w:rPr>
              <w:t>0.353</w:t>
            </w:r>
          </w:p>
        </w:tc>
      </w:tr>
      <w:tr>
        <w:trPr>
          <w:cantSplit/>
        </w:trPr>
        <w:tc>
          <w:tcPr>
            <w:tcW w:type="dxa" w:w="4752"/>
          </w:tcPr>
          <w:p>
            <w:pPr>
              <w:keepNext/>
              <w:spacing w:after="0" w:line="240" w:lineRule="auto"/>
            </w:pPr>
            <w:r/>
            <w:r>
              <w:rPr>
                <w:sz w:val="18"/>
              </w:rPr>
              <w:t>Calendar year 2015</w:t>
            </w:r>
          </w:p>
        </w:tc>
        <w:tc>
          <w:tcPr>
            <w:tcW w:type="dxa" w:w="1872"/>
          </w:tcPr>
          <w:p>
            <w:pPr>
              <w:keepNext/>
              <w:spacing w:after="0" w:line="240" w:lineRule="auto"/>
              <w:jc w:val="center"/>
            </w:pPr>
            <w:r/>
            <w:r>
              <w:rPr>
                <w:sz w:val="18"/>
              </w:rPr>
              <w:t>8</w:t>
            </w:r>
          </w:p>
        </w:tc>
        <w:tc>
          <w:tcPr>
            <w:tcW w:type="dxa" w:w="2304"/>
          </w:tcPr>
          <w:p>
            <w:pPr>
              <w:keepNext/>
              <w:spacing w:after="0" w:line="240" w:lineRule="auto"/>
              <w:jc w:val="center"/>
            </w:pPr>
            <w:r/>
            <w:r>
              <w:rPr>
                <w:sz w:val="18"/>
              </w:rPr>
              <w:t>0.004</w:t>
            </w:r>
          </w:p>
        </w:tc>
      </w:tr>
      <w:tr>
        <w:trPr>
          <w:cantSplit/>
        </w:trPr>
        <w:tc>
          <w:tcPr>
            <w:tcW w:type="dxa" w:w="4752"/>
          </w:tcPr>
          <w:p>
            <w:pPr>
              <w:keepNext/>
              <w:spacing w:after="0" w:line="240" w:lineRule="auto"/>
            </w:pPr>
            <w:r/>
            <w:r>
              <w:rPr>
                <w:sz w:val="18"/>
              </w:rPr>
              <w:t>Calendar year 2016</w:t>
            </w:r>
          </w:p>
        </w:tc>
        <w:tc>
          <w:tcPr>
            <w:tcW w:type="dxa" w:w="1872"/>
          </w:tcPr>
          <w:p>
            <w:pPr>
              <w:keepNext/>
              <w:spacing w:after="0" w:line="240" w:lineRule="auto"/>
              <w:jc w:val="center"/>
            </w:pPr>
            <w:r/>
            <w:r>
              <w:rPr>
                <w:sz w:val="18"/>
              </w:rPr>
              <w:t>16</w:t>
            </w:r>
          </w:p>
        </w:tc>
        <w:tc>
          <w:tcPr>
            <w:tcW w:type="dxa" w:w="2304"/>
          </w:tcPr>
          <w:p>
            <w:pPr>
              <w:keepNext/>
              <w:spacing w:after="0" w:line="240" w:lineRule="auto"/>
              <w:jc w:val="center"/>
            </w:pPr>
            <w:r/>
            <w:r>
              <w:rPr>
                <w:sz w:val="18"/>
              </w:rPr>
              <w:t>0.008</w:t>
            </w:r>
          </w:p>
        </w:tc>
      </w:tr>
      <w:tr>
        <w:trPr>
          <w:cantSplit/>
        </w:trPr>
        <w:tc>
          <w:tcPr>
            <w:tcW w:type="dxa" w:w="4752"/>
          </w:tcPr>
          <w:p>
            <w:pPr>
              <w:keepNext/>
              <w:spacing w:after="0" w:line="240" w:lineRule="auto"/>
            </w:pPr>
            <w:r/>
            <w:r>
              <w:rPr>
                <w:sz w:val="18"/>
              </w:rPr>
              <w:t>Calendar year 2017</w:t>
            </w:r>
          </w:p>
        </w:tc>
        <w:tc>
          <w:tcPr>
            <w:tcW w:type="dxa" w:w="1872"/>
          </w:tcPr>
          <w:p>
            <w:pPr>
              <w:keepNext/>
              <w:spacing w:after="0" w:line="240" w:lineRule="auto"/>
              <w:jc w:val="center"/>
            </w:pPr>
            <w:r/>
            <w:r>
              <w:rPr>
                <w:sz w:val="18"/>
              </w:rPr>
              <w:t>22</w:t>
            </w:r>
          </w:p>
        </w:tc>
        <w:tc>
          <w:tcPr>
            <w:tcW w:type="dxa" w:w="2304"/>
          </w:tcPr>
          <w:p>
            <w:pPr>
              <w:keepNext/>
              <w:spacing w:after="0" w:line="240" w:lineRule="auto"/>
              <w:jc w:val="center"/>
            </w:pPr>
            <w:r/>
            <w:r>
              <w:rPr>
                <w:sz w:val="18"/>
              </w:rPr>
              <w:t>0.011</w:t>
            </w:r>
          </w:p>
        </w:tc>
      </w:tr>
      <w:tr>
        <w:trPr>
          <w:cantSplit/>
        </w:trPr>
        <w:tc>
          <w:tcPr>
            <w:tcW w:type="dxa" w:w="4752"/>
          </w:tcPr>
          <w:p>
            <w:pPr>
              <w:keepNext/>
              <w:spacing w:after="0" w:line="240" w:lineRule="auto"/>
            </w:pPr>
            <w:r/>
            <w:r>
              <w:rPr>
                <w:sz w:val="18"/>
              </w:rPr>
              <w:t>Calendar year 2018</w:t>
            </w:r>
          </w:p>
        </w:tc>
        <w:tc>
          <w:tcPr>
            <w:tcW w:type="dxa" w:w="1872"/>
          </w:tcPr>
          <w:p>
            <w:pPr>
              <w:keepNext/>
              <w:spacing w:after="0" w:line="240" w:lineRule="auto"/>
              <w:jc w:val="center"/>
            </w:pPr>
            <w:r/>
            <w:r>
              <w:rPr>
                <w:sz w:val="18"/>
              </w:rPr>
              <w:t>28</w:t>
            </w:r>
          </w:p>
        </w:tc>
        <w:tc>
          <w:tcPr>
            <w:tcW w:type="dxa" w:w="2304"/>
          </w:tcPr>
          <w:p>
            <w:pPr>
              <w:keepNext/>
              <w:spacing w:after="0" w:line="240" w:lineRule="auto"/>
              <w:jc w:val="center"/>
            </w:pPr>
            <w:r/>
            <w:r>
              <w:rPr>
                <w:sz w:val="18"/>
              </w:rPr>
              <w:t>0.014</w:t>
            </w:r>
          </w:p>
        </w:tc>
      </w:tr>
      <w:tr>
        <w:trPr>
          <w:cantSplit/>
        </w:trPr>
        <w:tc>
          <w:tcPr>
            <w:tcW w:type="dxa" w:w="4752"/>
          </w:tcPr>
          <w:p>
            <w:pPr>
              <w:keepNext/>
              <w:spacing w:after="0" w:line="240" w:lineRule="auto"/>
            </w:pPr>
            <w:r/>
            <w:r>
              <w:rPr>
                <w:sz w:val="18"/>
              </w:rPr>
              <w:t>Calendar year 2019</w:t>
            </w:r>
          </w:p>
        </w:tc>
        <w:tc>
          <w:tcPr>
            <w:tcW w:type="dxa" w:w="1872"/>
          </w:tcPr>
          <w:p>
            <w:pPr>
              <w:keepNext/>
              <w:spacing w:after="0" w:line="240" w:lineRule="auto"/>
              <w:jc w:val="center"/>
            </w:pPr>
            <w:r/>
            <w:r>
              <w:rPr>
                <w:sz w:val="18"/>
              </w:rPr>
              <w:t>49</w:t>
            </w:r>
          </w:p>
        </w:tc>
        <w:tc>
          <w:tcPr>
            <w:tcW w:type="dxa" w:w="2304"/>
          </w:tcPr>
          <w:p>
            <w:pPr>
              <w:keepNext/>
              <w:spacing w:after="0" w:line="240" w:lineRule="auto"/>
              <w:jc w:val="center"/>
            </w:pPr>
            <w:r/>
            <w:r>
              <w:rPr>
                <w:sz w:val="18"/>
              </w:rPr>
              <w:t>0.025</w:t>
            </w:r>
          </w:p>
        </w:tc>
      </w:tr>
      <w:tr>
        <w:trPr>
          <w:cantSplit/>
        </w:trPr>
        <w:tc>
          <w:tcPr>
            <w:tcW w:type="dxa" w:w="4752"/>
          </w:tcPr>
          <w:p>
            <w:pPr>
              <w:keepNext/>
              <w:spacing w:after="0" w:line="240" w:lineRule="auto"/>
            </w:pPr>
            <w:r/>
            <w:r>
              <w:rPr>
                <w:sz w:val="18"/>
              </w:rPr>
              <w:t>Calendar year 2020</w:t>
            </w:r>
          </w:p>
        </w:tc>
        <w:tc>
          <w:tcPr>
            <w:tcW w:type="dxa" w:w="1872"/>
          </w:tcPr>
          <w:p>
            <w:pPr>
              <w:keepNext/>
              <w:spacing w:after="0" w:line="240" w:lineRule="auto"/>
              <w:jc w:val="center"/>
            </w:pPr>
            <w:r/>
            <w:r>
              <w:rPr>
                <w:sz w:val="18"/>
              </w:rPr>
              <w:t>126</w:t>
            </w:r>
          </w:p>
        </w:tc>
        <w:tc>
          <w:tcPr>
            <w:tcW w:type="dxa" w:w="2304"/>
          </w:tcPr>
          <w:p>
            <w:pPr>
              <w:keepNext/>
              <w:spacing w:after="0" w:line="240" w:lineRule="auto"/>
              <w:jc w:val="center"/>
            </w:pPr>
            <w:r/>
            <w:r>
              <w:rPr>
                <w:sz w:val="18"/>
              </w:rPr>
              <w:t>0.065</w:t>
            </w:r>
          </w:p>
        </w:tc>
      </w:tr>
      <w:tr>
        <w:trPr>
          <w:cantSplit/>
        </w:trPr>
        <w:tc>
          <w:tcPr>
            <w:tcW w:type="dxa" w:w="4752"/>
          </w:tcPr>
          <w:p>
            <w:pPr>
              <w:keepNext/>
              <w:spacing w:after="0" w:line="240" w:lineRule="auto"/>
            </w:pPr>
            <w:r/>
            <w:r>
              <w:rPr>
                <w:sz w:val="18"/>
              </w:rPr>
              <w:t>Calendar year 2021</w:t>
            </w:r>
          </w:p>
        </w:tc>
        <w:tc>
          <w:tcPr>
            <w:tcW w:type="dxa" w:w="1872"/>
          </w:tcPr>
          <w:p>
            <w:pPr>
              <w:keepNext/>
              <w:spacing w:after="0" w:line="240" w:lineRule="auto"/>
              <w:jc w:val="center"/>
            </w:pPr>
            <w:r/>
            <w:r>
              <w:rPr>
                <w:sz w:val="18"/>
              </w:rPr>
              <w:t>243</w:t>
            </w:r>
          </w:p>
        </w:tc>
        <w:tc>
          <w:tcPr>
            <w:tcW w:type="dxa" w:w="2304"/>
          </w:tcPr>
          <w:p>
            <w:pPr>
              <w:keepNext/>
              <w:spacing w:after="0" w:line="240" w:lineRule="auto"/>
              <w:jc w:val="center"/>
            </w:pPr>
            <w:r/>
            <w:r>
              <w:rPr>
                <w:sz w:val="18"/>
              </w:rPr>
              <w:t>0.125</w:t>
            </w:r>
          </w:p>
        </w:tc>
      </w:tr>
      <w:tr>
        <w:trPr>
          <w:cantSplit/>
        </w:trPr>
        <w:tc>
          <w:tcPr>
            <w:tcW w:type="dxa" w:w="4752"/>
          </w:tcPr>
          <w:p>
            <w:pPr>
              <w:keepNext/>
              <w:spacing w:after="0" w:line="240" w:lineRule="auto"/>
            </w:pPr>
            <w:r/>
            <w:r>
              <w:rPr>
                <w:sz w:val="18"/>
              </w:rPr>
              <w:t>Calendar year 2022</w:t>
            </w:r>
          </w:p>
        </w:tc>
        <w:tc>
          <w:tcPr>
            <w:tcW w:type="dxa" w:w="1872"/>
          </w:tcPr>
          <w:p>
            <w:pPr>
              <w:keepNext/>
              <w:spacing w:after="0" w:line="240" w:lineRule="auto"/>
              <w:jc w:val="center"/>
            </w:pPr>
            <w:r/>
            <w:r>
              <w:rPr>
                <w:sz w:val="18"/>
              </w:rPr>
              <w:t>454</w:t>
            </w:r>
          </w:p>
        </w:tc>
        <w:tc>
          <w:tcPr>
            <w:tcW w:type="dxa" w:w="2304"/>
          </w:tcPr>
          <w:p>
            <w:pPr>
              <w:keepNext/>
              <w:spacing w:after="0" w:line="240" w:lineRule="auto"/>
              <w:jc w:val="center"/>
            </w:pPr>
            <w:r/>
            <w:r>
              <w:rPr>
                <w:sz w:val="18"/>
              </w:rPr>
              <w:t>0.233</w:t>
            </w:r>
          </w:p>
        </w:tc>
      </w:tr>
      <w:tr>
        <w:trPr>
          <w:cantSplit/>
        </w:trPr>
        <w:tc>
          <w:tcPr>
            <w:tcW w:type="dxa" w:w="4752"/>
          </w:tcPr>
          <w:p>
            <w:pPr>
              <w:keepNext/>
              <w:spacing w:after="0" w:line="240" w:lineRule="auto"/>
            </w:pPr>
            <w:r/>
            <w:r>
              <w:rPr>
                <w:sz w:val="18"/>
              </w:rPr>
              <w:t>Calendar year 2023</w:t>
            </w:r>
          </w:p>
        </w:tc>
        <w:tc>
          <w:tcPr>
            <w:tcW w:type="dxa" w:w="1872"/>
          </w:tcPr>
          <w:p>
            <w:pPr>
              <w:keepNext/>
              <w:spacing w:after="0" w:line="240" w:lineRule="auto"/>
              <w:jc w:val="center"/>
            </w:pPr>
            <w:r/>
            <w:r>
              <w:rPr>
                <w:sz w:val="18"/>
              </w:rPr>
              <w:t>523</w:t>
            </w:r>
          </w:p>
        </w:tc>
        <w:tc>
          <w:tcPr>
            <w:tcW w:type="dxa" w:w="2304"/>
          </w:tcPr>
          <w:p>
            <w:pPr>
              <w:keepNext/>
              <w:spacing w:after="0" w:line="240" w:lineRule="auto"/>
              <w:jc w:val="center"/>
            </w:pPr>
            <w:r/>
            <w:r>
              <w:rPr>
                <w:sz w:val="18"/>
              </w:rPr>
              <w:t>0.269</w:t>
            </w:r>
          </w:p>
        </w:tc>
      </w:tr>
      <w:tr>
        <w:trPr>
          <w:cantSplit/>
        </w:trPr>
        <w:tc>
          <w:tcPr>
            <w:tcW w:type="dxa" w:w="4752"/>
            <w:tcBorders>
              <w:bottom w:val="single" w:sz="6" w:color="000000"/>
            </w:tcBorders>
          </w:tcPr>
          <w:p>
            <w:pPr>
              <w:spacing w:after="0" w:line="240" w:lineRule="auto"/>
            </w:pPr>
            <w:r/>
            <w:r>
              <w:rPr>
                <w:sz w:val="18"/>
              </w:rPr>
              <w:t>Calendar year 2024</w:t>
            </w:r>
          </w:p>
        </w:tc>
        <w:tc>
          <w:tcPr>
            <w:tcW w:type="dxa" w:w="1872"/>
            <w:tcBorders>
              <w:bottom w:val="single" w:sz="6" w:color="000000"/>
            </w:tcBorders>
          </w:tcPr>
          <w:p>
            <w:pPr>
              <w:spacing w:after="0" w:line="240" w:lineRule="auto"/>
              <w:jc w:val="center"/>
            </w:pPr>
            <w:r/>
            <w:r>
              <w:rPr>
                <w:sz w:val="18"/>
              </w:rPr>
              <w:t>477</w:t>
            </w:r>
          </w:p>
        </w:tc>
        <w:tc>
          <w:tcPr>
            <w:tcW w:type="dxa" w:w="2304"/>
            <w:tcBorders>
              <w:bottom w:val="single" w:sz="6" w:color="000000"/>
            </w:tcBorders>
          </w:tcPr>
          <w:p>
            <w:pPr>
              <w:spacing w:after="0" w:line="240" w:lineRule="auto"/>
              <w:jc w:val="center"/>
            </w:pPr>
            <w:r/>
            <w:r>
              <w:rPr>
                <w:sz w:val="18"/>
              </w:rPr>
              <w:t>0.245</w:t>
            </w:r>
          </w:p>
        </w:tc>
      </w:tr>
    </w:tbl>
    <w:p>
      <w:pPr>
        <w:keepNext/>
        <w:spacing w:line="240" w:lineRule="auto" w:after="40" w:before="80"/>
        <w:jc w:val="both"/>
      </w:pPr>
      <w:r>
        <w:rPr>
          <w:sz w:val="18"/>
        </w:rPr>
        <w:t>Note: Scored firm-cells count each scored firm once in every post-coverage cell (event years 0 to 3) of the baseline ln(MTB) estimate; weights are their shares (Eq. 6).</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S10.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Wave</w:t>
            </w:r>
          </w:p>
        </w:tc>
        <w:tc>
          <w:tcPr>
            <w:tcW w:type="dxa" w:w="1656"/>
            <w:tcBorders>
              <w:top w:val="single" w:sz="6" w:color="000000"/>
              <w:bottom w:val="single" w:sz="6" w:color="000000"/>
            </w:tcBorders>
          </w:tcPr>
          <w:p>
            <w:pPr>
              <w:keepNext/>
              <w:spacing w:after="0" w:line="240" w:lineRule="auto"/>
              <w:jc w:val="center"/>
            </w:pPr>
            <w:r/>
            <w:r>
              <w:rPr>
                <w:b/>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sz w:val="18"/>
              </w:rPr>
              <w:t>One year later, ln(MTB)</w:t>
            </w:r>
          </w:p>
        </w:tc>
        <w:tc>
          <w:tcPr>
            <w:tcW w:type="dxa" w:w="1656"/>
            <w:tcBorders>
              <w:top w:val="single" w:sz="6" w:color="000000"/>
              <w:bottom w:val="single" w:sz="6" w:color="000000"/>
            </w:tcBorders>
          </w:tcPr>
          <w:p>
            <w:pPr>
              <w:keepNext/>
              <w:spacing w:after="0" w:line="240" w:lineRule="auto"/>
              <w:jc w:val="center"/>
            </w:pPr>
            <w:r/>
            <w:r>
              <w:rPr>
                <w:b/>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sz w:val="18"/>
              </w:rPr>
              <w:t>One year later, ln(market cap)</w:t>
            </w:r>
          </w:p>
        </w:tc>
      </w:tr>
      <w:tr>
        <w:trPr>
          <w:cantSplit/>
        </w:trPr>
        <w:tc>
          <w:tcPr>
            <w:tcW w:type="dxa" w:w="2736"/>
          </w:tcPr>
          <w:p>
            <w:pPr>
              <w:keepNext/>
              <w:spacing w:after="0" w:line="240" w:lineRule="auto"/>
            </w:pPr>
            <w:r/>
            <w:r>
              <w:rPr>
                <w:sz w:val="18"/>
              </w:rPr>
              <w:t>Malaysian wave (first recorded 2021–2022)</w:t>
            </w:r>
          </w:p>
        </w:tc>
        <w:tc>
          <w:tcPr>
            <w:tcW w:type="dxa" w:w="1656"/>
          </w:tcPr>
          <w:p>
            <w:pPr>
              <w:keepNext/>
              <w:spacing w:after="0" w:line="240" w:lineRule="auto"/>
              <w:jc w:val="center"/>
            </w:pPr>
            <w:r/>
            <w:r>
              <w:rPr>
                <w:sz w:val="18"/>
              </w:rPr>
              <w:t>0.021</w:t>
            </w:r>
            <w:r>
              <w:br/>
            </w:r>
            <w:r>
              <w:rPr>
                <w:sz w:val="18"/>
              </w:rPr>
              <w:t>(0.037)</w:t>
            </w:r>
          </w:p>
        </w:tc>
        <w:tc>
          <w:tcPr>
            <w:tcW w:type="dxa" w:w="1656"/>
          </w:tcPr>
          <w:p>
            <w:pPr>
              <w:keepNext/>
              <w:spacing w:after="0" w:line="240" w:lineRule="auto"/>
              <w:jc w:val="center"/>
            </w:pPr>
            <w:r/>
            <w:r>
              <w:rPr>
                <w:sz w:val="18"/>
              </w:rPr>
              <w:t>0.012</w:t>
            </w:r>
            <w:r>
              <w:br/>
            </w:r>
            <w:r>
              <w:rPr>
                <w:sz w:val="18"/>
              </w:rPr>
              <w:t>(0.033)</w:t>
            </w:r>
          </w:p>
        </w:tc>
        <w:tc>
          <w:tcPr>
            <w:tcW w:type="dxa" w:w="1656"/>
          </w:tcPr>
          <w:p>
            <w:pPr>
              <w:keepNext/>
              <w:spacing w:after="0" w:line="240" w:lineRule="auto"/>
              <w:jc w:val="center"/>
            </w:pPr>
            <w:r/>
            <w:r>
              <w:rPr>
                <w:sz w:val="18"/>
              </w:rPr>
              <w:t>−0.146***</w:t>
            </w:r>
            <w:r>
              <w:br/>
            </w:r>
            <w:r>
              <w:rPr>
                <w:sz w:val="18"/>
              </w:rPr>
              <w:t>(0.051)</w:t>
            </w:r>
          </w:p>
        </w:tc>
        <w:tc>
          <w:tcPr>
            <w:tcW w:type="dxa" w:w="1656"/>
          </w:tcPr>
          <w:p>
            <w:pPr>
              <w:keepNext/>
              <w:spacing w:after="0" w:line="240" w:lineRule="auto"/>
              <w:jc w:val="center"/>
            </w:pPr>
            <w:r/>
            <w:r>
              <w:rPr>
                <w:sz w:val="18"/>
              </w:rPr>
              <w:t>−0.094*</w:t>
            </w:r>
            <w:r>
              <w:br/>
            </w:r>
            <w:r>
              <w:rPr>
                <w:sz w:val="18"/>
              </w:rPr>
              <w:t>(0.052)</w:t>
            </w:r>
          </w:p>
        </w:tc>
      </w:tr>
      <w:tr>
        <w:trPr>
          <w:cantSplit/>
        </w:trPr>
        <w:tc>
          <w:tcPr>
            <w:tcW w:type="dxa" w:w="2736"/>
          </w:tcPr>
          <w:p>
            <w:pPr>
              <w:keepNext/>
              <w:spacing w:after="0" w:line="240" w:lineRule="auto"/>
            </w:pPr>
            <w:r/>
            <w:r>
              <w:rPr>
                <w:sz w:val="18"/>
              </w:rPr>
              <w:t>Thai and Singaporean wave (2019–2020)</w:t>
            </w:r>
          </w:p>
        </w:tc>
        <w:tc>
          <w:tcPr>
            <w:tcW w:type="dxa" w:w="1656"/>
          </w:tcPr>
          <w:p>
            <w:pPr>
              <w:keepNext/>
              <w:spacing w:after="0" w:line="240" w:lineRule="auto"/>
              <w:jc w:val="center"/>
            </w:pPr>
            <w:r/>
            <w:r>
              <w:rPr>
                <w:sz w:val="18"/>
              </w:rPr>
              <w:t>−0.009</w:t>
            </w:r>
            <w:r>
              <w:br/>
            </w:r>
            <w:r>
              <w:rPr>
                <w:sz w:val="18"/>
              </w:rPr>
              <w:t>(0.048)</w:t>
            </w:r>
          </w:p>
        </w:tc>
        <w:tc>
          <w:tcPr>
            <w:tcW w:type="dxa" w:w="1656"/>
          </w:tcPr>
          <w:p>
            <w:pPr>
              <w:keepNext/>
              <w:spacing w:after="0" w:line="240" w:lineRule="auto"/>
              <w:jc w:val="center"/>
            </w:pPr>
            <w:r/>
            <w:r>
              <w:rPr>
                <w:sz w:val="18"/>
              </w:rPr>
              <w:t>−0.136***</w:t>
            </w:r>
            <w:r>
              <w:br/>
            </w:r>
            <w:r>
              <w:rPr>
                <w:sz w:val="18"/>
              </w:rPr>
              <w:t>(0.046)</w:t>
            </w:r>
          </w:p>
        </w:tc>
        <w:tc>
          <w:tcPr>
            <w:tcW w:type="dxa" w:w="1656"/>
          </w:tcPr>
          <w:p>
            <w:pPr>
              <w:keepNext/>
              <w:spacing w:after="0" w:line="240" w:lineRule="auto"/>
              <w:jc w:val="center"/>
            </w:pPr>
            <w:r/>
            <w:r>
              <w:rPr>
                <w:sz w:val="18"/>
              </w:rPr>
              <w:t>0.041</w:t>
            </w:r>
            <w:r>
              <w:br/>
            </w:r>
            <w:r>
              <w:rPr>
                <w:sz w:val="18"/>
              </w:rPr>
              <w:t>(0.052)</w:t>
            </w:r>
          </w:p>
        </w:tc>
        <w:tc>
          <w:tcPr>
            <w:tcW w:type="dxa" w:w="1656"/>
          </w:tcPr>
          <w:p>
            <w:pPr>
              <w:keepNext/>
              <w:spacing w:after="0" w:line="240" w:lineRule="auto"/>
              <w:jc w:val="center"/>
            </w:pPr>
            <w:r/>
            <w:r>
              <w:rPr>
                <w:sz w:val="18"/>
              </w:rPr>
              <w:t>−0.038</w:t>
            </w:r>
            <w:r>
              <w:br/>
            </w:r>
            <w:r>
              <w:rPr>
                <w:sz w:val="18"/>
              </w:rPr>
              <w:t>(0.053)</w:t>
            </w:r>
          </w:p>
        </w:tc>
      </w:tr>
      <w:tr>
        <w:trPr>
          <w:cantSplit/>
        </w:trPr>
        <w:tc>
          <w:tcPr>
            <w:tcW w:type="dxa" w:w="2736"/>
            <w:tcBorders>
              <w:bottom w:val="single" w:sz="6" w:color="000000"/>
            </w:tcBorders>
          </w:tcPr>
          <w:p>
            <w:pPr>
              <w:spacing w:after="0" w:line="240" w:lineRule="auto"/>
            </w:pPr>
            <w:r/>
            <w:r>
              <w:rPr>
                <w:sz w:val="18"/>
              </w:rPr>
              <w:t>All other cohorts</w:t>
            </w:r>
          </w:p>
        </w:tc>
        <w:tc>
          <w:tcPr>
            <w:tcW w:type="dxa" w:w="1656"/>
            <w:tcBorders>
              <w:bottom w:val="single" w:sz="6" w:color="000000"/>
            </w:tcBorders>
          </w:tcPr>
          <w:p>
            <w:pPr>
              <w:spacing w:after="0" w:line="240" w:lineRule="auto"/>
              <w:jc w:val="center"/>
            </w:pPr>
            <w:r/>
            <w:r>
              <w:rPr>
                <w:sz w:val="18"/>
              </w:rPr>
              <w:t>−0.016</w:t>
            </w:r>
            <w:r>
              <w:br/>
            </w:r>
            <w:r>
              <w:rPr>
                <w:sz w:val="18"/>
              </w:rPr>
              <w:t>(0.034)</w:t>
            </w:r>
          </w:p>
        </w:tc>
        <w:tc>
          <w:tcPr>
            <w:tcW w:type="dxa" w:w="1656"/>
            <w:tcBorders>
              <w:bottom w:val="single" w:sz="6" w:color="000000"/>
            </w:tcBorders>
          </w:tcPr>
          <w:p>
            <w:pPr>
              <w:spacing w:after="0" w:line="240" w:lineRule="auto"/>
              <w:jc w:val="center"/>
            </w:pPr>
            <w:r/>
            <w:r>
              <w:rPr>
                <w:sz w:val="18"/>
              </w:rPr>
              <w:t>−0.111***</w:t>
            </w:r>
            <w:r>
              <w:br/>
            </w:r>
            <w:r>
              <w:rPr>
                <w:sz w:val="18"/>
              </w:rPr>
              <w:t>(0.037)</w:t>
            </w:r>
          </w:p>
        </w:tc>
        <w:tc>
          <w:tcPr>
            <w:tcW w:type="dxa" w:w="1656"/>
            <w:tcBorders>
              <w:bottom w:val="single" w:sz="6" w:color="000000"/>
            </w:tcBorders>
          </w:tcPr>
          <w:p>
            <w:pPr>
              <w:spacing w:after="0" w:line="240" w:lineRule="auto"/>
              <w:jc w:val="center"/>
            </w:pPr>
            <w:r/>
            <w:r>
              <w:rPr>
                <w:sz w:val="18"/>
              </w:rPr>
              <w:t>0.005</w:t>
            </w:r>
            <w:r>
              <w:br/>
            </w:r>
            <w:r>
              <w:rPr>
                <w:sz w:val="18"/>
              </w:rPr>
              <w:t>(0.037)</w:t>
            </w:r>
          </w:p>
        </w:tc>
        <w:tc>
          <w:tcPr>
            <w:tcW w:type="dxa" w:w="1656"/>
            <w:tcBorders>
              <w:bottom w:val="single" w:sz="6" w:color="000000"/>
            </w:tcBorders>
          </w:tcPr>
          <w:p>
            <w:pPr>
              <w:spacing w:after="0" w:line="240" w:lineRule="auto"/>
              <w:jc w:val="center"/>
            </w:pPr>
            <w:r/>
            <w:r>
              <w:rPr>
                <w:sz w:val="18"/>
              </w:rPr>
              <w:t>−0.076*</w:t>
            </w:r>
            <w:r>
              <w:br/>
            </w:r>
            <w:r>
              <w:rPr>
                <w:sz w:val="18"/>
              </w:rPr>
              <w:t>(0.040)</w:t>
            </w:r>
          </w:p>
        </w:tc>
      </w:tr>
    </w:tbl>
    <w:p>
      <w:pPr>
        <w:keepNext/>
        <w:spacing w:line="240" w:lineRule="auto" w:after="40" w:before="80"/>
        <w:jc w:val="both"/>
      </w:pPr>
      <w:r>
        <w:rPr>
          <w:sz w:val="18"/>
        </w:rPr>
        <w:t>Note: Average change over event years 0 to 3 for each wave against all never-scored firms, with firm-bootstrap standard errors in parentheses. *, **, ***: 10%, 5%,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S11.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sz w:val="18"/>
              </w:rPr>
              <w:t>Characteristic</w:t>
            </w:r>
          </w:p>
        </w:tc>
        <w:tc>
          <w:tcPr>
            <w:tcW w:type="dxa" w:w="1512"/>
            <w:tcBorders>
              <w:top w:val="single" w:sz="6" w:color="000000"/>
              <w:bottom w:val="single" w:sz="6" w:color="000000"/>
            </w:tcBorders>
          </w:tcPr>
          <w:p>
            <w:pPr>
              <w:keepNext/>
              <w:spacing w:after="0" w:line="240" w:lineRule="auto"/>
              <w:jc w:val="center"/>
            </w:pPr>
            <w:r/>
            <w:r>
              <w:rPr>
                <w:b/>
                <w:sz w:val="18"/>
              </w:rPr>
              <w:t>Scored, MTB observed</w:t>
            </w:r>
          </w:p>
        </w:tc>
        <w:tc>
          <w:tcPr>
            <w:tcW w:type="dxa" w:w="1512"/>
            <w:tcBorders>
              <w:top w:val="single" w:sz="6" w:color="000000"/>
              <w:bottom w:val="single" w:sz="6" w:color="000000"/>
            </w:tcBorders>
          </w:tcPr>
          <w:p>
            <w:pPr>
              <w:keepNext/>
              <w:spacing w:after="0" w:line="240" w:lineRule="auto"/>
              <w:jc w:val="center"/>
            </w:pPr>
            <w:r/>
            <w:r>
              <w:rPr>
                <w:b/>
                <w:sz w:val="18"/>
              </w:rPr>
              <w:t>Scored, MTB missing</w:t>
            </w:r>
          </w:p>
        </w:tc>
        <w:tc>
          <w:tcPr>
            <w:tcW w:type="dxa" w:w="1584"/>
            <w:tcBorders>
              <w:top w:val="single" w:sz="6" w:color="000000"/>
              <w:bottom w:val="single" w:sz="6" w:color="000000"/>
            </w:tcBorders>
          </w:tcPr>
          <w:p>
            <w:pPr>
              <w:keepNext/>
              <w:spacing w:after="0" w:line="240" w:lineRule="auto"/>
              <w:jc w:val="center"/>
            </w:pPr>
            <w:r/>
            <w:r>
              <w:rPr>
                <w:b/>
                <w:sz w:val="18"/>
              </w:rPr>
              <w:t>Never-scored, MTB observed</w:t>
            </w:r>
          </w:p>
        </w:tc>
        <w:tc>
          <w:tcPr>
            <w:tcW w:type="dxa" w:w="1584"/>
            <w:tcBorders>
              <w:top w:val="single" w:sz="6" w:color="000000"/>
              <w:bottom w:val="single" w:sz="6" w:color="000000"/>
            </w:tcBorders>
          </w:tcPr>
          <w:p>
            <w:pPr>
              <w:keepNext/>
              <w:spacing w:after="0" w:line="240" w:lineRule="auto"/>
              <w:jc w:val="center"/>
            </w:pPr>
            <w:r/>
            <w:r>
              <w:rPr>
                <w:b/>
                <w:sz w:val="18"/>
              </w:rPr>
              <w:t>Never-scored, MTB missing</w:t>
            </w:r>
          </w:p>
        </w:tc>
      </w:tr>
      <w:tr>
        <w:trPr>
          <w:cantSplit/>
        </w:trPr>
        <w:tc>
          <w:tcPr>
            <w:tcW w:type="dxa" w:w="3168"/>
          </w:tcPr>
          <w:p>
            <w:pPr>
              <w:keepNext/>
              <w:spacing w:after="0" w:line="240" w:lineRule="auto"/>
            </w:pPr>
            <w:r/>
            <w:r>
              <w:rPr>
                <w:sz w:val="18"/>
              </w:rPr>
              <w:t>Firm-years</w:t>
            </w:r>
          </w:p>
        </w:tc>
        <w:tc>
          <w:tcPr>
            <w:tcW w:type="dxa" w:w="1512"/>
          </w:tcPr>
          <w:p>
            <w:pPr>
              <w:keepNext/>
              <w:spacing w:after="0" w:line="240" w:lineRule="auto"/>
              <w:jc w:val="center"/>
            </w:pPr>
            <w:r/>
            <w:r>
              <w:rPr>
                <w:sz w:val="18"/>
              </w:rPr>
              <w:t>6,482</w:t>
            </w:r>
          </w:p>
        </w:tc>
        <w:tc>
          <w:tcPr>
            <w:tcW w:type="dxa" w:w="1512"/>
          </w:tcPr>
          <w:p>
            <w:pPr>
              <w:keepNext/>
              <w:spacing w:after="0" w:line="240" w:lineRule="auto"/>
              <w:jc w:val="center"/>
            </w:pPr>
            <w:r/>
            <w:r>
              <w:rPr>
                <w:sz w:val="18"/>
              </w:rPr>
              <w:t>943</w:t>
            </w:r>
          </w:p>
        </w:tc>
        <w:tc>
          <w:tcPr>
            <w:tcW w:type="dxa" w:w="1584"/>
          </w:tcPr>
          <w:p>
            <w:pPr>
              <w:keepNext/>
              <w:spacing w:after="0" w:line="240" w:lineRule="auto"/>
              <w:jc w:val="center"/>
            </w:pPr>
            <w:r/>
            <w:r>
              <w:rPr>
                <w:sz w:val="18"/>
              </w:rPr>
              <w:t>20,706</w:t>
            </w:r>
          </w:p>
        </w:tc>
        <w:tc>
          <w:tcPr>
            <w:tcW w:type="dxa" w:w="1584"/>
          </w:tcPr>
          <w:p>
            <w:pPr>
              <w:keepNext/>
              <w:spacing w:after="0" w:line="240" w:lineRule="auto"/>
              <w:jc w:val="center"/>
            </w:pPr>
            <w:r/>
            <w:r>
              <w:rPr>
                <w:sz w:val="18"/>
              </w:rPr>
              <w:t>8,037</w:t>
            </w:r>
          </w:p>
        </w:tc>
      </w:tr>
      <w:tr>
        <w:trPr>
          <w:cantSplit/>
        </w:trPr>
        <w:tc>
          <w:tcPr>
            <w:tcW w:type="dxa" w:w="3168"/>
          </w:tcPr>
          <w:p>
            <w:pPr>
              <w:keepNext/>
              <w:spacing w:after="0" w:line="240" w:lineRule="auto"/>
            </w:pPr>
            <w:r/>
            <w:r>
              <w:rPr>
                <w:sz w:val="18"/>
              </w:rPr>
              <w:t>Median total assets (USD million)</w:t>
            </w:r>
          </w:p>
        </w:tc>
        <w:tc>
          <w:tcPr>
            <w:tcW w:type="dxa" w:w="1512"/>
          </w:tcPr>
          <w:p>
            <w:pPr>
              <w:keepNext/>
              <w:spacing w:after="0" w:line="240" w:lineRule="auto"/>
              <w:jc w:val="center"/>
            </w:pPr>
            <w:r/>
            <w:r>
              <w:rPr>
                <w:sz w:val="18"/>
              </w:rPr>
              <w:t>267.9</w:t>
            </w:r>
          </w:p>
        </w:tc>
        <w:tc>
          <w:tcPr>
            <w:tcW w:type="dxa" w:w="1512"/>
          </w:tcPr>
          <w:p>
            <w:pPr>
              <w:keepNext/>
              <w:spacing w:after="0" w:line="240" w:lineRule="auto"/>
              <w:jc w:val="center"/>
            </w:pPr>
            <w:r/>
            <w:r>
              <w:rPr>
                <w:sz w:val="18"/>
              </w:rPr>
              <w:t>76.4</w:t>
            </w:r>
          </w:p>
        </w:tc>
        <w:tc>
          <w:tcPr>
            <w:tcW w:type="dxa" w:w="1584"/>
          </w:tcPr>
          <w:p>
            <w:pPr>
              <w:keepNext/>
              <w:spacing w:after="0" w:line="240" w:lineRule="auto"/>
              <w:jc w:val="center"/>
            </w:pPr>
            <w:r/>
            <w:r>
              <w:rPr>
                <w:sz w:val="18"/>
              </w:rPr>
              <w:t>84.1</w:t>
            </w:r>
          </w:p>
        </w:tc>
        <w:tc>
          <w:tcPr>
            <w:tcW w:type="dxa" w:w="1584"/>
          </w:tcPr>
          <w:p>
            <w:pPr>
              <w:keepNext/>
              <w:spacing w:after="0" w:line="240" w:lineRule="auto"/>
              <w:jc w:val="center"/>
            </w:pPr>
            <w:r/>
            <w:r>
              <w:rPr>
                <w:sz w:val="18"/>
              </w:rPr>
              <w:t>20.8</w:t>
            </w:r>
          </w:p>
        </w:tc>
      </w:tr>
      <w:tr>
        <w:trPr>
          <w:cantSplit/>
        </w:trPr>
        <w:tc>
          <w:tcPr>
            <w:tcW w:type="dxa" w:w="3168"/>
          </w:tcPr>
          <w:p>
            <w:pPr>
              <w:keepNext/>
              <w:spacing w:after="0" w:line="240" w:lineRule="auto"/>
            </w:pPr>
            <w:r/>
            <w:r>
              <w:rPr>
                <w:sz w:val="18"/>
              </w:rPr>
              <w:t>Median market capitalization (USD million)</w:t>
            </w:r>
          </w:p>
        </w:tc>
        <w:tc>
          <w:tcPr>
            <w:tcW w:type="dxa" w:w="1512"/>
          </w:tcPr>
          <w:p>
            <w:pPr>
              <w:keepNext/>
              <w:spacing w:after="0" w:line="240" w:lineRule="auto"/>
              <w:jc w:val="center"/>
            </w:pPr>
            <w:r/>
            <w:r>
              <w:rPr>
                <w:sz w:val="18"/>
              </w:rPr>
              <w:t>185.8</w:t>
            </w:r>
          </w:p>
        </w:tc>
        <w:tc>
          <w:tcPr>
            <w:tcW w:type="dxa" w:w="1512"/>
          </w:tcPr>
          <w:p>
            <w:pPr>
              <w:keepNext/>
              <w:spacing w:after="0" w:line="240" w:lineRule="auto"/>
              <w:jc w:val="center"/>
            </w:pPr>
            <w:r/>
            <w:r>
              <w:rPr>
                <w:sz w:val="18"/>
              </w:rPr>
              <w:t>63.5</w:t>
            </w:r>
          </w:p>
        </w:tc>
        <w:tc>
          <w:tcPr>
            <w:tcW w:type="dxa" w:w="1584"/>
          </w:tcPr>
          <w:p>
            <w:pPr>
              <w:keepNext/>
              <w:spacing w:after="0" w:line="240" w:lineRule="auto"/>
              <w:jc w:val="center"/>
            </w:pPr>
            <w:r/>
            <w:r>
              <w:rPr>
                <w:sz w:val="18"/>
              </w:rPr>
              <w:t>44.6</w:t>
            </w:r>
          </w:p>
        </w:tc>
        <w:tc>
          <w:tcPr>
            <w:tcW w:type="dxa" w:w="1584"/>
          </w:tcPr>
          <w:p>
            <w:pPr>
              <w:keepNext/>
              <w:spacing w:after="0" w:line="240" w:lineRule="auto"/>
              <w:jc w:val="center"/>
            </w:pPr>
            <w:r/>
            <w:r>
              <w:rPr>
                <w:sz w:val="18"/>
              </w:rPr>
              <w:t>19.0</w:t>
            </w:r>
          </w:p>
        </w:tc>
      </w:tr>
      <w:tr>
        <w:trPr>
          <w:cantSplit/>
        </w:trPr>
        <w:tc>
          <w:tcPr>
            <w:tcW w:type="dxa" w:w="3168"/>
          </w:tcPr>
          <w:p>
            <w:pPr>
              <w:keepNext/>
              <w:spacing w:after="0" w:line="240" w:lineRule="auto"/>
            </w:pPr>
            <w:r/>
            <w:r>
              <w:rPr>
                <w:sz w:val="18"/>
              </w:rPr>
              <w:t>Mean book leverage</w:t>
            </w:r>
          </w:p>
        </w:tc>
        <w:tc>
          <w:tcPr>
            <w:tcW w:type="dxa" w:w="1512"/>
          </w:tcPr>
          <w:p>
            <w:pPr>
              <w:keepNext/>
              <w:spacing w:after="0" w:line="240" w:lineRule="auto"/>
              <w:jc w:val="center"/>
            </w:pPr>
            <w:r/>
            <w:r>
              <w:rPr>
                <w:sz w:val="18"/>
              </w:rPr>
              <w:t>0.236</w:t>
            </w:r>
          </w:p>
        </w:tc>
        <w:tc>
          <w:tcPr>
            <w:tcW w:type="dxa" w:w="1512"/>
          </w:tcPr>
          <w:p>
            <w:pPr>
              <w:keepNext/>
              <w:spacing w:after="0" w:line="240" w:lineRule="auto"/>
              <w:jc w:val="center"/>
            </w:pPr>
            <w:r/>
            <w:r>
              <w:rPr>
                <w:sz w:val="18"/>
              </w:rPr>
              <w:t>0.307</w:t>
            </w:r>
          </w:p>
        </w:tc>
        <w:tc>
          <w:tcPr>
            <w:tcW w:type="dxa" w:w="1584"/>
          </w:tcPr>
          <w:p>
            <w:pPr>
              <w:keepNext/>
              <w:spacing w:after="0" w:line="240" w:lineRule="auto"/>
              <w:jc w:val="center"/>
            </w:pPr>
            <w:r/>
            <w:r>
              <w:rPr>
                <w:sz w:val="18"/>
              </w:rPr>
              <w:t>0.222</w:t>
            </w:r>
          </w:p>
        </w:tc>
        <w:tc>
          <w:tcPr>
            <w:tcW w:type="dxa" w:w="1584"/>
          </w:tcPr>
          <w:p>
            <w:pPr>
              <w:keepNext/>
              <w:spacing w:after="0" w:line="240" w:lineRule="auto"/>
              <w:jc w:val="center"/>
            </w:pPr>
            <w:r/>
            <w:r>
              <w:rPr>
                <w:sz w:val="18"/>
              </w:rPr>
              <w:t>0.339</w:t>
            </w:r>
          </w:p>
        </w:tc>
      </w:tr>
      <w:tr>
        <w:trPr>
          <w:cantSplit/>
        </w:trPr>
        <w:tc>
          <w:tcPr>
            <w:tcW w:type="dxa" w:w="3168"/>
          </w:tcPr>
          <w:p>
            <w:pPr>
              <w:keepNext/>
              <w:spacing w:after="0" w:line="240" w:lineRule="auto"/>
            </w:pPr>
            <w:r/>
            <w:r>
              <w:rPr>
                <w:sz w:val="18"/>
              </w:rPr>
              <w:t>Share with leverage above 0.5</w:t>
            </w:r>
          </w:p>
        </w:tc>
        <w:tc>
          <w:tcPr>
            <w:tcW w:type="dxa" w:w="1512"/>
          </w:tcPr>
          <w:p>
            <w:pPr>
              <w:keepNext/>
              <w:spacing w:after="0" w:line="240" w:lineRule="auto"/>
              <w:jc w:val="center"/>
            </w:pPr>
            <w:r/>
            <w:r>
              <w:rPr>
                <w:sz w:val="18"/>
              </w:rPr>
              <w:t>0.08</w:t>
            </w:r>
          </w:p>
        </w:tc>
        <w:tc>
          <w:tcPr>
            <w:tcW w:type="dxa" w:w="1512"/>
          </w:tcPr>
          <w:p>
            <w:pPr>
              <w:keepNext/>
              <w:spacing w:after="0" w:line="240" w:lineRule="auto"/>
              <w:jc w:val="center"/>
            </w:pPr>
            <w:r/>
            <w:r>
              <w:rPr>
                <w:sz w:val="18"/>
              </w:rPr>
              <w:t>0.15</w:t>
            </w:r>
          </w:p>
        </w:tc>
        <w:tc>
          <w:tcPr>
            <w:tcW w:type="dxa" w:w="1584"/>
          </w:tcPr>
          <w:p>
            <w:pPr>
              <w:keepNext/>
              <w:spacing w:after="0" w:line="240" w:lineRule="auto"/>
              <w:jc w:val="center"/>
            </w:pPr>
            <w:r/>
            <w:r>
              <w:rPr>
                <w:sz w:val="18"/>
              </w:rPr>
              <w:t>0.08</w:t>
            </w:r>
          </w:p>
        </w:tc>
        <w:tc>
          <w:tcPr>
            <w:tcW w:type="dxa" w:w="1584"/>
          </w:tcPr>
          <w:p>
            <w:pPr>
              <w:keepNext/>
              <w:spacing w:after="0" w:line="240" w:lineRule="auto"/>
              <w:jc w:val="center"/>
            </w:pPr>
            <w:r/>
            <w:r>
              <w:rPr>
                <w:sz w:val="18"/>
              </w:rPr>
              <w:t>0.25</w:t>
            </w:r>
          </w:p>
        </w:tc>
      </w:tr>
      <w:tr>
        <w:trPr>
          <w:cantSplit/>
        </w:trPr>
        <w:tc>
          <w:tcPr>
            <w:tcW w:type="dxa" w:w="3168"/>
          </w:tcPr>
          <w:p>
            <w:pPr>
              <w:keepNext/>
              <w:spacing w:after="0" w:line="240" w:lineRule="auto"/>
            </w:pPr>
            <w:r/>
            <w:r>
              <w:rPr>
                <w:sz w:val="18"/>
              </w:rPr>
              <w:t>Share Indonesian</w:t>
            </w:r>
          </w:p>
        </w:tc>
        <w:tc>
          <w:tcPr>
            <w:tcW w:type="dxa" w:w="1512"/>
          </w:tcPr>
          <w:p>
            <w:pPr>
              <w:keepNext/>
              <w:spacing w:after="0" w:line="240" w:lineRule="auto"/>
              <w:jc w:val="center"/>
            </w:pPr>
            <w:r/>
            <w:r>
              <w:rPr>
                <w:sz w:val="18"/>
              </w:rPr>
              <w:t>0.06</w:t>
            </w:r>
          </w:p>
        </w:tc>
        <w:tc>
          <w:tcPr>
            <w:tcW w:type="dxa" w:w="1512"/>
          </w:tcPr>
          <w:p>
            <w:pPr>
              <w:keepNext/>
              <w:spacing w:after="0" w:line="240" w:lineRule="auto"/>
              <w:jc w:val="center"/>
            </w:pPr>
            <w:r/>
            <w:r>
              <w:rPr>
                <w:sz w:val="18"/>
              </w:rPr>
              <w:t>0.08</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0.39</w:t>
            </w:r>
          </w:p>
        </w:tc>
      </w:tr>
      <w:tr>
        <w:trPr>
          <w:cantSplit/>
        </w:trPr>
        <w:tc>
          <w:tcPr>
            <w:tcW w:type="dxa" w:w="3168"/>
          </w:tcPr>
          <w:p>
            <w:pPr>
              <w:keepNext/>
              <w:spacing w:after="0" w:line="240" w:lineRule="auto"/>
            </w:pPr>
            <w:r/>
            <w:r>
              <w:rPr>
                <w:sz w:val="18"/>
              </w:rPr>
              <w:t>Share Malaysian</w:t>
            </w:r>
          </w:p>
        </w:tc>
        <w:tc>
          <w:tcPr>
            <w:tcW w:type="dxa" w:w="1512"/>
          </w:tcPr>
          <w:p>
            <w:pPr>
              <w:keepNext/>
              <w:spacing w:after="0" w:line="240" w:lineRule="auto"/>
              <w:jc w:val="center"/>
            </w:pPr>
            <w:r/>
            <w:r>
              <w:rPr>
                <w:sz w:val="18"/>
              </w:rPr>
              <w:t>0.59</w:t>
            </w:r>
          </w:p>
        </w:tc>
        <w:tc>
          <w:tcPr>
            <w:tcW w:type="dxa" w:w="1512"/>
          </w:tcPr>
          <w:p>
            <w:pPr>
              <w:keepNext/>
              <w:spacing w:after="0" w:line="240" w:lineRule="auto"/>
              <w:jc w:val="center"/>
            </w:pPr>
            <w:r/>
            <w:r>
              <w:rPr>
                <w:sz w:val="18"/>
              </w:rPr>
              <w:t>0.64</w:t>
            </w:r>
          </w:p>
        </w:tc>
        <w:tc>
          <w:tcPr>
            <w:tcW w:type="dxa" w:w="1584"/>
          </w:tcPr>
          <w:p>
            <w:pPr>
              <w:keepNext/>
              <w:spacing w:after="0" w:line="240" w:lineRule="auto"/>
              <w:jc w:val="center"/>
            </w:pPr>
            <w:r/>
            <w:r>
              <w:rPr>
                <w:sz w:val="18"/>
              </w:rPr>
              <w:t>0.21</w:t>
            </w:r>
          </w:p>
        </w:tc>
        <w:tc>
          <w:tcPr>
            <w:tcW w:type="dxa" w:w="1584"/>
          </w:tcPr>
          <w:p>
            <w:pPr>
              <w:keepNext/>
              <w:spacing w:after="0" w:line="240" w:lineRule="auto"/>
              <w:jc w:val="center"/>
            </w:pPr>
            <w:r/>
            <w:r>
              <w:rPr>
                <w:sz w:val="18"/>
              </w:rPr>
              <w:t>0.22</w:t>
            </w:r>
          </w:p>
        </w:tc>
      </w:tr>
      <w:tr>
        <w:trPr>
          <w:cantSplit/>
        </w:trPr>
        <w:tc>
          <w:tcPr>
            <w:tcW w:type="dxa" w:w="3168"/>
          </w:tcPr>
          <w:p>
            <w:pPr>
              <w:keepNext/>
              <w:spacing w:after="0" w:line="240" w:lineRule="auto"/>
            </w:pPr>
            <w:r/>
            <w:r>
              <w:rPr>
                <w:sz w:val="18"/>
              </w:rPr>
              <w:t>Mean calendar year</w:t>
            </w:r>
          </w:p>
        </w:tc>
        <w:tc>
          <w:tcPr>
            <w:tcW w:type="dxa" w:w="1512"/>
          </w:tcPr>
          <w:p>
            <w:pPr>
              <w:keepNext/>
              <w:spacing w:after="0" w:line="240" w:lineRule="auto"/>
              <w:jc w:val="center"/>
            </w:pPr>
            <w:r/>
            <w:r>
              <w:rPr>
                <w:sz w:val="18"/>
              </w:rPr>
              <w:t>2019.3</w:t>
            </w:r>
          </w:p>
        </w:tc>
        <w:tc>
          <w:tcPr>
            <w:tcW w:type="dxa" w:w="1512"/>
          </w:tcPr>
          <w:p>
            <w:pPr>
              <w:keepNext/>
              <w:spacing w:after="0" w:line="240" w:lineRule="auto"/>
              <w:jc w:val="center"/>
            </w:pPr>
            <w:r/>
            <w:r>
              <w:rPr>
                <w:sz w:val="18"/>
              </w:rPr>
              <w:t>2017.2</w:t>
            </w:r>
          </w:p>
        </w:tc>
        <w:tc>
          <w:tcPr>
            <w:tcW w:type="dxa" w:w="1584"/>
          </w:tcPr>
          <w:p>
            <w:pPr>
              <w:keepNext/>
              <w:spacing w:after="0" w:line="240" w:lineRule="auto"/>
              <w:jc w:val="center"/>
            </w:pPr>
            <w:r/>
            <w:r>
              <w:rPr>
                <w:sz w:val="18"/>
              </w:rPr>
              <w:t>2019.5</w:t>
            </w:r>
          </w:p>
        </w:tc>
        <w:tc>
          <w:tcPr>
            <w:tcW w:type="dxa" w:w="1584"/>
          </w:tcPr>
          <w:p>
            <w:pPr>
              <w:keepNext/>
              <w:spacing w:after="0" w:line="240" w:lineRule="auto"/>
              <w:jc w:val="center"/>
            </w:pPr>
            <w:r/>
            <w:r>
              <w:rPr>
                <w:sz w:val="18"/>
              </w:rPr>
              <w:t>2017.8</w:t>
            </w:r>
          </w:p>
        </w:tc>
      </w:tr>
      <w:tr>
        <w:trPr>
          <w:cantSplit/>
        </w:trPr>
        <w:tc>
          <w:tcPr>
            <w:tcW w:type="dxa" w:w="3168"/>
            <w:tcBorders>
              <w:bottom w:val="single" w:sz="6" w:color="000000"/>
            </w:tcBorders>
          </w:tcPr>
          <w:p>
            <w:pPr>
              <w:spacing w:after="0" w:line="240" w:lineRule="auto"/>
            </w:pPr>
            <w:r/>
            <w:r>
              <w:rPr>
                <w:sz w:val="18"/>
              </w:rPr>
              <w:t>Share with market capitalization</w:t>
            </w:r>
          </w:p>
        </w:tc>
        <w:tc>
          <w:tcPr>
            <w:tcW w:type="dxa" w:w="1512"/>
            <w:tcBorders>
              <w:bottom w:val="single" w:sz="6" w:color="000000"/>
            </w:tcBorders>
          </w:tcPr>
          <w:p>
            <w:pPr>
              <w:spacing w:after="0" w:line="240" w:lineRule="auto"/>
              <w:jc w:val="center"/>
            </w:pPr>
            <w:r/>
            <w:r>
              <w:rPr>
                <w:sz w:val="18"/>
              </w:rPr>
              <w:t>1.00</w:t>
            </w:r>
          </w:p>
        </w:tc>
        <w:tc>
          <w:tcPr>
            <w:tcW w:type="dxa" w:w="1512"/>
            <w:tcBorders>
              <w:bottom w:val="single" w:sz="6" w:color="000000"/>
            </w:tcBorders>
          </w:tcPr>
          <w:p>
            <w:pPr>
              <w:spacing w:after="0" w:line="240" w:lineRule="auto"/>
              <w:jc w:val="center"/>
            </w:pPr>
            <w:r/>
            <w:r>
              <w:rPr>
                <w:sz w:val="18"/>
              </w:rPr>
              <w:t>0.25</w:t>
            </w:r>
          </w:p>
        </w:tc>
        <w:tc>
          <w:tcPr>
            <w:tcW w:type="dxa" w:w="1584"/>
            <w:tcBorders>
              <w:bottom w:val="single" w:sz="6" w:color="000000"/>
            </w:tcBorders>
          </w:tcPr>
          <w:p>
            <w:pPr>
              <w:spacing w:after="0" w:line="240" w:lineRule="auto"/>
              <w:jc w:val="center"/>
            </w:pPr>
            <w:r/>
            <w:r>
              <w:rPr>
                <w:sz w:val="18"/>
              </w:rPr>
              <w:t>1.00</w:t>
            </w:r>
          </w:p>
        </w:tc>
        <w:tc>
          <w:tcPr>
            <w:tcW w:type="dxa" w:w="1584"/>
            <w:tcBorders>
              <w:bottom w:val="single" w:sz="6" w:color="000000"/>
            </w:tcBorders>
          </w:tcPr>
          <w:p>
            <w:pPr>
              <w:spacing w:after="0" w:line="240" w:lineRule="auto"/>
              <w:jc w:val="center"/>
            </w:pPr>
            <w:r/>
            <w:r>
              <w:rPr>
                <w:sz w:val="18"/>
              </w:rPr>
              <w:t>0.21</w:t>
            </w:r>
          </w:p>
        </w:tc>
      </w:tr>
    </w:tbl>
    <w:p>
      <w:pPr>
        <w:keepNext/>
        <w:spacing w:line="240" w:lineRule="auto" w:after="40" w:before="80"/>
        <w:jc w:val="both"/>
      </w:pPr>
      <w:r>
        <w:rPr>
          <w:sz w:val="18"/>
        </w:rPr>
        <w:t>Note: Estimation sample, all firm-years from 2014 to 2024; amounts in U.S. dollars after winsorization at the 1st and 99th percentiles.</w:t>
      </w:r>
    </w:p>
    <w:p>
      <w:pPr>
        <w:spacing w:line="240" w:lineRule="auto" w:after="240" w:before="0"/>
      </w:pPr>
      <w:r>
        <w:rPr>
          <w:sz w:val="18"/>
        </w:rPr>
        <w:t>Source: Authors' calculations from LSEG ESG scores and Compustat Global.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