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color w:val="0000FF"/>
        </w:rPr>
        <w:t>Most listed firms in Southeast Asia have no environmental, social, and governance (ESG) score, so investors who screen on scores cannot hold them.</w:t>
      </w:r>
      <w:r>
        <w:rPr/>
        <w:t xml:space="preserve"> </w:t>
      </w:r>
      <w:r>
        <w:rPr>
          <w:color w:val="0000FF"/>
        </w:rPr>
        <w:t>We ask which firms enter the London Stock Exchange Group (LSEG) ESG database and what happens to their valuation around entry.</w:t>
      </w:r>
      <w:r>
        <w:rPr/>
        <w:t xml:space="preserve"> </w:t>
      </w:r>
      <w:r>
        <w:rPr>
          <w:color w:val="0000FF"/>
        </w:rPr>
        <w:t>We compare 675 non-financial firms in Indonesia, Malaysia, the Philippines, Singapore, and Thailand that received a first recorded score with 2,613 never-scored firms.</w:t>
      </w:r>
      <w:r>
        <w:rPr/>
        <w:t xml:space="preserve"> </w:t>
      </w:r>
      <w:r>
        <w:rPr>
          <w:color w:val="0000FF"/>
        </w:rPr>
        <w:t>Entry is selective.</w:t>
      </w:r>
      <w:r>
        <w:rPr/>
        <w:t xml:space="preserve"> </w:t>
      </w:r>
      <w:r>
        <w:rPr>
          <w:color w:val="0000FF"/>
        </w:rPr>
        <w:t>Scored firms are larger, and on average their market-to-book ratio had grown 10.0% more than that of similar firms in the years before their first recorded score, a run-up not detected in a broad Malaysian wave.</w:t>
      </w:r>
      <w:r>
        <w:rPr/>
        <w:t xml:space="preserve"> </w:t>
      </w:r>
      <w:r>
        <w:rPr>
          <w:color w:val="0000FF"/>
        </w:rPr>
        <w:t>After entry, the valuation gap stops widening, but whether coverage itself changed valuations depends on when investors first saw the score and on untestable trend assumptions.</w:t>
      </w:r>
      <w:r>
        <w:rPr/>
        <w:t xml:space="preserve"> </w:t>
      </w:r>
      <w:r>
        <w:rPr>
          <w:color w:val="0000FF"/>
        </w:rPr>
        <w:t>Research and investment screens that compare rated with unrated firms should model who gets rated and when.</w:t>
      </w:r>
    </w:p>
    <w:p>
      <w:pPr>
        <w:spacing w:line="360" w:lineRule="auto" w:after="120" w:before="0"/>
        <w:jc w:val="both"/>
      </w:pPr>
      <w:r>
        <w:rPr>
          <w:b/>
          <w:color w:val="0000FF"/>
        </w:rPr>
        <w:t>Keywords:</w:t>
      </w:r>
      <w:r>
        <w:rPr>
          <w:color w:val="0000FF"/>
        </w:rPr>
        <w:t xml:space="preserve"> ESG ratings, firm valuation, rating coverage, selection, Southeast Asia, sustainable finance</w:t>
      </w:r>
    </w:p>
    <w:p>
      <w:pPr>
        <w:spacing w:line="360" w:lineRule="auto" w:after="120" w:before="0"/>
      </w:pPr>
      <w:r>
        <w:rPr>
          <w:b/>
          <w:color w:val="0000FF"/>
        </w:rPr>
        <w:t>JEL Classification:</w:t>
      </w:r>
      <w:r>
        <w:rPr>
          <w:color w:val="0000FF"/>
        </w:rPr>
        <w:t xml:space="preserve"> 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color w:val="0000FF"/>
        </w:rPr>
        <w:t>Environmental, social, and governance (ESG) scores work as an entry ticket: a fund, index, or mandate that may hold only scored stocks cannot buy a firm that no provider covers.</w:t>
      </w:r>
      <w:r>
        <w:rPr/>
        <w:t xml:space="preserve"> </w:t>
      </w:r>
      <w:r>
        <w:rPr>
          <w:color w:val="0000FF"/>
        </w:rPr>
        <w:t>In five Southeast Asian equity markets, most listed firms had no score from the London Stock Exchange Group (LSEG) at any point between 2014 and 2024, and much of the academic evidence on ESG ratings uses LSEG data (Berg, Kölbel, et al., 2022; Dobrick et al., 2023).</w:t>
      </w:r>
      <w:r>
        <w:rPr/>
        <w:t xml:space="preserve"> </w:t>
      </w:r>
      <w:r>
        <w:rPr>
          <w:color w:val="0000FF"/>
        </w:rPr>
        <w:t>This paper asks which firms enter the scored universe and what happens to their market valuation around entry.</w:t>
      </w:r>
    </w:p>
    <w:p>
      <w:pPr>
        <w:spacing w:line="360" w:lineRule="auto" w:after="120" w:before="0"/>
        <w:ind w:firstLine="720"/>
        <w:jc w:val="both"/>
      </w:pPr>
      <w:r>
        <w:rPr>
          <w:color w:val="0000FF"/>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w:t>
      </w:r>
      <w:r>
        <w:rPr/>
        <w:t xml:space="preserve"> </w:t>
      </w:r>
      <w:r>
        <w:rPr>
          <w:color w:val="0000FF"/>
        </w:rPr>
        <w:t>A provider, however, is likely to add a firm once it is large, liquid, and discloses enough to be scored, and its scores rise with firm size (Dobrick et al., 2023; Drempetic et al., 2020).</w:t>
      </w:r>
      <w:r>
        <w:rPr/>
        <w:t xml:space="preserve"> </w:t>
      </w:r>
      <w:r>
        <w:rPr>
          <w:color w:val="0000FF"/>
        </w:rPr>
        <w:t>If firms enter after a period of rising value, a comparison of scored and unscored firms credits the score with growth that came before it.</w:t>
      </w:r>
      <w:r>
        <w:rPr/>
        <w:t xml:space="preserve"> </w:t>
      </w:r>
      <w:r>
        <w:rPr>
          <w:color w:val="0000FF"/>
        </w:rPr>
        <w:t>Studies, mostly of U.S. firms, link coverage by more raters to fewer ESG violations (Tsang et al., 2024), lower emissions and more ownership by high-ESG institutions (Bikmetova &amp; Pirinsky, 2026), and dividend increases (Tsang et al., 2025).</w:t>
      </w:r>
      <w:r>
        <w:rPr/>
        <w:t xml:space="preserve">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w:t>
      </w:r>
      <w:r>
        <w:rPr>
          <w:color w:val="0000FF"/>
        </w:rPr>
        <w:t>Of the 675 non-financial firms whose first recorded LSEG score falls between 2015 and 2024, 577 had it in 2020 to 2023, and 289 were Malaysian firms first scored in 2021 or 2022.</w:t>
      </w:r>
      <w:r>
        <w:rPr/>
        <w:t xml:space="preserve"> </w:t>
      </w:r>
      <w:r>
        <w:rPr>
          <w:color w:val="0000FF"/>
        </w:rPr>
        <w:t>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w:t>
      </w:r>
      <w:r>
        <w:rPr/>
        <w:t xml:space="preserve"> </w:t>
      </w:r>
      <w:r>
        <w:rPr>
          <w:color w:val="0000FF"/>
        </w:rPr>
        <w:t>The first recorded score is not necessarily the date on which investors could first see the score (Section 3.3).</w:t>
      </w:r>
      <w:r>
        <w:rPr/>
        <w:t xml:space="preserve"> </w:t>
      </w:r>
      <w:r>
        <w:rPr>
          <w:color w:val="0000FF"/>
        </w:rPr>
        <w:t>A pre-analysis plan, committed before the estimation code, records the hypotheses, sample, estimator, and robustness checks; every later analysis is labeled exploratory.</w:t>
      </w:r>
    </w:p>
    <w:p>
      <w:pPr>
        <w:spacing w:line="360" w:lineRule="auto" w:after="120" w:before="0"/>
        <w:ind w:firstLine="720"/>
        <w:jc w:val="both"/>
      </w:pPr>
      <w:r>
        <w:rPr>
          <w:color w:val="0000FF"/>
        </w:rPr>
        <w:t>The evidence has three parts.</w:t>
      </w:r>
      <w:r>
        <w:rPr/>
        <w:t xml:space="preserve"> </w:t>
      </w:r>
      <w:r>
        <w:rPr>
          <w:color w:val="0000FF"/>
        </w:rPr>
        <w:t>First, entry is selective.</w:t>
      </w:r>
      <w:r>
        <w:rPr/>
        <w:t xml:space="preserve"> </w:t>
      </w:r>
      <w:r>
        <w:rPr>
          <w:color w:val="0000FF"/>
        </w:rPr>
        <w:t>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w:t>
      </w:r>
      <w:r>
        <w:rPr/>
        <w:t xml:space="preserve"> </w:t>
      </w:r>
      <w:r>
        <w:rPr>
          <w:color w:val="0000FF"/>
        </w:rPr>
        <w:t>The run-up is large in the 108 Thai and Singaporean firms first scored in 2019 and 2020 and not detected in the 289 Malaysian firms first scored in 2021 and 2022, the largest wave in the data (95% interval −7.4% to 15.2%).</w:t>
      </w:r>
      <w:r>
        <w:rPr/>
        <w:t xml:space="preserve"> </w:t>
      </w:r>
      <w:r>
        <w:rPr>
          <w:color w:val="0000FF"/>
        </w:rPr>
        <w:t>Second, after entry the MTB gap stops widening, but the data do not pin down a causal effect of coverage.</w:t>
      </w:r>
      <w:r>
        <w:rPr/>
        <w:t xml:space="preserve"> </w:t>
      </w:r>
      <w:r>
        <w:rPr>
          <w:color w:val="0000FF"/>
        </w:rPr>
        <w:t>Under parallel trends from the base year, the average change in log MTB over the first four years is 0.002 (95% interval −0.046 to 0.048); dated one year later, when a score could first have been public, the change is −6.6%.</w:t>
      </w:r>
      <w:r>
        <w:rPr/>
        <w:t xml:space="preserve"> </w:t>
      </w:r>
      <w:r>
        <w:rPr>
          <w:color w:val="0000FF"/>
        </w:rPr>
        <w:t>Most of this difference arises because the later dating measures valuations from the first recorded year, after the cohorts' own rise in that year, and the decline appears only in the waves that had a run-up.</w:t>
      </w:r>
      <w:r>
        <w:rPr/>
        <w:t xml:space="preserve"> </w:t>
      </w:r>
      <w:r>
        <w:rPr>
          <w:color w:val="0000FF"/>
        </w:rPr>
        <w:t>Third, a static two-way fixed effects regression on the same data attributes a 6.6% MTB increase to coverage, largely an artifact of comparing firms after entry with the same firms before their growth.</w:t>
      </w:r>
    </w:p>
    <w:p>
      <w:pPr>
        <w:spacing w:line="360" w:lineRule="auto" w:after="120" w:before="0"/>
        <w:ind w:firstLine="720"/>
        <w:jc w:val="both"/>
      </w:pPr>
      <w:r>
        <w:rPr>
          <w:color w:val="0000FF"/>
        </w:rPr>
        <w:t>The paper makes three contributions.</w:t>
      </w:r>
      <w:r>
        <w:rPr/>
        <w:t xml:space="preserve"> </w:t>
      </w:r>
      <w:r>
        <w:rPr>
          <w:color w:val="0000FF"/>
        </w:rPr>
        <w:t>It documents selection into ESG rating coverage in Southeast Asian markets and adds valuation to the rating-coverage literature (Bikmetova &amp; Pirinsky, 2026; Tsang et al., 2024, 2025).</w:t>
      </w:r>
      <w:r>
        <w:rPr/>
        <w:t xml:space="preserve"> </w:t>
      </w:r>
      <w:r>
        <w:rPr>
          <w:color w:val="0000FF"/>
        </w:rPr>
        <w:t>It shows why the valuation effect of coverage is hard to identify: entry follows growth and the recorded first score may precede publication.</w:t>
      </w:r>
      <w:r>
        <w:rPr/>
        <w:t xml:space="preserve"> </w:t>
      </w:r>
      <w:r>
        <w:rPr>
          <w:color w:val="0000FF"/>
        </w:rPr>
        <w:t>It also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FF"/>
          <w:sz w:val="24"/>
        </w:rPr>
        <w:t>2.1 ESG Ratings as Information and Certification</w:t>
      </w:r>
    </w:p>
    <w:p>
      <w:pPr>
        <w:spacing w:line="360" w:lineRule="auto" w:after="120" w:before="0"/>
        <w:ind w:firstLine="720"/>
        <w:jc w:val="both"/>
      </w:pPr>
      <w:r>
        <w:rPr/>
        <w:t xml:space="preserve">ESG ratings can move prices when they change what investors know or which investors may hold a stock. </w:t>
      </w:r>
      <w:r>
        <w:rPr>
          <w:color w:val="0000FF"/>
        </w:rPr>
        <w:t>MSCI downgrades are followed by lower ownership by U.S. funds with ESG mandates and a one-year abnormal return of approximately −2.37%, with weaker effects for upgrades (Berg, Heeb, et al., 2022), and calendar-time portfolios show a similar asymmetry (Shanaev &amp; Ghimire, 2022).</w:t>
      </w:r>
      <w:r>
        <w:rPr/>
        <w:t xml:space="preserve"> </w:t>
      </w:r>
      <w:r>
        <w:rPr>
          <w:color w:val="0000FF"/>
        </w:rPr>
        <w:t>Publishing Morningstar sustainability ratings for mutual funds redirected fund flows (Hartzmark &amp; Sussman, 2019).</w:t>
      </w:r>
    </w:p>
    <w:p>
      <w:pPr>
        <w:spacing w:line="360" w:lineRule="auto" w:after="120" w:before="0"/>
        <w:ind w:firstLine="720"/>
        <w:jc w:val="both"/>
      </w:pPr>
      <w:r>
        <w:rPr/>
        <w:t xml:space="preserve">Certification by inclusion in a sustainability index is the closest analog to a first score. </w:t>
      </w:r>
      <w:r>
        <w:rPr>
          <w:color w:val="0000FF"/>
        </w:rPr>
        <w:t>Additions to the Dow Jones Sustainability Index have limited price effects relative to similar firms outside the index (Hawn et al., 2018), and a replication finds no price effect but more analyst following after addition (Durand et al., 2019).</w:t>
      </w:r>
      <w:r>
        <w:rPr/>
        <w:t xml:space="preserve">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FF"/>
          <w:sz w:val="24"/>
        </w:rPr>
        <w:t>2.2 ESG Demand, Recognition, and Price Pressure</w:t>
      </w:r>
    </w:p>
    <w:p>
      <w:pPr>
        <w:spacing w:line="360" w:lineRule="auto" w:after="120" w:before="0"/>
        <w:ind w:firstLine="720"/>
        <w:jc w:val="both"/>
      </w:pPr>
      <w:r>
        <w:rPr/>
        <w:t xml:space="preserve">Two channels predict a valuation response to a first score. </w:t>
      </w:r>
      <w:r>
        <w:rPr>
          <w:color w:val="0000FF"/>
        </w:rPr>
        <w:t>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w:t>
      </w:r>
      <w:r>
        <w:rPr/>
        <w:t xml:space="preserve"> </w:t>
      </w:r>
      <w:r>
        <w:rPr>
          <w:color w:val="0000FF"/>
        </w:rPr>
        <w:t>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w:t>
      </w:r>
      <w:r>
        <w:rPr/>
        <w:t xml:space="preserve"> </w:t>
      </w:r>
      <w:r>
        <w:rPr>
          <w:color w:val="0000FF"/>
        </w:rPr>
        <w:t>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 xml:space="preserve">Demand shocks also shape realized prices before any rating event. </w:t>
      </w:r>
      <w:r>
        <w:rPr>
          <w:color w:val="0000FF"/>
        </w:rPr>
        <w:t>The high realized returns of green assets reflect unexpected increases in ESG concerns rather than high expected returns (Pástor et al., 2022), and part of the price increase at S&amp;P 500 inclusion reverses within weeks (Harris &amp; Gurel, 1986; Shleifer, 1986).</w:t>
      </w:r>
      <w:r>
        <w:rPr/>
        <w:t xml:space="preserve">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FF"/>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w:t>
      </w:r>
      <w:r>
        <w:rPr>
          <w:color w:val="0000FF"/>
        </w:rPr>
        <w:t>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w:t>
      </w:r>
      <w:r>
        <w:rPr/>
        <w:t xml:space="preserve"> </w:t>
      </w:r>
      <w:r>
        <w:rPr>
          <w:color w:val="0000FF"/>
        </w:rPr>
        <w:t>The provider we study gives higher scores to larger firms (Dobrick et al., 2023; Drempetic et al., 2020) and has rewritten historical scores on a large scale (Berg et al., 2020).</w:t>
      </w:r>
      <w:r>
        <w:rPr/>
        <w:t xml:space="preserve">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w:t>
      </w:r>
      <w:r>
        <w:rPr>
          <w:color w:val="0000FF"/>
        </w:rPr>
        <w:t>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w:t>
      </w:r>
      <w:r>
        <w:rPr>
          <w:color w:val="0000FF"/>
        </w:rPr>
        <w:t>Only the preference channel depends on what the score says, so a difference would point toward it; the absence of a difference cannot rule it out.</w:t>
      </w:r>
    </w:p>
    <w:p>
      <w:pPr>
        <w:spacing w:line="360" w:lineRule="auto" w:after="120" w:before="0"/>
        <w:ind w:firstLine="720"/>
        <w:jc w:val="both"/>
      </w:pPr>
      <w:r>
        <w:rPr>
          <w:color w:val="0000FF"/>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3. Institutional Setting and Data</w:t>
      </w:r>
    </w:p>
    <w:p>
      <w:pPr>
        <w:pStyle w:val="Heading2"/>
        <w:keepNext/>
        <w:spacing w:line="360" w:lineRule="auto" w:after="120" w:before="160"/>
      </w:pPr>
      <w:r>
        <w:rPr>
          <w:rFonts w:ascii="Times New Roman" w:hAnsi="Times New Roman" w:eastAsia="Times New Roman"/>
          <w:b/>
          <w:i w:val="0"/>
          <w:color w:val="0000FF"/>
          <w:sz w:val="24"/>
        </w:rPr>
        <w:t>3.1 ESG Disclosure and Rating Coverage in the Five Markets</w:t>
      </w:r>
    </w:p>
    <w:p>
      <w:pPr>
        <w:spacing w:line="360" w:lineRule="auto" w:after="120" w:before="0"/>
        <w:ind w:firstLine="720"/>
        <w:jc w:val="both"/>
      </w:pPr>
      <w:r>
        <w:rPr/>
        <w:t xml:space="preserve">The five markets introduced sustainability reporting rules for listed firms at different times. </w:t>
      </w:r>
      <w:r>
        <w:rPr>
          <w:color w:val="0000FF"/>
        </w:rPr>
        <w:t>Bursa Malaysia required a sustainability statement in annual reports for financial years ending on or after December 31, 2016, phased in from the largest companies between 2016 and 2018 (Bursa Malaysia, 2015).</w:t>
      </w:r>
      <w:r>
        <w:rPr/>
        <w:t xml:space="preserve"> </w:t>
      </w:r>
      <w:r>
        <w:rPr>
          <w:color w:val="0000FF"/>
        </w:rPr>
        <w:t>Singapore required listed issuers to publish a sustainability report, on a comply-or-explain basis, for financial years ending on or after December 31, 2017 (Singapore Exchange, 2016).</w:t>
      </w:r>
      <w:r>
        <w:rPr/>
        <w:t xml:space="preserve"> </w:t>
      </w:r>
      <w:r>
        <w:rPr>
          <w:color w:val="0000FF"/>
        </w:rPr>
        <w:t>Philippine listed companies attached a sustainability report, on a comply-or-explain basis for the first three years, from the 2019 annual reports (Securities and Exchange Commission Philippines, 2019).</w:t>
      </w:r>
      <w:r>
        <w:rPr/>
        <w:t xml:space="preserve"> </w:t>
      </w:r>
      <w:r>
        <w:rPr>
          <w:color w:val="0000FF"/>
        </w:rPr>
        <w:t>Under its original schedule, a 2017 Indonesian regulation applies to listed companies other than small- and medium-asset issuers from 2020 (Otoritas Jasa Keuangan, 2017); the regulator's pandemic relief may have delayed some first reports, a date no variable in our analysis depends on.</w:t>
      </w:r>
      <w:r>
        <w:rPr/>
        <w:t xml:space="preserve"> </w:t>
      </w:r>
      <w:r>
        <w:rPr>
          <w:color w:val="0000FF"/>
        </w:rPr>
        <w:t>Thai listed companies have reported sustainability information in the 56-1 One Report since the fiscal year ending in 2021 (Tilleke &amp; Gibbins, 2020).</w:t>
      </w:r>
    </w:p>
    <w:p>
      <w:pPr>
        <w:spacing w:line="360" w:lineRule="auto" w:after="120" w:before="0"/>
        <w:ind w:firstLine="720"/>
        <w:jc w:val="both"/>
      </w:pPr>
      <w:r>
        <w:rPr/>
        <w:t xml:space="preserve">In Malaysia, FTSE Russell, another part of LSEG, scored only the constituents of the FTSE Bursa Malaysia EMAS index, about 30% of listed companies, until Bursa Malaysia and LSEG agreed in November 2022 to extend these scores to all Main and ACE Market companies (Bernama, 2022). </w:t>
      </w:r>
      <w:r>
        <w:rPr>
          <w:color w:val="0000FF"/>
        </w:rPr>
        <w:t>The LSEG ESG score we study, formerly Refinitiv ESG, is a separate product, so our event is the initiation of LSEG ESG coverage, not a firm's first ESG rating of any kind.</w:t>
      </w:r>
      <w:r>
        <w:rPr/>
        <w:t xml:space="preserve"> </w:t>
      </w:r>
      <w:r>
        <w:rPr>
          <w:color w:val="0000FF"/>
        </w:rPr>
        <w:t>Coverage arrived in waves: 108 first scores in Thailand and Singapore in 2019 and 2020, and 289 in Malaysia in 2021 and 2022 (Table S1 and Figure S1 of the supplementary material).</w:t>
      </w:r>
      <w:r>
        <w:rPr/>
        <w:t xml:space="preserve"> Of the 675 scored firms, 404 (59.9%) are Malaysian, and Malaysian and Thai firms together make up 84.3%. The waves do not follow a single reporting rule: the Thai wave preceded the One Report requirement, and the Malaysian wave came years after Bursa Malaysia's rule.</w:t>
      </w:r>
    </w:p>
    <w:p>
      <w:pPr>
        <w:pStyle w:val="Heading2"/>
        <w:keepNext/>
        <w:spacing w:line="360" w:lineRule="auto" w:after="120" w:before="160"/>
      </w:pPr>
      <w:r>
        <w:rPr>
          <w:rFonts w:ascii="Times New Roman" w:hAnsi="Times New Roman" w:eastAsia="Times New Roman"/>
          <w:b/>
          <w:i w:val="0"/>
          <w:color w:val="0000FF"/>
          <w:sz w:val="24"/>
        </w:rPr>
        <w:t>3.2 Sample</w:t>
      </w:r>
    </w:p>
    <w:p>
      <w:pPr>
        <w:spacing w:line="360" w:lineRule="auto" w:after="120" w:before="0"/>
        <w:ind w:firstLine="720"/>
        <w:jc w:val="both"/>
      </w:pPr>
      <w:r>
        <w:rPr>
          <w:color w:val="0000FF"/>
        </w:rPr>
        <w:t>The data combine the annual LSEG ESG score (LSEG, 2025), not the controversy-adjusted combined score, with accounting and market data from Compustat Global (S&amp;P Global Market Intelligence, 2025) for 3,709 listed firms, each with a row for every year from 2014 to 2024; rows before a firm lists carry no data (3,647 rows).</w:t>
      </w:r>
      <w:r>
        <w:rPr/>
        <w:t xml:space="preserve"> </w:t>
      </w:r>
      <w:r>
        <w:rPr>
          <w:color w:val="0000FF"/>
        </w:rPr>
        <w:t>Every firm in the extract has data in 2024, so firms that delisted between 2014 and 2023 are absent from both the scored and the never-scored groups.</w:t>
      </w:r>
      <w:r>
        <w:rPr/>
        <w:t xml:space="preserve"> </w:t>
      </w:r>
      <w:r>
        <w:rPr>
          <w:color w:val="0000FF"/>
        </w:rPr>
        <w:t>The sample therefore conditions on survival to 2024, and without delisting data we cannot sign the resulting bias.</w:t>
      </w:r>
    </w:p>
    <w:p>
      <w:pPr>
        <w:spacing w:line="360" w:lineRule="auto" w:after="120" w:before="0"/>
        <w:ind w:firstLine="720"/>
        <w:jc w:val="both"/>
      </w:pPr>
      <w:r>
        <w:rPr>
          <w:color w:val="0000FF"/>
        </w:rPr>
        <w:t>Firms that never receive a score in our sample are never-scored and form the comparison group.</w:t>
      </w:r>
      <w:r>
        <w:rPr/>
        <w:t xml:space="preserve"> Dropping financial firms leaves 3,423 firms. </w:t>
      </w:r>
      <w:r>
        <w:rPr>
          <w:color w:val="0000FF"/>
        </w:rPr>
        <w:t>A firm's first recorded score year, g, is its first fiscal year with an LSEG ESG score, and its base year is g − 1.</w:t>
      </w:r>
      <w:r>
        <w:rPr/>
        <w:t xml:space="preserve"> </w:t>
      </w:r>
      <w:r>
        <w:rPr>
          <w:color w:val="0000FF"/>
        </w:rPr>
        <w:t>Only 17 of the 675 scored firms have a later year without a score, so we treat coverage as permanent, the staggered-adoption setting of Callaway and Sant'Anna (2021).</w:t>
      </w:r>
      <w:r>
        <w:rPr/>
        <w:t xml:space="preserve"> </w:t>
      </w:r>
      <w:r>
        <w:rPr>
          <w:color w:val="0000FF"/>
        </w:rPr>
        <w:t>Excluding the 135 firms scored in 2014, which have no pre-coverage year, leaves 3,288 firms with 32,521 listed firm-years: 675 firms first scored between 2015 and 2024 and 2,613 never-scored firms.</w:t>
      </w:r>
      <w:r>
        <w:rPr/>
        <w:t xml:space="preserve"> </w:t>
      </w:r>
      <w:r>
        <w:rPr>
          <w:color w:val="0000FF"/>
        </w:rPr>
        <w:t>A firm-year enters an estimate only if its outcome is observed in both the base year and the comparison year (Tables S2 and S3 of the supplementary material).</w:t>
      </w:r>
      <w:r>
        <w:rPr/>
        <w:t xml:space="preserve"> </w:t>
      </w:r>
      <w:r>
        <w:rPr>
          <w:color w:val="0000FF"/>
        </w:rPr>
        <w:t>The source data contain no MTB ratio at or below zero, so firm-years with negative book equity appear as missing, like firm-years without market or accounting data.</w:t>
      </w:r>
      <w:r>
        <w:rPr/>
        <w:t xml:space="preserve"> </w:t>
      </w:r>
      <w:r>
        <w:rPr>
          <w:color w:val="0000FF"/>
        </w:rPr>
        <w:t>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FF"/>
          <w:sz w:val="24"/>
        </w:rPr>
        <w:t>3.3 What the First Recorded Score Dates</w:t>
      </w:r>
    </w:p>
    <w:p>
      <w:pPr>
        <w:spacing w:line="360" w:lineRule="auto" w:after="120" w:before="0"/>
        <w:ind w:firstLine="720"/>
        <w:jc w:val="both"/>
      </w:pPr>
      <w:r>
        <w:rPr>
          <w:color w:val="0000FF"/>
        </w:rPr>
        <w:t>The event in this paper is the first recorded score: the first fiscal year for which our extract of the LSEG database holds a score.</w:t>
      </w:r>
      <w:r>
        <w:rPr/>
        <w:t xml:space="preserve"> </w:t>
      </w:r>
      <w:r>
        <w:rPr>
          <w:color w:val="0000FF"/>
        </w:rPr>
        <w:t>It may precede the year in which investors first see a score for three reasons.</w:t>
      </w:r>
      <w:r>
        <w:rPr/>
        <w:t xml:space="preserve"> </w:t>
      </w:r>
      <w:r>
        <w:rPr>
          <w:color w:val="0000FF"/>
        </w:rPr>
        <w:t>First, the score for fiscal year g draws on reports published after that fiscal year ends, so it reaches investors in year g + 1 or later.</w:t>
      </w:r>
      <w:r>
        <w:rPr/>
        <w:t xml:space="preserve"> </w:t>
      </w:r>
      <w:r>
        <w:rPr>
          <w:color w:val="0000FF"/>
        </w:rPr>
        <w:t>Second, the provider has rewritten historical scores on a large scale (Berg et al., 2020), and scores for the five most recent fiscal years can change after publication (Sahin et al., 2023).</w:t>
      </w:r>
      <w:r>
        <w:rPr/>
        <w:t xml:space="preserve"> </w:t>
      </w:r>
      <w:r>
        <w:rPr>
          <w:color w:val="0000FF"/>
        </w:rPr>
        <w:t>Third, if the provider backfilled a firm's history at entry, the gap exceeds one year.</w:t>
      </w:r>
      <w:r>
        <w:rPr/>
        <w:t xml:space="preserve"> </w:t>
      </w:r>
      <w:r>
        <w:rPr>
          <w:color w:val="0000FF"/>
        </w:rPr>
        <w:t>The first recorded score can therefore date entry too early but, unless the provider deleted an earlier score, not too late.</w:t>
      </w:r>
    </w:p>
    <w:p>
      <w:pPr>
        <w:spacing w:line="360" w:lineRule="auto" w:after="120" w:before="0"/>
        <w:ind w:firstLine="720"/>
        <w:jc w:val="both"/>
      </w:pPr>
      <w:r>
        <w:rPr>
          <w:color w:val="0000FF"/>
        </w:rPr>
        <w:t>We could not recover the publication dates.</w:t>
      </w:r>
      <w:r>
        <w:rPr/>
        <w:t xml:space="preserve"> </w:t>
      </w:r>
      <w:r>
        <w:rPr>
          <w:color w:val="0000FF"/>
        </w:rPr>
        <w:t>Our extract contains each score by fiscal year, with no publication or update date, and holds the scores in the database at download, after any revision; that every scored firm still has a score in 2024 fits a download of the provider's current universe.</w:t>
      </w:r>
      <w:r>
        <w:rPr/>
        <w:t xml:space="preserve"> </w:t>
      </w:r>
      <w:r>
        <w:rPr>
          <w:color w:val="0000FF"/>
        </w:rPr>
        <w:t>LSEG distributes a point-in-time version of its ESG data that keeps values as they were published (LSEG, 2023), but our extract does not contain it.</w:t>
      </w:r>
      <w:r>
        <w:rPr/>
        <w:t xml:space="preserve"> </w:t>
      </w:r>
      <w:r>
        <w:rPr>
          <w:color w:val="0000FF"/>
        </w:rPr>
        <w:t>We therefore keep two concepts apart.</w:t>
      </w:r>
      <w:r>
        <w:rPr/>
        <w:t xml:space="preserve"> </w:t>
      </w:r>
      <w:r>
        <w:rPr>
          <w:color w:val="0000FF"/>
        </w:rPr>
        <w:t>The first recorded score is what we observe; publicly observable coverage begins at an unknown date from g + 1 onward.</w:t>
      </w:r>
      <w:r>
        <w:rPr/>
        <w:t xml:space="preserve"> </w:t>
      </w:r>
      <w:r>
        <w:rPr>
          <w:color w:val="0000FF"/>
        </w:rPr>
        <w:t>We report the valuation path with coverage dated at g, at g + 1, and at g + 2, and draw conclusions only where they hold across these datings.</w:t>
      </w:r>
      <w:r>
        <w:rPr/>
        <w:t xml:space="preserve"> </w:t>
      </w:r>
      <w:r>
        <w:rPr>
          <w:color w:val="0000FF"/>
        </w:rPr>
        <w:t>Late dating cannot create the pre-coverage growth we report, because that growth occurs before g, but it can place pre-publication years in the post-coverage window of the baseline estimate.</w:t>
      </w:r>
    </w:p>
    <w:p>
      <w:pPr>
        <w:pStyle w:val="Heading2"/>
        <w:keepNext/>
        <w:spacing w:line="360" w:lineRule="auto" w:after="120" w:before="160"/>
      </w:pPr>
      <w:r>
        <w:rPr>
          <w:rFonts w:ascii="Times New Roman" w:hAnsi="Times New Roman" w:eastAsia="Times New Roman"/>
          <w:b/>
          <w:i w:val="0"/>
          <w:color w:val="0000FF"/>
          <w:sz w:val="24"/>
        </w:rPr>
        <w:t>3.4 Outcomes and Recording Errors</w:t>
      </w:r>
    </w:p>
    <w:p>
      <w:pPr>
        <w:spacing w:line="360" w:lineRule="auto" w:after="120" w:before="0"/>
        <w:ind w:firstLine="720"/>
        <w:jc w:val="both"/>
      </w:pPr>
      <w:r>
        <w:rPr/>
        <w:t xml:space="preserve">The primary outcome is the natural logarithm of the MTB ratio, the market value of equity divided by its book value. The secondary outcomes are log market capitalization, log total assets, and book leverage, total debt divided by total assets. </w:t>
      </w:r>
      <w:r>
        <w:rPr>
          <w:color w:val="0000FF"/>
        </w:rPr>
        <w:t>Without stock returns or shares outstanding, we use MTB for valuation and treat market capitalization and total assets as measures of scale.</w:t>
      </w:r>
      <w:r>
        <w:rPr/>
        <w:t xml:space="preserve"> </w:t>
      </w:r>
      <w:r>
        <w:rPr>
          <w:color w:val="0000FF"/>
        </w:rPr>
        <w:t>Amounts are in U.S. dollars, and we winsorize all four variables at the 1st and 99th percentiles of the pooled sample before taking logarithms.</w:t>
      </w:r>
    </w:p>
    <w:p>
      <w:pPr>
        <w:spacing w:line="360" w:lineRule="auto" w:after="120" w:before="0"/>
        <w:ind w:firstLine="720"/>
        <w:jc w:val="both"/>
      </w:pPr>
      <w:r>
        <w:rPr>
          <w:color w:val="0000FF"/>
        </w:rPr>
        <w:t>A few market capitalization records are implausibly large; one Indonesian firm is recorded at 1,138.8 billion U.S. dollars.</w:t>
      </w:r>
      <w:r>
        <w:rPr/>
        <w:t xml:space="preserve"> </w:t>
      </w:r>
      <w:r>
        <w:rPr>
          <w:color w:val="0000FF"/>
        </w:rPr>
        <w:t>Market capitalization divided by the MTB ratio gives the implied book equity, which cannot exceed total assets.</w:t>
      </w:r>
      <w:r>
        <w:rPr/>
        <w:t xml:space="preserve"> </w:t>
      </w:r>
      <w:r>
        <w:rPr>
          <w:color w:val="0000FF"/>
        </w:rPr>
        <w:t>Of the 27,127 firm-years with all three items, 1,030 have ratios between one and two, which can arise when the items are measured on different dates, and 540 have ratios between two and ten.</w:t>
      </w:r>
      <w:r>
        <w:rPr/>
        <w:t xml:space="preserve"> </w:t>
      </w:r>
      <w:r>
        <w:rPr>
          <w:color w:val="0000FF"/>
        </w:rPr>
        <w:t>We flag firm-years in which the implied book equity exceeds ten times total assets, an error of an order of magnitude: 209 firm-years (0.77%), 73 of them for scored firms.</w:t>
      </w:r>
      <w:r>
        <w:rPr/>
        <w:t xml:space="preserve"> </w:t>
      </w:r>
      <w:r>
        <w:rPr>
          <w:color w:val="0000FF"/>
        </w:rPr>
        <w:t>A lower threshold, a ratio above two, flags 749 firm-years.</w:t>
      </w:r>
    </w:p>
    <w:p>
      <w:pPr>
        <w:pStyle w:val="Heading1"/>
        <w:keepNext/>
        <w:spacing w:line="360" w:lineRule="auto" w:after="120" w:before="360"/>
      </w:pPr>
      <w:r>
        <w:rPr>
          <w:rFonts w:ascii="Times New Roman" w:hAnsi="Times New Roman" w:eastAsia="Times New Roman"/>
          <w:b/>
          <w:i w:val="0"/>
          <w:color w:val="000000"/>
          <w:sz w:val="26"/>
        </w:rPr>
        <w:t>4. Methods</w:t>
      </w:r>
    </w:p>
    <w:p>
      <w:pPr>
        <w:pStyle w:val="Heading2"/>
        <w:keepNext/>
        <w:spacing w:line="360" w:lineRule="auto" w:after="120" w:before="160"/>
      </w:pPr>
      <w:r>
        <w:rPr>
          <w:rFonts w:ascii="Times New Roman" w:hAnsi="Times New Roman" w:eastAsia="Times New Roman"/>
          <w:b/>
          <w:i w:val="0"/>
          <w:color w:val="0000FF"/>
          <w:sz w:val="24"/>
        </w:rPr>
        <w:t>4.1 Target Parameter and Identification</w:t>
      </w:r>
    </w:p>
    <w:p>
      <w:pPr>
        <w:spacing w:line="360" w:lineRule="auto" w:after="120" w:before="0"/>
        <w:ind w:firstLine="720"/>
        <w:jc w:val="both"/>
      </w:pPr>
      <w:r>
        <w:rPr>
          <w:color w:val="0000FF"/>
        </w:rPr>
        <w:t>In the notation of Callaway and Sant'Anna (2021), let G</w:t>
      </w:r>
      <w:r>
        <w:rPr>
          <w:color w:val="0000FF"/>
          <w:vertAlign w:val="subscript"/>
        </w:rPr>
        <w:t>i</w:t>
      </w:r>
      <w:r>
        <w:rPr>
          <w:color w:val="0000FF"/>
        </w:rPr>
        <w:t xml:space="preserve"> be the first recorded score year of firm i, with G</w:t>
      </w:r>
      <w:r>
        <w:rPr>
          <w:color w:val="0000FF"/>
          <w:vertAlign w:val="subscript"/>
        </w:rPr>
        <w:t>i</w:t>
      </w:r>
      <w:r>
        <w:rPr>
          <w:color w:val="0000FF"/>
        </w:rPr>
        <w:t xml:space="preserve"> = ∞ if it is never scored, and let Y</w:t>
      </w:r>
      <w:r>
        <w:rPr>
          <w:color w:val="0000FF"/>
          <w:vertAlign w:val="subscript"/>
        </w:rPr>
        <w:t>i,t</w:t>
      </w:r>
      <w:r>
        <w:rPr>
          <w:color w:val="0000FF"/>
        </w:rPr>
        <w:t>(g) be the potential outcome of firm i in year t if it were first scored in year g.</w:t>
      </w:r>
      <w:r>
        <w:rPr/>
        <w:t xml:space="preserve"> </w:t>
      </w:r>
      <w:r>
        <w:rPr>
          <w:color w:val="0000FF"/>
        </w:rPr>
        <w:t>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t> </m:t>
            </m:r>
            <m:r>
              <m:rPr>
                <m:sty m:val="p"/>
              </m:rPr>
              <m:t>|</m:t>
            </m:r>
            <m:r>
              <m:t> </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w:t>
      </w:r>
      <w:r>
        <w:rPr>
          <w:color w:val="0000FF"/>
        </w:rPr>
        <w:t>This assumption concerns changes in outcomes, so level differences between scored and never-scored firms do not violate it, but a different growth path before coverage would.</w:t>
      </w:r>
    </w:p>
    <w:p>
      <w:pPr>
        <w:spacing w:line="360" w:lineRule="auto" w:after="120" w:before="0"/>
        <w:ind w:firstLine="720"/>
        <w:jc w:val="both"/>
      </w:pPr>
      <w:r>
        <w:rPr>
          <w:color w:val="0000FF"/>
        </w:rPr>
        <w:t>The pooled sample violates the analogous condition before the base year (Section 5.2).</w:t>
      </w:r>
      <w:r>
        <w:rPr/>
        <w:t xml:space="preserve"> </w:t>
      </w:r>
      <w:r>
        <w:rPr>
          <w:color w:val="0000FF"/>
        </w:rPr>
        <w:t>Two arguments make it plausible in parts of the sample, and one argues against it.</w:t>
      </w:r>
      <w:r>
        <w:rPr/>
        <w:t xml:space="preserve"> </w:t>
      </w:r>
      <w:r>
        <w:rPr>
          <w:color w:val="0000FF"/>
        </w:rPr>
        <w:t>In the large Malaysian wave the pre-coverage estimates show no detectable run-up, so for these firms the assumption does not require a trend to stop; the run-up interval is wide, however (−7.4% to 15.2%), and the wave split is exploratory.</w:t>
      </w:r>
      <w:r>
        <w:rPr/>
        <w:t xml:space="preserve"> </w:t>
      </w:r>
      <w:r>
        <w:rPr>
          <w:color w:val="0000FF"/>
        </w:rPr>
        <w:t>If the provider adds firms once they cross a size or visibility threshold, relative growth stops being a reason for selection after the threshold, and conditioning on base-year size compares firms on the same side of it.</w:t>
      </w:r>
      <w:r>
        <w:rPr/>
        <w:t xml:space="preserve"> </w:t>
      </w:r>
      <w:r>
        <w:rPr>
          <w:color w:val="0000FF"/>
        </w:rPr>
        <w:t>Against it, if part of the run-up was transitory, scored firms would have fallen back even without a score, and the estimates would understate any effect of coverage.</w:t>
      </w:r>
      <w:r>
        <w:rPr/>
        <w:t xml:space="preserve"> </w:t>
      </w:r>
      <w:r>
        <w:rPr>
          <w:color w:val="0000FF"/>
        </w:rPr>
        <w:t>We therefore treat the post-coverage estimates as conditional on the parallel trends assumption and give most weight to evidence that does not depend on it: the ordering of growth and entry, and the contrast between waves with and without a run-up.</w:t>
      </w:r>
    </w:p>
    <w:p>
      <w:pPr>
        <w:pStyle w:val="Heading2"/>
        <w:keepNext/>
        <w:spacing w:line="360" w:lineRule="auto" w:after="120" w:before="160"/>
      </w:pPr>
      <w:r>
        <w:rPr>
          <w:rFonts w:ascii="Times New Roman" w:hAnsi="Times New Roman" w:eastAsia="Times New Roman"/>
          <w:b/>
          <w:i w:val="0"/>
          <w:color w:val="000000"/>
          <w:sz w:val="24"/>
        </w:rPr>
        <w:t>4.2 Estimation</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w:t>
      </w:r>
      <w:r>
        <w:rPr>
          <w:color w:val="0000FF"/>
        </w:rPr>
        <w:t>Outcome regression does not remove this support problem; it extrapolates the relation estimated among controls to scored firms larger than most controls, so Section 5.6 restricts scored firms to the size range of the controls, in the spirit of the overlap trimming of Crump et al. (2009).</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color w:val="0000FF"/>
        </w:rPr>
        <w:t>where N</w:t>
      </w:r>
      <w:r>
        <w:rPr>
          <w:color w:val="0000FF"/>
          <w:vertAlign w:val="subscript"/>
        </w:rPr>
        <w:t>g,t</w:t>
      </w:r>
      <w:r>
        <w:rPr>
          <w:color w:val="0000FF"/>
        </w:rPr>
        <w:t xml:space="preserve"> is the number of firms first scored in year g with data in years g − 1 and t and base-year total assets.</w:t>
      </w:r>
      <w:r>
        <w:rPr/>
        <w:t xml:space="preserve">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 xml:space="preserve">where h indexes the cohort. </w:t>
      </w:r>
      <w:r>
        <w:rPr>
          <w:color w:val="0000FF"/>
        </w:rPr>
        <w:t>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color w:val="0000FF"/>
        </w:rPr>
        <w:t>Baseline controls are never-scored firms; later-scored firms join them only in check R1.</w:t>
      </w:r>
      <w:r>
        <w:rPr/>
        <w:t xml:space="preserve"> </w:t>
      </w:r>
      <w:r>
        <w:rPr>
          <w:color w:val="0000FF"/>
        </w:rPr>
        <w:t>All comparisons, including pre-coverage ones, are relative to the base year, so a negative θ̂(e) for e ≤ −2 means that scored firms grew faster than comparable never-scored firms from year g + e to the base year.</w:t>
      </w:r>
      <w:r>
        <w:rPr/>
        <w:t xml:space="preserve"> </w:t>
      </w:r>
      <w:r>
        <w:rPr>
          <w:color w:val="0000FF"/>
        </w:rPr>
        <w:t>Because we measure the covariates in the base year, at the end of any run-up, conditioning on base-year total assets can absorb part of the run-up; Section 5.6 varies this choice.</w:t>
      </w:r>
    </w:p>
    <w:p>
      <w:pPr>
        <w:pStyle w:val="Heading2"/>
        <w:keepNext/>
        <w:spacing w:line="360" w:lineRule="auto" w:after="120" w:before="160"/>
      </w:pPr>
      <w:r>
        <w:rPr>
          <w:rFonts w:ascii="Times New Roman" w:hAnsi="Times New Roman" w:eastAsia="Times New Roman"/>
          <w:b/>
          <w:i w:val="0"/>
          <w:color w:val="000000"/>
          <w:sz w:val="24"/>
        </w:rPr>
        <w:t>4.3 Inference</w:t>
      </w:r>
    </w:p>
    <w:p>
      <w:pPr>
        <w:spacing w:line="360" w:lineRule="auto" w:after="120" w:before="0"/>
        <w:ind w:firstLine="720"/>
        <w:jc w:val="both"/>
      </w:pPr>
      <w:r>
        <w:rPr>
          <w:color w:val="0000FF"/>
        </w:rPr>
        <w:t>We bootstrap the aggregated effects by resampling firms with their full time series.</w:t>
      </w:r>
      <w:r>
        <w:rPr/>
        <w:t xml:space="preserve"> All specifications share the same 999 draws and fixed seed, so differences between specifications have a valid joint distribution. </w:t>
      </w:r>
      <w:r>
        <w:rPr>
          <w:color w:val="0000FF"/>
        </w:rPr>
        <w:t>We report the bootstrap standard error (SE), the percentile 95% confidence interval, a normal-approximation two-sided p-value, and the minimum detectable effect at 80% power in a two-sided 5% test, MDE ≈ 2.8 × SE.</w:t>
      </w:r>
      <w:r>
        <w:rPr/>
        <w:t xml:space="preserve"> </w:t>
      </w:r>
      <w:r>
        <w:rPr>
          <w:color w:val="0000FF"/>
        </w:rPr>
        <w:t>We test the primary outcome at the 5% level and Holm-adjust the p-values, but not the intervals, of the three secondary outcomes.</w:t>
      </w:r>
      <w:r>
        <w:rPr/>
        <w:t xml:space="preserve"> </w:t>
      </w:r>
      <w:r>
        <w:rPr>
          <w:color w:val="0000FF"/>
        </w:rPr>
        <w:t>A Wald test of the four estimates for e = −5 to −2, with their bootstrap covariance matrix, checks parallel pre-coverage trends; because such tests can have low power and conditioning on them distorts inference (Roth, 2022), we report it only as a diagnostic.</w:t>
      </w:r>
      <w:r>
        <w:rPr/>
        <w:t xml:space="preserve"> </w:t>
      </w:r>
      <w:r>
        <w:rPr>
          <w:color w:val="0000FF"/>
        </w:rPr>
        <w:t>Coverage arrived in market-level waves, so a market or industry shock can affect many scored firms at once, as shifts in political uncertainty do for Thai stock prices (Prukumpai et al., 2022); an exploratory check therefore resamples the 50 market-by-industry clusters instead of firms.</w:t>
      </w:r>
    </w:p>
    <w:p>
      <w:pPr>
        <w:pStyle w:val="Heading2"/>
        <w:keepNext/>
        <w:spacing w:line="360" w:lineRule="auto" w:after="120" w:before="160"/>
      </w:pPr>
      <w:r>
        <w:rPr>
          <w:rFonts w:ascii="Times New Roman" w:hAnsi="Times New Roman" w:eastAsia="Times New Roman"/>
          <w:b/>
          <w:i w:val="0"/>
          <w:color w:val="0000FF"/>
          <w:sz w:val="24"/>
        </w:rPr>
        <w:t>4.4 Sensitivity to Departures from Parallel Trends</w:t>
      </w:r>
    </w:p>
    <w:p>
      <w:pPr>
        <w:spacing w:line="360" w:lineRule="auto" w:after="120" w:before="0"/>
        <w:ind w:firstLine="720"/>
        <w:jc w:val="both"/>
      </w:pPr>
      <w:r>
        <w:rPr>
          <w:color w:val="0000FF"/>
        </w:rPr>
        <w:t>Because the pre-coverage estimates cast doubt on the parallel trends assumption, we add three exploratory checks.</w:t>
      </w:r>
      <w:r>
        <w:rPr/>
        <w:t xml:space="preserve"> </w:t>
      </w:r>
      <w:r>
        <w:rPr>
          <w:color w:val="0000FF"/>
        </w:rPr>
        <w:t>The first removes a linear pre-coverage trend that passes through zero in the base year (row R7); the second adds the growth of log market capitalization from year g − 3 to the base year to X</w:t>
      </w:r>
      <w:r>
        <w:rPr>
          <w:color w:val="0000FF"/>
          <w:vertAlign w:val="subscript"/>
        </w:rPr>
        <w:t>i</w:t>
      </w:r>
      <w:r>
        <w:rPr>
          <w:color w:val="0000FF"/>
        </w:rPr>
        <w:t xml:space="preserve"> (row R8).</w:t>
      </w:r>
      <w:r>
        <w:rPr/>
        <w:t xml:space="preserve"> </w:t>
      </w:r>
      <w:r>
        <w:rPr>
          <w:color w:val="0000FF"/>
        </w:rPr>
        <w:t>The third bounds the bias in the spirit of the relative-magnitude restriction of Rambachan and Roth (2023).</w:t>
      </w:r>
      <w:r>
        <w:rPr/>
        <w:t xml:space="preserve"> </w:t>
      </w:r>
      <w:r>
        <w:rPr>
          <w:color w:val="0000FF"/>
        </w:rPr>
        <w:t>Let δ(e) denote the post-coverage violation of the parallel trends assumption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color w:val="0000FF"/>
        </w:rPr>
        <w:t>where s indexes the pre-coverage event years and Δ is the largest change between consecutive pre-coverage estimates.</w:t>
      </w:r>
      <w:r>
        <w:rPr/>
        <w:t xml:space="preserve"> </w:t>
      </w:r>
      <w:r>
        <w:rPr>
          <w:color w:val="0000FF"/>
        </w:rPr>
        <w:t>The bias for event year e is then at most M̄Δ(e + 1), and we widen the headline confidence interval by the weighted average of this bound.</w:t>
      </w:r>
      <w:r>
        <w:rPr/>
        <w:t xml:space="preserve"> With M̄ = 0.25, the post-coverage gap may drift each year by a quarter of the largest yearly change before coverage.</w:t>
      </w:r>
    </w:p>
    <w:p>
      <w:pPr>
        <w:pStyle w:val="Heading2"/>
        <w:keepNext/>
        <w:spacing w:line="360" w:lineRule="auto" w:after="120" w:before="160"/>
      </w:pPr>
      <w:r>
        <w:rPr>
          <w:rFonts w:ascii="Times New Roman" w:hAnsi="Times New Roman" w:eastAsia="Times New Roman"/>
          <w:b/>
          <w:i w:val="0"/>
          <w:color w:val="0000FF"/>
          <w:sz w:val="24"/>
        </w:rPr>
        <w:t>4.5 Benchmark Regression and Robustness Checks</w:t>
      </w:r>
    </w:p>
    <w:p>
      <w:pPr>
        <w:spacing w:line="360" w:lineRule="auto" w:after="120" w:before="0"/>
        <w:ind w:firstLine="720"/>
        <w:jc w:val="both"/>
      </w:pPr>
      <w:r>
        <w:rPr/>
        <w:t>As a benchmark, we estimate on scored and never-scored firms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color w:val="0000FF"/>
        </w:rPr>
        <w:t>where α</w:t>
      </w:r>
      <w:r>
        <w:rPr>
          <w:color w:val="0000FF"/>
          <w:vertAlign w:val="subscript"/>
        </w:rPr>
        <w:t>i</w:t>
      </w:r>
      <w:r>
        <w:rPr>
          <w:color w:val="0000FF"/>
        </w:rPr>
        <w:t xml:space="preserve"> and λ</w:t>
      </w:r>
      <w:r>
        <w:rPr>
          <w:color w:val="0000FF"/>
          <w:vertAlign w:val="subscript"/>
        </w:rPr>
        <w:t>t</w:t>
      </w:r>
      <w:r>
        <w:rPr>
          <w:color w:val="0000FF"/>
        </w:rPr>
        <w:t xml:space="preserve"> are firm and year effects, D</w:t>
      </w:r>
      <w:r>
        <w:rPr>
          <w:color w:val="0000FF"/>
          <w:vertAlign w:val="subscript"/>
        </w:rPr>
        <w:t>i,t</w:t>
      </w:r>
      <w:r>
        <w:rPr>
          <w:color w:val="0000FF"/>
        </w:rPr>
        <w:t xml:space="preserve"> marks years from the first recorded score onward, and ε</w:t>
      </w:r>
      <w:r>
        <w:rPr>
          <w:color w:val="0000FF"/>
          <w:vertAlign w:val="subscript"/>
        </w:rPr>
        <w:t>i,t</w:t>
      </w:r>
      <w:r>
        <w:rPr>
          <w:color w:val="0000FF"/>
        </w:rPr>
        <w:t xml:space="preserve"> is the error term; standard errors are clustered by firm.</w:t>
      </w:r>
      <w:r>
        <w:rPr/>
        <w:t xml:space="preserve"> </w:t>
      </w:r>
      <w:r>
        <w:rPr>
          <w:color w:val="0000FF"/>
        </w:rPr>
        <w:t>The coefficient β compares all post-coverage with all pre-coverage years, so it averages over any run-up and, with staggered timing, uses already scored firms as controls for later cohorts.</w:t>
      </w:r>
    </w:p>
    <w:p>
      <w:pPr>
        <w:spacing w:line="360" w:lineRule="auto" w:after="120" w:before="0"/>
        <w:ind w:firstLine="720"/>
        <w:jc w:val="both"/>
      </w:pPr>
      <w:r>
        <w:rPr>
          <w:color w:val="0000FF"/>
        </w:rPr>
        <w:t>The pre-analysis plan fixed six checks, labeled R1 to R6 in the results.</w:t>
      </w:r>
      <w:r>
        <w:rPr/>
        <w:t xml:space="preserve"> </w:t>
      </w:r>
      <w:r>
        <w:rPr>
          <w:color w:val="0000FF"/>
        </w:rPr>
        <w:t>They add not-yet-scored firms to the controls (R1), drop the covariates (R2), exclude the 2020 and 2021 cohorts (R3), keep only control firms whose base-year log total assets reach the 10th percentile among scored firms of the same cohort (R4), date coverage three years early as a placebo (R5), and estimate the TWFE regression (R6).</w:t>
      </w:r>
      <w:r>
        <w:rPr/>
        <w:t xml:space="preserve"> </w:t>
      </w:r>
      <w:r>
        <w:rPr>
          <w:color w:val="0000FF"/>
        </w:rPr>
        <w:t>All other checks are exploratory.</w:t>
      </w:r>
    </w:p>
    <w:p>
      <w:pPr>
        <w:pStyle w:val="Heading1"/>
        <w:keepNext/>
        <w:spacing w:line="360" w:lineRule="auto" w:after="120" w:before="360"/>
      </w:pPr>
      <w:r>
        <w:rPr>
          <w:rFonts w:ascii="Times New Roman" w:hAnsi="Times New Roman" w:eastAsia="Times New Roman"/>
          <w:b/>
          <w:i w:val="0"/>
          <w:color w:val="000000"/>
          <w:sz w:val="26"/>
        </w:rPr>
        <w:t>5. Results</w:t>
      </w:r>
    </w:p>
    <w:p>
      <w:pPr>
        <w:pStyle w:val="Heading2"/>
        <w:keepNext/>
        <w:spacing w:line="360" w:lineRule="auto" w:after="120" w:before="160"/>
      </w:pPr>
      <w:r>
        <w:rPr>
          <w:rFonts w:ascii="Times New Roman" w:hAnsi="Times New Roman" w:eastAsia="Times New Roman"/>
          <w:b/>
          <w:i w:val="0"/>
          <w:color w:val="0000FF"/>
          <w:sz w:val="24"/>
        </w:rPr>
        <w:t>5.1 Which Firms Get Scored</w:t>
      </w:r>
    </w:p>
    <w:p>
      <w:pPr>
        <w:spacing w:line="360" w:lineRule="auto" w:after="120" w:before="0"/>
        <w:ind w:firstLine="720"/>
        <w:jc w:val="both"/>
      </w:pPr>
      <w:r>
        <w:rPr>
          <w:color w:val="0000FF"/>
        </w:rPr>
        <w:t>Table 1 compares scored firms in the base year with never-scored firm-years.</w:t>
      </w:r>
      <w:r>
        <w:rPr/>
        <w:t xml:space="preserve"> </w:t>
      </w:r>
      <w:r>
        <w:rPr>
          <w:color w:val="0000FF"/>
        </w:rPr>
        <w:t>Scored firms are larger: their median market capitalization is 203.2 million U.S. dollars against 42.2 million, and their median total assets are 4.3 times as large.</w:t>
      </w:r>
      <w:r>
        <w:rPr/>
        <w:t xml:space="preserve"> </w:t>
      </w:r>
      <w:r>
        <w:rPr>
          <w:color w:val="0000FF"/>
        </w:rPr>
        <w:t>Their MTB ratio is also higher, while leverage differs little.</w:t>
      </w:r>
      <w:r>
        <w:rPr/>
        <w:t xml:space="preserve"> </w:t>
      </w:r>
      <w:r>
        <w:rPr>
          <w:color w:val="0000FF"/>
        </w:rPr>
        <w:t>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color w:val="0000FF"/>
          <w:sz w:val="18"/>
        </w:rPr>
        <w:t>Note: Scored firms in base year g − 1; never-scored firms in 2014–2024.</w:t>
      </w:r>
      <w:r>
        <w:rPr>
          <w:sz w:val="18"/>
        </w:rPr>
        <w:t xml:space="preserve"> </w:t>
      </w:r>
      <w:r>
        <w:rPr>
          <w:color w:val="0000FF"/>
          <w:sz w:val="18"/>
        </w:rPr>
        <w:t>Norm. diff. is the mean difference divided by the root of the average variance.</w:t>
      </w:r>
    </w:p>
    <w:p>
      <w:pPr>
        <w:pStyle w:val="Heading2"/>
        <w:keepNext/>
        <w:spacing w:line="360" w:lineRule="auto" w:after="120" w:before="160"/>
      </w:pPr>
      <w:r>
        <w:rPr>
          <w:rFonts w:ascii="Times New Roman" w:hAnsi="Times New Roman" w:eastAsia="Times New Roman"/>
          <w:b/>
          <w:i w:val="0"/>
          <w:color w:val="0000FF"/>
          <w:sz w:val="24"/>
        </w:rPr>
        <w:t>5.2 The Valuation Path Before and After the First Recorded Score</w:t>
      </w:r>
    </w:p>
    <w:p>
      <w:pPr>
        <w:spacing w:line="360" w:lineRule="auto" w:after="120" w:before="0"/>
        <w:ind w:firstLine="720"/>
        <w:jc w:val="both"/>
      </w:pPr>
      <w:r>
        <w:rPr>
          <w:color w:val="0000FF"/>
        </w:rPr>
        <w:t>Figure 1 plots the event-time estimates.</w:t>
      </w:r>
      <w:r>
        <w:rPr/>
        <w:t xml:space="preserve"> </w:t>
      </w:r>
      <w:r>
        <w:rPr>
          <w:color w:val="0000FF"/>
        </w:rPr>
        <w:t>Before the first recorded score, the estimates for market capitalization and MTB are negative and rise toward zero; in event years −5 and −4, the MTB estimates are −0.095 and −0.082 (p = 0.015 and p = 0.015).</w:t>
      </w:r>
      <w:r>
        <w:rPr/>
        <w:t xml:space="preserve"> </w:t>
      </w:r>
      <w:r>
        <w:rPr>
          <w:color w:val="0000FF"/>
        </w:rPr>
        <w:t>From event year −5 to the base year, scored firms' market capitalization grew 14.1% more than that of never-scored firms, and their MTB ratio 10.0% more; we call this relative growth the run-up.</w:t>
      </w:r>
      <w:r>
        <w:rPr/>
        <w:t xml:space="preserve"> </w:t>
      </w:r>
      <w:r>
        <w:rPr>
          <w:color w:val="0000FF"/>
        </w:rPr>
        <w:t>The joint pre-trend test rejects for market capitalization (p = 0.022) but not at the 5% level for MTB (p = 0.074).</w:t>
      </w:r>
      <w:r>
        <w:rPr/>
        <w:t xml:space="preserve"> </w:t>
      </w:r>
      <w:r>
        <w:rPr>
          <w:color w:val="0000FF"/>
        </w:rPr>
        <w:t>The MTB non-rejection is not evidence of parallel trends: the estimates for event years −5 and −4 differ from zero, and pre-trend tests have low power (Roth, 2022).</w:t>
      </w:r>
      <w:r>
        <w:rPr/>
        <w:t xml:space="preserve"> </w:t>
      </w:r>
      <w:r>
        <w:rPr>
          <w:color w:val="0000FF"/>
        </w:rPr>
        <w:t>After the first recorded score, the MTB estimates for event years 0 to 3 lie between −0.044 and 0.017, and none differs from zero at the 5% level; event year 4 rests on only 141 scored firms and is excluded from the headline estimate.</w:t>
      </w:r>
      <w:r>
        <w:rPr/>
        <w:t xml:space="preserve"> </w:t>
      </w:r>
      <w:r>
        <w:rPr>
          <w:color w:val="0000FF"/>
        </w:rPr>
        <w:t>The MTB gap thus widens before coverage and stops widening afterward.</w:t>
      </w:r>
      <w:r>
        <w:rPr/>
        <w:t xml:space="preserve"> </w:t>
      </w:r>
      <w:r>
        <w:rPr>
          <w:color w:val="0000FF"/>
        </w:rPr>
        <w:t>Only reading the post-coverage part as an effect of coverage depends on the parallel trends assumption.</w:t>
      </w:r>
    </w:p>
    <w:p>
      <w:pPr>
        <w:keepNext/>
        <w:spacing w:line="240" w:lineRule="auto" w:after="120" w:before="240"/>
        <w:jc w:val="center"/>
      </w:pPr>
      <w:r>
        <w:rPr>
          <w:sz w:val="22"/>
        </w:rPr>
        <w:t xml:space="preserve">Figure 1. </w:t>
      </w:r>
      <w:r>
        <w:rPr>
          <w:color w:val="0000FF"/>
          <w:sz w:val="22"/>
        </w:rPr>
        <w:t>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color w:val="0000FF"/>
          <w:sz w:val="18"/>
        </w:rPr>
        <w:t>Note: Estimates relative to event year −1 with firm-bootstrap 95% intervals; 141 to 615 scored firms per event year.</w:t>
      </w:r>
    </w:p>
    <w:p>
      <w:pPr>
        <w:spacing w:line="360" w:lineRule="auto" w:after="120" w:before="0"/>
        <w:ind w:firstLine="720"/>
        <w:jc w:val="both"/>
      </w:pPr>
      <w:r>
        <w:rPr>
          <w:color w:val="0000FF"/>
        </w:rPr>
        <w:t>Figure 2 separates the two largest coverage waves from the remaining cohorts; because we drew the wave boundaries after seeing the coverage counts, this split is exploratory.</w:t>
      </w:r>
      <w:r>
        <w:rPr/>
        <w:t xml:space="preserve"> </w:t>
      </w:r>
      <w:r>
        <w:rPr>
          <w:color w:val="0000FF"/>
        </w:rPr>
        <w:t>The 108 Thai and Singaporean firms first scored in 2019 and 2020 show the largest run-up: 33.1% in MTB relative to never-scored firms (pre-trend p = 0.006).</w:t>
      </w:r>
      <w:r>
        <w:rPr/>
        <w:t xml:space="preserve"> </w:t>
      </w:r>
      <w:r>
        <w:rPr>
          <w:color w:val="0000FF"/>
        </w:rPr>
        <w:t>The 289 Malaysian firms first scored in 2021 and 2022 show no detectable run-up, 2.8% (95% interval −7.4% to 15.2%; pre-trend p = 0.549), although a run-up of the pooled size cannot be ruled out, and the 278 firms in the remaining cohorts fall in between.</w:t>
      </w:r>
      <w:r>
        <w:rPr/>
        <w:t xml:space="preserve"> </w:t>
      </w:r>
      <w:r>
        <w:rPr>
          <w:color w:val="0000FF"/>
        </w:rPr>
        <w:t>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 xml:space="preserve">Figure 2. </w:t>
      </w:r>
      <w:r>
        <w:rPr>
          <w:color w:val="0000FF"/>
          <w:sz w:val="22"/>
        </w:rPr>
        <w:t>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color w:val="0000FF"/>
          <w:sz w:val="18"/>
        </w:rPr>
        <w:t>Note: Estimates by wave against all never-scored firms, with firm-bootstrap 95% intervals.</w:t>
      </w:r>
      <w:r>
        <w:rPr>
          <w:sz w:val="18"/>
        </w:rPr>
        <w:t xml:space="preserve"> </w:t>
      </w:r>
      <w:r>
        <w:rPr>
          <w:color w:val="0000FF"/>
          <w:sz w:val="18"/>
        </w:rPr>
        <w:t>The waves hold 289, 108, and 278 scored firms.</w:t>
      </w:r>
    </w:p>
    <w:p>
      <w:pPr>
        <w:pStyle w:val="Heading2"/>
        <w:keepNext/>
        <w:spacing w:line="360" w:lineRule="auto" w:after="120" w:before="160"/>
      </w:pPr>
      <w:r>
        <w:rPr>
          <w:rFonts w:ascii="Times New Roman" w:hAnsi="Times New Roman" w:eastAsia="Times New Roman"/>
          <w:b/>
          <w:i w:val="0"/>
          <w:color w:val="0000FF"/>
          <w:sz w:val="24"/>
        </w:rPr>
        <w:t>5.3 Average Change After Entry Under Parallel Trends</w:t>
      </w:r>
    </w:p>
    <w:p>
      <w:pPr>
        <w:spacing w:line="360" w:lineRule="auto" w:after="120" w:before="0"/>
        <w:ind w:firstLine="720"/>
        <w:jc w:val="both"/>
      </w:pPr>
      <w:r>
        <w:rPr>
          <w:color w:val="0000FF"/>
        </w:rPr>
        <w:t>Table 2 reports the headline estimates.</w:t>
      </w:r>
      <w:r>
        <w:rPr/>
        <w:t xml:space="preserve"> </w:t>
      </w:r>
      <w:r>
        <w:rPr>
          <w:color w:val="0000FF"/>
        </w:rPr>
        <w:t>The change in log MTB is 0.002, with a 95% confidence interval of −0.046 to 0.048, so the data are compatible with changes in the MTB ratio from −4.5% to 4.9%; the MDE is about 7.0%.</w:t>
      </w:r>
      <w:r>
        <w:rPr/>
        <w:t xml:space="preserve"> With the cluster bootstrap, the interval is −0.050 to 0.053. </w:t>
      </w:r>
      <w:r>
        <w:rPr>
          <w:color w:val="0000FF"/>
        </w:rPr>
        <w:t>After Holm adjustment, no secondary outcome changes significantly at the 5% level: log market capitalization changes by −0.055 (p = 0.134), leverage by 0.8 percentage points (p = 0.134), and log total assets by 0.044 (p = 0.053).</w:t>
      </w:r>
      <w:r>
        <w:rPr/>
        <w:t xml:space="preserve"> </w:t>
      </w:r>
      <w:r>
        <w:rPr>
          <w:color w:val="0000FF"/>
        </w:rPr>
        <w:t>The MTB estimate shows no sign of the gain that the recognition channel predicts (Merton, 1987).</w:t>
      </w:r>
    </w:p>
    <w:p>
      <w:pPr>
        <w:keepNext/>
        <w:spacing w:line="240" w:lineRule="auto" w:after="120" w:before="240"/>
        <w:jc w:val="center"/>
      </w:pPr>
      <w:r>
        <w:rPr>
          <w:sz w:val="22"/>
        </w:rPr>
        <w:t xml:space="preserve">Table 2. </w:t>
      </w:r>
      <w:r>
        <w:rPr>
          <w:color w:val="0000FF"/>
          <w:sz w:val="22"/>
        </w:rPr>
        <w:t>Average 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color w:val="0000FF"/>
          <w:sz w:val="18"/>
        </w:rPr>
        <w:t>Note: Outcome regression with firm-bootstrap standard errors; secondary p-values are Holm-adjusted, intervals are not.</w:t>
      </w:r>
      <w:r>
        <w:rPr>
          <w:sz w:val="18"/>
        </w:rPr>
        <w:t xml:space="preserve"> </w:t>
      </w:r>
      <w:r>
        <w:rPr>
          <w:color w:val="0000FF"/>
          <w:sz w:val="18"/>
        </w:rPr>
        <w:t>MDE: 80%-power minimum detectable effect; pre-trend p from the joint Wald test of event years −5 to −2.</w:t>
      </w:r>
    </w:p>
    <w:p>
      <w:pPr>
        <w:spacing w:line="360" w:lineRule="auto" w:after="120" w:before="0"/>
        <w:ind w:firstLine="720"/>
        <w:jc w:val="both"/>
      </w:pPr>
      <w:r>
        <w:rPr>
          <w:color w:val="0000FF"/>
        </w:rPr>
        <w:t>Table 3 presents the robustness checks; rows R1 to R6 were pre-specified, and rows R7 to R11 are exploratory.</w:t>
      </w:r>
      <w:r>
        <w:rPr/>
        <w:t xml:space="preserve"> </w:t>
      </w:r>
      <w:r>
        <w:rPr>
          <w:color w:val="0000FF"/>
        </w:rPr>
        <w:t>Row R10 dates coverage one year after the first recorded score, the earliest year in which a score could have been public.</w:t>
      </w:r>
      <w:r>
        <w:rPr/>
        <w:t xml:space="preserve"> </w:t>
      </w:r>
      <w:r>
        <w:rPr>
          <w:color w:val="0000FF"/>
        </w:rPr>
        <w:t>Its MTB change is −0.068, about −6.6% (95% interval −0.116 to −0.020; p = 0.004), with a joint pre-trend p = 0.072.</w:t>
      </w:r>
      <w:r>
        <w:rPr/>
        <w:t xml:space="preserve"> </w:t>
      </w:r>
      <w:r>
        <w:rPr>
          <w:color w:val="0000FF"/>
        </w:rPr>
        <w:t>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sz w:val="18"/>
              </w:rPr>
              <w:t>R1 Not-yet-scored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color w:val="0000FF"/>
                <w:sz w:val="18"/>
              </w:rPr>
              <w:t>628 / 3,023</w:t>
            </w:r>
          </w:p>
        </w:tc>
      </w:tr>
      <w:tr>
        <w:trPr>
          <w:cantSplit/>
        </w:trPr>
        <w:tc>
          <w:tcPr>
            <w:tcW w:type="dxa" w:w="2448"/>
          </w:tcPr>
          <w:p>
            <w:pPr>
              <w:keepNext/>
              <w:spacing w:after="0" w:line="240" w:lineRule="auto"/>
            </w:pPr>
            <w:r/>
            <w:r>
              <w:rPr>
                <w:b/>
                <w:sz w:val="18"/>
              </w:rPr>
              <w:t>R2 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sz w:val="18"/>
              </w:rPr>
              <w:t>R3 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color w:val="0000FF"/>
                <w:sz w:val="18"/>
              </w:rPr>
              <w:t>413 / 2,407</w:t>
            </w:r>
          </w:p>
        </w:tc>
      </w:tr>
      <w:tr>
        <w:trPr>
          <w:cantSplit/>
        </w:trPr>
        <w:tc>
          <w:tcPr>
            <w:tcW w:type="dxa" w:w="2448"/>
          </w:tcPr>
          <w:p>
            <w:pPr>
              <w:keepNext/>
              <w:spacing w:after="0" w:line="240" w:lineRule="auto"/>
            </w:pPr>
            <w:r/>
            <w:r>
              <w:rPr>
                <w:b/>
                <w:sz w:val="18"/>
              </w:rPr>
              <w:t>R4 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color w:val="0000FF"/>
                <w:sz w:val="18"/>
              </w:rPr>
              <w:t>628 / 1,975</w:t>
            </w:r>
          </w:p>
        </w:tc>
      </w:tr>
      <w:tr>
        <w:trPr>
          <w:cantSplit/>
        </w:trPr>
        <w:tc>
          <w:tcPr>
            <w:tcW w:type="dxa" w:w="2448"/>
          </w:tcPr>
          <w:p>
            <w:pPr>
              <w:keepNext/>
              <w:spacing w:after="0" w:line="240" w:lineRule="auto"/>
            </w:pPr>
            <w:r/>
            <w:r>
              <w:rPr>
                <w:b/>
                <w:sz w:val="18"/>
              </w:rPr>
              <w:t>R5 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color w:val="0000FF"/>
                <w:sz w:val="18"/>
              </w:rPr>
              <w:t>540 / 2,032</w:t>
            </w:r>
          </w:p>
        </w:tc>
      </w:tr>
      <w:tr>
        <w:trPr>
          <w:cantSplit/>
        </w:trPr>
        <w:tc>
          <w:tcPr>
            <w:tcW w:type="dxa" w:w="2448"/>
          </w:tcPr>
          <w:p>
            <w:pPr>
              <w:keepNext/>
              <w:spacing w:after="0" w:line="240" w:lineRule="auto"/>
            </w:pPr>
            <w:r/>
            <w:r>
              <w:rPr>
                <w:b/>
                <w:sz w:val="18"/>
              </w:rPr>
              <w:t>R6 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color w:val="0000FF"/>
                <w:sz w:val="18"/>
              </w:rPr>
              <w:t>3,226</w:t>
            </w:r>
            <w:r>
              <w:br/>
            </w:r>
            <w:r>
              <w:rPr>
                <w:color w:val="0000FF"/>
                <w:sz w:val="18"/>
              </w:rPr>
              <w:t>(all)</w:t>
            </w:r>
          </w:p>
        </w:tc>
      </w:tr>
      <w:tr>
        <w:trPr>
          <w:cantSplit/>
        </w:trPr>
        <w:tc>
          <w:tcPr>
            <w:tcW w:type="dxa" w:w="2448"/>
          </w:tcPr>
          <w:p>
            <w:pPr>
              <w:keepNext/>
              <w:spacing w:after="0" w:line="240" w:lineRule="auto"/>
            </w:pPr>
            <w:r/>
            <w:r>
              <w:rPr>
                <w:b/>
                <w:sz w:val="18"/>
              </w:rPr>
              <w:t>R7 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sz w:val="18"/>
              </w:rPr>
              <w:t>R8 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color w:val="0000FF"/>
                <w:sz w:val="18"/>
              </w:rPr>
              <w:t>567 / 2,156</w:t>
            </w:r>
          </w:p>
        </w:tc>
      </w:tr>
      <w:tr>
        <w:trPr>
          <w:cantSplit/>
        </w:trPr>
        <w:tc>
          <w:tcPr>
            <w:tcW w:type="dxa" w:w="2448"/>
          </w:tcPr>
          <w:p>
            <w:pPr>
              <w:keepNext/>
              <w:spacing w:after="0" w:line="240" w:lineRule="auto"/>
            </w:pPr>
            <w:r/>
            <w:r>
              <w:rPr>
                <w:b/>
                <w:sz w:val="18"/>
              </w:rPr>
              <w:t>R9 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color w:val="0000FF"/>
                <w:sz w:val="18"/>
              </w:rPr>
              <w:t>256 / 1,926</w:t>
            </w:r>
          </w:p>
        </w:tc>
      </w:tr>
      <w:tr>
        <w:trPr>
          <w:cantSplit/>
        </w:trPr>
        <w:tc>
          <w:tcPr>
            <w:tcW w:type="dxa" w:w="2448"/>
          </w:tcPr>
          <w:p>
            <w:pPr>
              <w:keepNext/>
              <w:spacing w:after="0" w:line="240" w:lineRule="auto"/>
            </w:pPr>
            <w:r/>
            <w:r>
              <w:rPr>
                <w:b/>
                <w:sz w:val="18"/>
              </w:rPr>
              <w:t>R10 Dated 1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color w:val="0000FF"/>
                <w:sz w:val="18"/>
              </w:rPr>
              <w:t>646 / 2,412</w:t>
            </w:r>
          </w:p>
        </w:tc>
      </w:tr>
      <w:tr>
        <w:trPr>
          <w:cantSplit/>
        </w:trPr>
        <w:tc>
          <w:tcPr>
            <w:tcW w:type="dxa" w:w="2448"/>
          </w:tcPr>
          <w:p>
            <w:pPr>
              <w:keepNext/>
              <w:spacing w:after="0" w:line="240" w:lineRule="auto"/>
            </w:pPr>
            <w:r/>
            <w:r>
              <w:rPr>
                <w:b/>
                <w:sz w:val="18"/>
              </w:rPr>
              <w:t>R11 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color w:val="0000FF"/>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color w:val="0000FF"/>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color w:val="0000FF"/>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Outcome regression with firm-bootstrap standard errors (R6: two-way fixed effects, firm-clustered); firm counts for ln(MTB). *, **, ***: 10%, 5%, 1% (unadjusted).</w:t>
      </w:r>
    </w:p>
    <w:p>
      <w:pPr>
        <w:pStyle w:val="Heading2"/>
        <w:keepNext/>
        <w:spacing w:line="360" w:lineRule="auto" w:after="120" w:before="160"/>
      </w:pPr>
      <w:r>
        <w:rPr>
          <w:rFonts w:ascii="Times New Roman" w:hAnsi="Times New Roman" w:eastAsia="Times New Roman"/>
          <w:b/>
          <w:i w:val="0"/>
          <w:color w:val="0000FF"/>
          <w:sz w:val="24"/>
        </w:rPr>
        <w:t>5.4 Reconciling the Two Datings</w:t>
      </w:r>
    </w:p>
    <w:p>
      <w:pPr>
        <w:spacing w:line="360" w:lineRule="auto" w:after="120" w:before="0"/>
        <w:ind w:firstLine="720"/>
        <w:jc w:val="both"/>
      </w:pPr>
      <w:r>
        <w:rPr>
          <w:color w:val="0000FF"/>
        </w:rPr>
        <w:t>Table 4 moves from the first-recorded-year estimate to the one-year-later estimate one step at a time.</w:t>
      </w:r>
      <w:r>
        <w:rPr/>
        <w:t xml:space="preserve"> </w:t>
      </w:r>
      <w:r>
        <w:rPr>
          <w:color w:val="0000FF"/>
        </w:rPr>
        <w:t>Row 2 keeps only firms observed in both g − 1 and g, so that every later row draws on the same set of firms; this changes the MTB estimate by −0.005.</w:t>
      </w:r>
      <w:r>
        <w:rPr/>
        <w:t xml:space="preserve"> </w:t>
      </w:r>
      <w:r>
        <w:rPr>
          <w:color w:val="0000FF"/>
        </w:rPr>
        <w:t>Row 3 averages event years 1 to 4 instead of 0 to 3; this changes it by −0.016 (p = 0.092).</w:t>
      </w:r>
      <w:r>
        <w:rPr/>
        <w:t xml:space="preserve"> </w:t>
      </w:r>
      <w:r>
        <w:rPr>
          <w:color w:val="0000FF"/>
        </w:rPr>
        <w:t>Row 4 moves the reference year from g − 1 to g, which is what dating coverage one year later does to the comparison; this changes the estimate by −0.044 (p = 0.024), 62% of the total gap of −0.070.</w:t>
      </w:r>
      <w:r>
        <w:rPr/>
        <w:t xml:space="preserve"> </w:t>
      </w:r>
      <w:r>
        <w:rPr>
          <w:color w:val="0000FF"/>
        </w:rPr>
        <w:t>Measuring size in g (row 5) and returning to all firms (row 6) change little.</w:t>
      </w:r>
      <w:r>
        <w:rPr/>
        <w:t xml:space="preserve"> </w:t>
      </w:r>
      <w:r>
        <w:rPr>
          <w:color w:val="0000FF"/>
        </w:rPr>
        <w:t>The steps are sequential, so the shares depend on their order.</w:t>
      </w:r>
    </w:p>
    <w:p>
      <w:pPr>
        <w:keepNext/>
        <w:spacing w:line="240" w:lineRule="auto" w:after="120" w:before="240"/>
        <w:jc w:val="center"/>
      </w:pPr>
      <w:r>
        <w:rPr>
          <w:color w:val="0000FF"/>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color w:val="0000FF"/>
                <w:sz w:val="18"/>
              </w:rPr>
              <w:t>Specification</w:t>
            </w:r>
          </w:p>
        </w:tc>
        <w:tc>
          <w:tcPr>
            <w:tcW w:type="dxa" w:w="1512"/>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960"/>
          </w:tcPr>
          <w:p>
            <w:pPr>
              <w:keepNext/>
              <w:spacing w:after="0" w:line="240" w:lineRule="auto"/>
            </w:pPr>
            <w:r/>
            <w:r>
              <w:rPr>
                <w:b/>
                <w:color w:val="0000FF"/>
                <w:sz w:val="18"/>
              </w:rPr>
              <w:t>(1) First recorded year g, reference g − 1, event years 0 to 3, all firms</w:t>
            </w:r>
          </w:p>
        </w:tc>
        <w:tc>
          <w:tcPr>
            <w:tcW w:type="dxa" w:w="1512"/>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960"/>
          </w:tcPr>
          <w:p>
            <w:pPr>
              <w:keepNext/>
              <w:spacing w:after="0" w:line="240" w:lineRule="auto"/>
            </w:pPr>
            <w:r/>
            <w:r>
              <w:rPr>
                <w:b/>
                <w:color w:val="0000FF"/>
                <w:sz w:val="18"/>
              </w:rPr>
              <w:t>(2) As (1), firms observed in both g − 1 and g</w:t>
            </w:r>
          </w:p>
        </w:tc>
        <w:tc>
          <w:tcPr>
            <w:tcW w:type="dxa" w:w="1512"/>
          </w:tcPr>
          <w:p>
            <w:pPr>
              <w:keepNext/>
              <w:spacing w:after="0" w:line="240" w:lineRule="auto"/>
              <w:jc w:val="center"/>
            </w:pPr>
            <w:r/>
            <w:r>
              <w:rPr>
                <w:color w:val="0000FF"/>
                <w:sz w:val="18"/>
              </w:rPr>
              <w:t>−0.003</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2,405</w:t>
            </w:r>
          </w:p>
        </w:tc>
      </w:tr>
      <w:tr>
        <w:trPr>
          <w:cantSplit/>
        </w:trPr>
        <w:tc>
          <w:tcPr>
            <w:tcW w:type="dxa" w:w="3960"/>
          </w:tcPr>
          <w:p>
            <w:pPr>
              <w:keepNext/>
              <w:spacing w:after="0" w:line="240" w:lineRule="auto"/>
            </w:pPr>
            <w:r/>
            <w:r>
              <w:rPr>
                <w:b/>
                <w:color w:val="0000FF"/>
                <w:sz w:val="18"/>
              </w:rPr>
              <w:t>(3) As (2), event years 1 to 4</w:t>
            </w:r>
          </w:p>
        </w:tc>
        <w:tc>
          <w:tcPr>
            <w:tcW w:type="dxa" w:w="1512"/>
          </w:tcPr>
          <w:p>
            <w:pPr>
              <w:keepNext/>
              <w:spacing w:after="0" w:line="240" w:lineRule="auto"/>
              <w:jc w:val="center"/>
            </w:pPr>
            <w:r/>
            <w:r>
              <w:rPr>
                <w:color w:val="0000FF"/>
                <w:sz w:val="18"/>
              </w:rPr>
              <w:t>−0.019</w:t>
            </w:r>
            <w:r>
              <w:br/>
            </w:r>
            <w:r>
              <w:rPr>
                <w:color w:val="0000FF"/>
                <w:sz w:val="18"/>
              </w:rPr>
              <w:t>(0.030)</w:t>
            </w:r>
          </w:p>
        </w:tc>
        <w:tc>
          <w:tcPr>
            <w:tcW w:type="dxa" w:w="1656"/>
          </w:tcPr>
          <w:p>
            <w:pPr>
              <w:keepNext/>
              <w:spacing w:after="0" w:line="240" w:lineRule="auto"/>
              <w:jc w:val="center"/>
            </w:pPr>
            <w:r/>
            <w:r>
              <w:rPr>
                <w:color w:val="0000FF"/>
                <w:sz w:val="18"/>
              </w:rPr>
              <w:t>−0.053</w:t>
            </w:r>
            <w:r>
              <w:br/>
            </w:r>
            <w:r>
              <w:rPr>
                <w:color w:val="0000FF"/>
                <w:sz w:val="18"/>
              </w:rPr>
              <w:t>(0.037)</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(4) As (3), reference year g</w:t>
            </w:r>
          </w:p>
        </w:tc>
        <w:tc>
          <w:tcPr>
            <w:tcW w:type="dxa" w:w="1512"/>
          </w:tcPr>
          <w:p>
            <w:pPr>
              <w:keepNext/>
              <w:spacing w:after="0" w:line="240" w:lineRule="auto"/>
              <w:jc w:val="center"/>
            </w:pPr>
            <w:r/>
            <w:r>
              <w:rPr>
                <w:color w:val="0000FF"/>
                <w:sz w:val="18"/>
              </w:rPr>
              <w:t>−0.063***</w:t>
            </w:r>
            <w:r>
              <w:br/>
            </w:r>
            <w:r>
              <w:rPr>
                <w:color w:val="0000FF"/>
                <w:sz w:val="18"/>
              </w:rPr>
              <w:t>(0.024)</w:t>
            </w:r>
          </w:p>
        </w:tc>
        <w:tc>
          <w:tcPr>
            <w:tcW w:type="dxa" w:w="1656"/>
          </w:tcPr>
          <w:p>
            <w:pPr>
              <w:keepNext/>
              <w:spacing w:after="0" w:line="240" w:lineRule="auto"/>
              <w:jc w:val="center"/>
            </w:pPr>
            <w:r/>
            <w:r>
              <w:rPr>
                <w:color w:val="0000FF"/>
                <w:sz w:val="18"/>
              </w:rPr>
              <w:t>−0.051*</w:t>
            </w:r>
            <w:r>
              <w:br/>
            </w:r>
            <w:r>
              <w:rPr>
                <w:color w:val="0000FF"/>
                <w:sz w:val="18"/>
              </w:rPr>
              <w:t>(0.029)</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(5) As (4), size measured in g</w:t>
            </w:r>
          </w:p>
        </w:tc>
        <w:tc>
          <w:tcPr>
            <w:tcW w:type="dxa" w:w="1512"/>
          </w:tcPr>
          <w:p>
            <w:pPr>
              <w:keepNext/>
              <w:spacing w:after="0" w:line="240" w:lineRule="auto"/>
              <w:jc w:val="center"/>
            </w:pPr>
            <w:r/>
            <w:r>
              <w:rPr>
                <w:color w:val="0000FF"/>
                <w:sz w:val="18"/>
              </w:rPr>
              <w:t>−0.060**</w:t>
            </w:r>
            <w:r>
              <w:br/>
            </w:r>
            <w:r>
              <w:rPr>
                <w:color w:val="0000FF"/>
                <w:sz w:val="18"/>
              </w:rPr>
              <w:t>(0.024)</w:t>
            </w:r>
          </w:p>
        </w:tc>
        <w:tc>
          <w:tcPr>
            <w:tcW w:type="dxa" w:w="1656"/>
          </w:tcPr>
          <w:p>
            <w:pPr>
              <w:keepNext/>
              <w:spacing w:after="0" w:line="240" w:lineRule="auto"/>
              <w:jc w:val="center"/>
            </w:pPr>
            <w:r/>
            <w:r>
              <w:rPr>
                <w:color w:val="0000FF"/>
                <w:sz w:val="18"/>
              </w:rPr>
              <w:t>−0.063**</w:t>
            </w:r>
            <w:r>
              <w:br/>
            </w:r>
            <w:r>
              <w:rPr>
                <w:color w:val="0000FF"/>
                <w:sz w:val="18"/>
              </w:rPr>
              <w:t>(0.031)</w:t>
            </w:r>
          </w:p>
        </w:tc>
        <w:tc>
          <w:tcPr>
            <w:tcW w:type="dxa" w:w="1152"/>
          </w:tcPr>
          <w:p>
            <w:pPr>
              <w:keepNext/>
              <w:spacing w:after="0" w:line="240" w:lineRule="auto"/>
              <w:jc w:val="center"/>
            </w:pPr>
            <w:r/>
            <w:r>
              <w:rPr>
                <w:color w:val="0000FF"/>
                <w:sz w:val="18"/>
              </w:rPr>
              <w:t>583</w:t>
            </w:r>
          </w:p>
        </w:tc>
        <w:tc>
          <w:tcPr>
            <w:tcW w:type="dxa" w:w="1080"/>
          </w:tcPr>
          <w:p>
            <w:pPr>
              <w:keepNext/>
              <w:spacing w:after="0" w:line="240" w:lineRule="auto"/>
              <w:jc w:val="center"/>
            </w:pPr>
            <w:r/>
            <w:r>
              <w:rPr>
                <w:color w:val="0000FF"/>
                <w:sz w:val="18"/>
              </w:rPr>
              <w:t>2,252</w:t>
            </w:r>
          </w:p>
        </w:tc>
      </w:tr>
      <w:tr>
        <w:trPr>
          <w:cantSplit/>
        </w:trPr>
        <w:tc>
          <w:tcPr>
            <w:tcW w:type="dxa" w:w="3960"/>
          </w:tcPr>
          <w:p>
            <w:pPr>
              <w:keepNext/>
              <w:spacing w:after="0" w:line="240" w:lineRule="auto"/>
            </w:pPr>
            <w:r/>
            <w:r>
              <w:rPr>
                <w:b/>
                <w:color w:val="0000FF"/>
                <w:sz w:val="18"/>
              </w:rPr>
              <w:t>(6) One year later, all firms (R10)</w:t>
            </w:r>
          </w:p>
        </w:tc>
        <w:tc>
          <w:tcPr>
            <w:tcW w:type="dxa" w:w="1512"/>
          </w:tcPr>
          <w:p>
            <w:pPr>
              <w:keepNext/>
              <w:spacing w:after="0" w:line="240" w:lineRule="auto"/>
              <w:jc w:val="center"/>
            </w:pPr>
            <w:r/>
            <w:r>
              <w:rPr>
                <w:color w:val="0000FF"/>
                <w:sz w:val="18"/>
              </w:rPr>
              <w:t>−0.068***</w:t>
            </w:r>
            <w:r>
              <w:br/>
            </w:r>
            <w:r>
              <w:rPr>
                <w:color w:val="0000FF"/>
                <w:sz w:val="18"/>
              </w:rPr>
              <w:t>(0.024)</w:t>
            </w:r>
          </w:p>
        </w:tc>
        <w:tc>
          <w:tcPr>
            <w:tcW w:type="dxa" w:w="1656"/>
          </w:tcPr>
          <w:p>
            <w:pPr>
              <w:keepNext/>
              <w:spacing w:after="0" w:line="240" w:lineRule="auto"/>
              <w:jc w:val="center"/>
            </w:pPr>
            <w:r/>
            <w:r>
              <w:rPr>
                <w:color w:val="0000FF"/>
                <w:sz w:val="18"/>
              </w:rPr>
              <w:t>−0.073**</w:t>
            </w:r>
            <w:r>
              <w:br/>
            </w:r>
            <w:r>
              <w:rPr>
                <w:color w:val="0000FF"/>
                <w:sz w:val="18"/>
              </w:rPr>
              <w:t>(0.030)</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2,407</w:t>
            </w:r>
          </w:p>
        </w:tc>
      </w:tr>
      <w:tr>
        <w:trPr>
          <w:cantSplit/>
        </w:trPr>
        <w:tc>
          <w:tcPr>
            <w:tcW w:type="dxa" w:w="3960"/>
          </w:tcPr>
          <w:p>
            <w:pPr>
              <w:keepNext/>
              <w:spacing w:after="0" w:line="240" w:lineRule="auto"/>
            </w:pPr>
            <w:r/>
            <w:r>
              <w:rPr>
                <w:b/>
                <w:color w:val="0000FF"/>
                <w:sz w:val="18"/>
              </w:rPr>
              <w:t>(7) As (2), cohorts first recorded 2015 to 2020</w:t>
            </w:r>
          </w:p>
        </w:tc>
        <w:tc>
          <w:tcPr>
            <w:tcW w:type="dxa" w:w="1512"/>
          </w:tcPr>
          <w:p>
            <w:pPr>
              <w:keepNext/>
              <w:spacing w:after="0" w:line="240" w:lineRule="auto"/>
              <w:jc w:val="center"/>
            </w:pPr>
            <w:r/>
            <w:r>
              <w:rPr>
                <w:color w:val="0000FF"/>
                <w:sz w:val="18"/>
              </w:rPr>
              <w:t>0.017</w:t>
            </w:r>
            <w:r>
              <w:br/>
            </w:r>
            <w:r>
              <w:rPr>
                <w:color w:val="0000FF"/>
                <w:sz w:val="18"/>
              </w:rPr>
              <w:t>(0.040)</w:t>
            </w:r>
          </w:p>
        </w:tc>
        <w:tc>
          <w:tcPr>
            <w:tcW w:type="dxa" w:w="1656"/>
          </w:tcPr>
          <w:p>
            <w:pPr>
              <w:keepNext/>
              <w:spacing w:after="0" w:line="240" w:lineRule="auto"/>
              <w:jc w:val="center"/>
            </w:pPr>
            <w:r/>
            <w:r>
              <w:rPr>
                <w:color w:val="0000FF"/>
                <w:sz w:val="18"/>
              </w:rPr>
              <w:t>0.076*</w:t>
            </w:r>
            <w:r>
              <w:br/>
            </w:r>
            <w:r>
              <w:rPr>
                <w:color w:val="0000FF"/>
                <w:sz w:val="18"/>
              </w:rPr>
              <w:t>(0.042)</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1,952</w:t>
            </w:r>
          </w:p>
        </w:tc>
      </w:tr>
      <w:tr>
        <w:trPr>
          <w:cantSplit/>
        </w:trPr>
        <w:tc>
          <w:tcPr>
            <w:tcW w:type="dxa" w:w="3960"/>
          </w:tcPr>
          <w:p>
            <w:pPr>
              <w:keepNext/>
              <w:spacing w:after="0" w:line="240" w:lineRule="auto"/>
            </w:pPr>
            <w:r/>
            <w:r>
              <w:rPr>
                <w:b/>
                <w:color w:val="0000FF"/>
                <w:sz w:val="18"/>
              </w:rPr>
              <w:t>(8) As (3), cohorts first recorded 2015 to 2020</w:t>
            </w:r>
          </w:p>
        </w:tc>
        <w:tc>
          <w:tcPr>
            <w:tcW w:type="dxa" w:w="1512"/>
          </w:tcPr>
          <w:p>
            <w:pPr>
              <w:keepNext/>
              <w:spacing w:after="0" w:line="240" w:lineRule="auto"/>
              <w:jc w:val="center"/>
            </w:pPr>
            <w:r/>
            <w:r>
              <w:rPr>
                <w:color w:val="0000FF"/>
                <w:sz w:val="18"/>
              </w:rPr>
              <w:t>−0.026</w:t>
            </w:r>
            <w:r>
              <w:br/>
            </w:r>
            <w:r>
              <w:rPr>
                <w:color w:val="0000FF"/>
                <w:sz w:val="18"/>
              </w:rPr>
              <w:t>(0.047)</w:t>
            </w:r>
          </w:p>
        </w:tc>
        <w:tc>
          <w:tcPr>
            <w:tcW w:type="dxa" w:w="1656"/>
          </w:tcPr>
          <w:p>
            <w:pPr>
              <w:keepNext/>
              <w:spacing w:after="0" w:line="240" w:lineRule="auto"/>
              <w:jc w:val="center"/>
            </w:pPr>
            <w:r/>
            <w:r>
              <w:rPr>
                <w:color w:val="0000FF"/>
                <w:sz w:val="18"/>
              </w:rPr>
              <w:t>0.077</w:t>
            </w:r>
            <w:r>
              <w:br/>
            </w:r>
            <w:r>
              <w:rPr>
                <w:color w:val="0000FF"/>
                <w:sz w:val="18"/>
              </w:rPr>
              <w:t>(0.050)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Pr>
          <w:p>
            <w:pPr>
              <w:keepNext/>
              <w:spacing w:after="0" w:line="240" w:lineRule="auto"/>
            </w:pPr>
            <w:r/>
            <w:r>
              <w:rPr>
                <w:b/>
                <w:color w:val="0000FF"/>
                <w:sz w:val="18"/>
              </w:rPr>
              <w:t>(9) As (4), cohorts first recorded 2015 to 2020</w:t>
            </w:r>
          </w:p>
        </w:tc>
        <w:tc>
          <w:tcPr>
            <w:tcW w:type="dxa" w:w="1512"/>
          </w:tcPr>
          <w:p>
            <w:pPr>
              <w:keepNext/>
              <w:spacing w:after="0" w:line="240" w:lineRule="auto"/>
              <w:jc w:val="center"/>
            </w:pPr>
            <w:r/>
            <w:r>
              <w:rPr>
                <w:color w:val="0000FF"/>
                <w:sz w:val="18"/>
              </w:rPr>
              <w:t>−0.124***</w:t>
            </w:r>
            <w:r>
              <w:br/>
            </w:r>
            <w:r>
              <w:rPr>
                <w:color w:val="0000FF"/>
                <w:sz w:val="18"/>
              </w:rPr>
              <w:t>(0.038)</w:t>
            </w:r>
          </w:p>
        </w:tc>
        <w:tc>
          <w:tcPr>
            <w:tcW w:type="dxa" w:w="1656"/>
          </w:tcPr>
          <w:p>
            <w:pPr>
              <w:keepNext/>
              <w:spacing w:after="0" w:line="240" w:lineRule="auto"/>
              <w:jc w:val="center"/>
            </w:pPr>
            <w:r/>
            <w:r>
              <w:rPr>
                <w:color w:val="0000FF"/>
                <w:sz w:val="18"/>
              </w:rPr>
              <w:t>−0.006</w:t>
            </w:r>
            <w:r>
              <w:br/>
            </w:r>
            <w:r>
              <w:rPr>
                <w:color w:val="0000FF"/>
                <w:sz w:val="18"/>
              </w:rPr>
              <w:t>(0.040)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Borders>
              <w:bottom w:val="single" w:sz="6" w:color="000000"/>
            </w:tcBorders>
          </w:tcPr>
          <w:p>
            <w:pPr>
              <w:spacing w:after="0" w:line="240" w:lineRule="auto"/>
            </w:pPr>
            <w:r/>
            <w:r>
              <w:rPr>
                <w:b/>
                <w:color w:val="0000FF"/>
                <w:sz w:val="18"/>
              </w:rPr>
              <w:t>(10) As (5), cohorts first recorded 2015 to 2020</w:t>
            </w:r>
          </w:p>
        </w:tc>
        <w:tc>
          <w:tcPr>
            <w:tcW w:type="dxa" w:w="1512"/>
            <w:tcBorders>
              <w:bottom w:val="single" w:sz="6" w:color="000000"/>
            </w:tcBorders>
          </w:tcPr>
          <w:p>
            <w:pPr>
              <w:spacing w:after="0" w:line="240" w:lineRule="auto"/>
              <w:jc w:val="center"/>
            </w:pPr>
            <w:r/>
            <w:r>
              <w:rPr>
                <w:color w:val="0000FF"/>
                <w:sz w:val="18"/>
              </w:rPr>
              <w:t>−0.121***</w:t>
            </w:r>
            <w:r>
              <w:br/>
            </w:r>
            <w:r>
              <w:rPr>
                <w:color w:val="0000FF"/>
                <w:sz w:val="18"/>
              </w:rPr>
              <w:t>(0.038)</w:t>
            </w:r>
          </w:p>
        </w:tc>
        <w:tc>
          <w:tcPr>
            <w:tcW w:type="dxa" w:w="1656"/>
            <w:tcBorders>
              <w:bottom w:val="single" w:sz="6" w:color="000000"/>
            </w:tcBorders>
          </w:tcPr>
          <w:p>
            <w:pPr>
              <w:spacing w:after="0" w:line="240" w:lineRule="auto"/>
              <w:jc w:val="center"/>
            </w:pPr>
            <w:r/>
            <w:r>
              <w:rPr>
                <w:color w:val="0000FF"/>
                <w:sz w:val="18"/>
              </w:rPr>
              <w:t>−0.018</w:t>
            </w:r>
            <w:r>
              <w:br/>
            </w:r>
            <w:r>
              <w:rPr>
                <w:color w:val="0000FF"/>
                <w:sz w:val="18"/>
              </w:rPr>
              <w:t>(0.042)</w:t>
            </w:r>
          </w:p>
        </w:tc>
        <w:tc>
          <w:tcPr>
            <w:tcW w:type="dxa" w:w="1152"/>
            <w:tcBorders>
              <w:bottom w:val="single" w:sz="6" w:color="000000"/>
            </w:tcBorders>
          </w:tcPr>
          <w:p>
            <w:pPr>
              <w:spacing w:after="0" w:line="240" w:lineRule="auto"/>
              <w:jc w:val="center"/>
            </w:pPr>
            <w:r/>
            <w:r>
              <w:rPr>
                <w:color w:val="0000FF"/>
                <w:sz w:val="18"/>
              </w:rPr>
              <w:t>142</w:t>
            </w:r>
          </w:p>
        </w:tc>
        <w:tc>
          <w:tcPr>
            <w:tcW w:type="dxa" w:w="1080"/>
            <w:tcBorders>
              <w:bottom w:val="single" w:sz="6" w:color="000000"/>
            </w:tcBorders>
          </w:tcPr>
          <w:p>
            <w:pPr>
              <w:spacing w:after="0" w:line="240" w:lineRule="auto"/>
              <w:jc w:val="center"/>
            </w:pPr>
            <w:r/>
            <w:r>
              <w:rPr>
                <w:color w:val="0000FF"/>
                <w:sz w:val="18"/>
              </w:rPr>
              <w:t>1,938</w:t>
            </w:r>
          </w:p>
        </w:tc>
      </w:tr>
    </w:tbl>
    <w:p>
      <w:pPr>
        <w:spacing w:line="240" w:lineRule="auto" w:after="40" w:before="280"/>
        <w:jc w:val="both"/>
      </w:pPr>
      <w:r>
        <w:rPr>
          <w:color w:val="0000FF"/>
          <w:sz w:val="18"/>
        </w:rPr>
        <w:t>Note: Outcome regression with firm-bootstrap standard errors; each row changes one feature; firm counts for ln(MTB). *, **, ***: 10%, 5%, 1%.</w:t>
      </w:r>
    </w:p>
    <w:p>
      <w:pPr>
        <w:spacing w:line="360" w:lineRule="auto" w:after="120" w:before="0"/>
        <w:ind w:firstLine="720"/>
        <w:jc w:val="both"/>
      </w:pPr>
      <w:r>
        <w:rPr>
          <w:color w:val="0000FF"/>
        </w:rPr>
        <w:t>The reference year thus drives the difference.</w:t>
      </w:r>
      <w:r>
        <w:rPr/>
        <w:t xml:space="preserve"> </w:t>
      </w:r>
      <w:r>
        <w:rPr>
          <w:color w:val="0000FF"/>
        </w:rPr>
        <w:t>Moving it from g − 1 to g subtracts from each later estimate the change in log MTB of the same scored firms, relative to the same never-scored firms, between g − 1 and g.</w:t>
      </w:r>
      <w:r>
        <w:rPr/>
        <w:t xml:space="preserve"> </w:t>
      </w:r>
      <w:r>
        <w:rPr>
          <w:color w:val="0000FF"/>
        </w:rPr>
        <w:t>The row 4 step, 0.044, is therefore each cohort's own change between g − 1 and g averaged with the weights of event years 1 to 4, which fall most on the early cohorts observed longest after entry; it is an accounting identity, not a separate estimate, and it is larger than the pooled event-year-0 estimate in Figure 1.</w:t>
      </w:r>
      <w:r>
        <w:rPr/>
        <w:t xml:space="preserve"> </w:t>
      </w:r>
      <w:r>
        <w:rPr>
          <w:color w:val="0000FF"/>
        </w:rPr>
        <w:t>Part of the decline under the later dating is thus the rise these cohorts had in the first recorded year itself.</w:t>
      </w:r>
      <w:r>
        <w:rPr/>
        <w:t xml:space="preserve"> </w:t>
      </w:r>
      <w:r>
        <w:rPr>
          <w:color w:val="0000FF"/>
        </w:rPr>
        <w:t>The cohorts observed through event year 4 (rows 7 to 10) show the same pattern more strongly.</w:t>
      </w:r>
    </w:p>
    <w:p>
      <w:pPr>
        <w:spacing w:line="360" w:lineRule="auto" w:after="120" w:before="0"/>
        <w:ind w:firstLine="720"/>
        <w:jc w:val="both"/>
      </w:pPr>
      <w:r>
        <w:rPr>
          <w:color w:val="0000FF"/>
        </w:rPr>
        <w:t>The timing difference is also concentrated in the waves that had a run-up.</w:t>
      </w:r>
      <w:r>
        <w:rPr/>
        <w:t xml:space="preserve"> </w:t>
      </w:r>
      <w:r>
        <w:rPr>
          <w:color w:val="0000FF"/>
        </w:rPr>
        <w:t>Under the one-year-later dating, the MTB change is −0.136 for the Thai and Singaporean wave and −0.111 for the remaining cohorts, but 0.012 for the Malaysian wave (Table S6 of the supplementary material).</w:t>
      </w:r>
      <w:r>
        <w:rPr/>
        <w:t xml:space="preserve"> </w:t>
      </w:r>
      <w:r>
        <w:rPr>
          <w:color w:val="0000FF"/>
        </w:rPr>
        <w:t>Tested with joint firm-bootstrap draws, the Thai and Singaporean wave differs from the Malaysian wave both in the run-up (difference in the event-year −5 estimate −0.258, p = 0.010) and in the one-year-later change (−0.148, p = 0.006).</w:t>
      </w:r>
      <w:r>
        <w:rPr/>
        <w:t xml:space="preserve"> </w:t>
      </w:r>
      <w:r>
        <w:rPr>
          <w:color w:val="0000FF"/>
        </w:rPr>
        <w:t>The remaining cohorts differ from the Malaysian wave in the one-year-later change (−0.123, p = 0.010) but not detectably in the run-up (p = 0.307).</w:t>
      </w:r>
      <w:r>
        <w:rPr/>
        <w:t xml:space="preserve"> </w:t>
      </w:r>
      <w:r>
        <w:rPr>
          <w:color w:val="0000FF"/>
        </w:rPr>
        <w:t>Where no run-up was detected, neither dating detects an MTB change (95% intervals −0.053 to 0.091 and −0.055 to 0.076).</w:t>
      </w:r>
    </w:p>
    <w:p>
      <w:pPr>
        <w:spacing w:line="360" w:lineRule="auto" w:after="120" w:before="0"/>
        <w:ind w:firstLine="720"/>
        <w:jc w:val="both"/>
      </w:pPr>
      <w:r>
        <w:rPr>
          <w:color w:val="0000FF"/>
        </w:rPr>
        <w:t>Two readings fit this pattern.</w:t>
      </w:r>
      <w:r>
        <w:rPr/>
        <w:t xml:space="preserve"> </w:t>
      </w:r>
      <w:r>
        <w:rPr>
          <w:color w:val="0000FF"/>
        </w:rPr>
        <w:t>If firms were selected at an unusually high valuation that later partly reversed, the one-year-later estimate measures that reversal and could hide a gain from coverage; if valuations would otherwise have stayed at their peak, coverage lowered them.</w:t>
      </w:r>
      <w:r>
        <w:rPr/>
        <w:t xml:space="preserve"> </w:t>
      </w:r>
      <w:r>
        <w:rPr>
          <w:color w:val="0000FF"/>
        </w:rPr>
        <w:t>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FF"/>
          <w:sz w:val="24"/>
        </w:rPr>
        <w:t>5.5 Sensitivity to Departures from Parallel Trends</w:t>
      </w:r>
    </w:p>
    <w:p>
      <w:pPr>
        <w:spacing w:line="360" w:lineRule="auto" w:after="120" w:before="0"/>
        <w:ind w:firstLine="720"/>
        <w:jc w:val="both"/>
      </w:pPr>
      <w:r>
        <w:rPr>
          <w:color w:val="0000FF"/>
        </w:rPr>
        <w:t>Row R11 keeps the 7 cohorts observed through event year 3 and gives −0.008 (p = 0.806), so changing cohort composition does not explain the headline estimate.</w:t>
      </w:r>
      <w:r>
        <w:rPr/>
        <w:t xml:space="preserve"> </w:t>
      </w:r>
      <w:r>
        <w:rPr>
          <w:color w:val="0000FF"/>
        </w:rPr>
        <w:t>Removing a linear pre-trend (row R7) gives −0.052, and matching on pre-coverage growth (row R8) gives 0.028; both intervals include zero.</w:t>
      </w:r>
      <w:r>
        <w:rPr/>
        <w:t xml:space="preserve"> </w:t>
      </w:r>
      <w:r>
        <w:rPr>
          <w:color w:val="0000FF"/>
        </w:rPr>
        <w:t>Under the relative-magnitude bounds (Table S7), with M̄ = 0.25 the interval for the MTB effect is −0.071 to 0.073, and any departure with M̄ above 0.01 admits a 5% increase.</w:t>
      </w:r>
      <w:r>
        <w:rPr/>
        <w:t xml:space="preserve"> </w:t>
      </w:r>
      <w:r>
        <w:rPr>
          <w:color w:val="0000FF"/>
        </w:rPr>
        <w:t>Under the one-year-later dating, the decline loses significance with M̄ = 0.25, when its interval runs from −0.138 to 0.002.</w:t>
      </w:r>
      <w:r>
        <w:rPr/>
        <w:t xml:space="preserve"> </w:t>
      </w:r>
      <w:r>
        <w:rPr>
          <w:color w:val="0000FF"/>
        </w:rPr>
        <w:t>Departures from parallel trends smaller than those observed before coverage are therefore enough to change the reading of either dating.</w:t>
      </w:r>
    </w:p>
    <w:p>
      <w:pPr>
        <w:pStyle w:val="Heading2"/>
        <w:keepNext/>
        <w:spacing w:line="360" w:lineRule="auto" w:after="120" w:before="160"/>
      </w:pPr>
      <w:r>
        <w:rPr>
          <w:rFonts w:ascii="Times New Roman" w:hAnsi="Times New Roman" w:eastAsia="Times New Roman"/>
          <w:b/>
          <w:i w:val="0"/>
          <w:color w:val="0000FF"/>
          <w:sz w:val="24"/>
        </w:rPr>
        <w:t>5.6 Firm Size and Common Support</w:t>
      </w:r>
    </w:p>
    <w:p>
      <w:pPr>
        <w:spacing w:line="360" w:lineRule="auto" w:after="120" w:before="0"/>
        <w:ind w:firstLine="720"/>
        <w:jc w:val="both"/>
      </w:pPr>
      <w:r>
        <w:rPr>
          <w:color w:val="0000FF"/>
        </w:rPr>
        <w:t>Table 5 varies the size adjustment and the support.</w:t>
      </w:r>
      <w:r>
        <w:rPr/>
        <w:t xml:space="preserve"> </w:t>
      </w:r>
      <w:r>
        <w:rPr>
          <w:color w:val="0000FF"/>
        </w:rPr>
        <w:t>Across functional forms (none, linear, quadratic, cubic, quintile indicators, or size measured at g − 3), the MTB estimate stays between −0.010 and 0.025.</w:t>
      </w:r>
      <w:r>
        <w:rPr/>
        <w:t xml:space="preserve"> </w:t>
      </w:r>
      <w:r>
        <w:rPr>
          <w:color w:val="0000FF"/>
        </w:rPr>
        <w:t>Keeping scored firms no larger than the 95th percentile of controls in their cell retains 487 scored firms and gives −0.021 (p = 0.426); the 90th and 99th percentile cut-offs give −0.013 and −0.006.</w:t>
      </w:r>
      <w:r>
        <w:rPr/>
        <w:t xml:space="preserve"> </w:t>
      </w:r>
      <w:r>
        <w:rPr>
          <w:color w:val="0000FF"/>
        </w:rPr>
        <w:t>Within this support the doubly robust estimator of Sant'Anna and Zhao (2020), with control propensity scores capped at 0.99, gives −0.010 (p = 0.715), and only 1.1% of scored firm-cells have an estimated propensity score above 0.95.</w:t>
      </w:r>
      <w:r>
        <w:rPr/>
        <w:t xml:space="preserve"> </w:t>
      </w:r>
      <w:r>
        <w:rPr>
          <w:color w:val="0000FF"/>
        </w:rPr>
        <w:t>The MTB result does not depend on extrapolating to the largest firms.</w:t>
      </w:r>
    </w:p>
    <w:p>
      <w:pPr>
        <w:keepNext/>
        <w:spacing w:line="240" w:lineRule="auto" w:after="120" w:before="240"/>
        <w:jc w:val="center"/>
      </w:pPr>
      <w:r>
        <w:rPr>
          <w:color w:val="0000FF"/>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224"/>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744"/>
          </w:tcPr>
          <w:p>
            <w:pPr>
              <w:keepNext/>
              <w:spacing w:after="0" w:line="240" w:lineRule="auto"/>
            </w:pPr>
            <w:r/>
            <w:r>
              <w:rPr>
                <w:b/>
                <w:color w:val="0000FF"/>
                <w:sz w:val="18"/>
              </w:rPr>
              <w:t>Baseline: quadratic in log total assets at g − 1</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No covariates</w:t>
            </w:r>
          </w:p>
        </w:tc>
        <w:tc>
          <w:tcPr>
            <w:tcW w:type="dxa" w:w="1584"/>
          </w:tcPr>
          <w:p>
            <w:pPr>
              <w:keepNext/>
              <w:spacing w:after="0" w:line="240" w:lineRule="auto"/>
              <w:jc w:val="center"/>
            </w:pPr>
            <w:r/>
            <w:r>
              <w:rPr>
                <w:color w:val="0000FF"/>
                <w:sz w:val="18"/>
              </w:rPr>
              <w:t>0.025</w:t>
            </w:r>
            <w:r>
              <w:br/>
            </w:r>
            <w:r>
              <w:rPr>
                <w:color w:val="0000FF"/>
                <w:sz w:val="18"/>
              </w:rPr>
              <w:t>(0.022)</w:t>
            </w:r>
          </w:p>
        </w:tc>
        <w:tc>
          <w:tcPr>
            <w:tcW w:type="dxa" w:w="1656"/>
          </w:tcPr>
          <w:p>
            <w:pPr>
              <w:keepNext/>
              <w:spacing w:after="0" w:line="240" w:lineRule="auto"/>
              <w:jc w:val="center"/>
            </w:pPr>
            <w:r/>
            <w:r>
              <w:rPr>
                <w:color w:val="0000FF"/>
                <w:sz w:val="18"/>
              </w:rPr>
              <w:t>0.016</w:t>
            </w:r>
            <w:r>
              <w:br/>
            </w:r>
            <w:r>
              <w:rPr>
                <w:color w:val="0000FF"/>
                <w:sz w:val="18"/>
              </w:rPr>
              <w:t>(0.025)</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Linear in log total assets</w:t>
            </w:r>
          </w:p>
        </w:tc>
        <w:tc>
          <w:tcPr>
            <w:tcW w:type="dxa" w:w="1584"/>
          </w:tcPr>
          <w:p>
            <w:pPr>
              <w:keepNext/>
              <w:spacing w:after="0" w:line="240" w:lineRule="auto"/>
              <w:jc w:val="center"/>
            </w:pPr>
            <w:r/>
            <w:r>
              <w:rPr>
                <w:color w:val="0000FF"/>
                <w:sz w:val="18"/>
              </w:rPr>
              <w:t>−0.003</w:t>
            </w:r>
            <w:r>
              <w:br/>
            </w:r>
            <w:r>
              <w:rPr>
                <w:color w:val="0000FF"/>
                <w:sz w:val="18"/>
              </w:rPr>
              <w:t>(0.023)</w:t>
            </w:r>
          </w:p>
        </w:tc>
        <w:tc>
          <w:tcPr>
            <w:tcW w:type="dxa" w:w="1656"/>
          </w:tcPr>
          <w:p>
            <w:pPr>
              <w:keepNext/>
              <w:spacing w:after="0" w:line="240" w:lineRule="auto"/>
              <w:jc w:val="center"/>
            </w:pPr>
            <w:r/>
            <w:r>
              <w:rPr>
                <w:color w:val="0000FF"/>
                <w:sz w:val="18"/>
              </w:rPr>
              <w:t>−0.033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Cubic in log total assets</w:t>
            </w:r>
          </w:p>
        </w:tc>
        <w:tc>
          <w:tcPr>
            <w:tcW w:type="dxa" w:w="1584"/>
          </w:tcPr>
          <w:p>
            <w:pPr>
              <w:keepNext/>
              <w:spacing w:after="0" w:line="240" w:lineRule="auto"/>
              <w:jc w:val="center"/>
            </w:pPr>
            <w:r/>
            <w:r>
              <w:rPr>
                <w:color w:val="0000FF"/>
                <w:sz w:val="18"/>
              </w:rPr>
              <w:t>−0.009</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Size quintile indicators</w:t>
            </w:r>
          </w:p>
        </w:tc>
        <w:tc>
          <w:tcPr>
            <w:tcW w:type="dxa" w:w="1584"/>
          </w:tcPr>
          <w:p>
            <w:pPr>
              <w:keepNext/>
              <w:spacing w:after="0" w:line="240" w:lineRule="auto"/>
              <w:jc w:val="center"/>
            </w:pPr>
            <w:r/>
            <w:r>
              <w:rPr>
                <w:color w:val="0000FF"/>
                <w:sz w:val="18"/>
              </w:rPr>
              <w:t>−0.010</w:t>
            </w:r>
            <w:r>
              <w:br/>
            </w:r>
            <w:r>
              <w:rPr>
                <w:color w:val="0000FF"/>
                <w:sz w:val="18"/>
              </w:rPr>
              <w:t>(0.023)</w:t>
            </w:r>
          </w:p>
        </w:tc>
        <w:tc>
          <w:tcPr>
            <w:tcW w:type="dxa" w:w="1656"/>
          </w:tcPr>
          <w:p>
            <w:pPr>
              <w:keepNext/>
              <w:spacing w:after="0" w:line="240" w:lineRule="auto"/>
              <w:jc w:val="center"/>
            </w:pPr>
            <w:r/>
            <w:r>
              <w:rPr>
                <w:color w:val="0000FF"/>
                <w:sz w:val="18"/>
              </w:rPr>
              <w:t>−0.053*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Quadratic, total assets at g − 3</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r>
              <w:rPr>
                <w:color w:val="0000FF"/>
                <w:sz w:val="18"/>
              </w:rPr>
              <w:t>−0.059*</w:t>
            </w:r>
            <w:r>
              <w:br/>
            </w:r>
            <w:r>
              <w:rPr>
                <w:color w:val="0000FF"/>
                <w:sz w:val="18"/>
              </w:rPr>
              <w:t>(0.032)</w:t>
            </w:r>
          </w:p>
        </w:tc>
        <w:tc>
          <w:tcPr>
            <w:tcW w:type="dxa" w:w="1224"/>
          </w:tcPr>
          <w:p>
            <w:pPr>
              <w:keepNext/>
              <w:spacing w:after="0" w:line="240" w:lineRule="auto"/>
              <w:jc w:val="center"/>
            </w:pPr>
            <w:r/>
            <w:r>
              <w:rPr>
                <w:color w:val="0000FF"/>
                <w:sz w:val="18"/>
              </w:rPr>
              <w:t>592</w:t>
            </w:r>
          </w:p>
        </w:tc>
        <w:tc>
          <w:tcPr>
            <w:tcW w:type="dxa" w:w="1152"/>
          </w:tcPr>
          <w:p>
            <w:pPr>
              <w:keepNext/>
              <w:spacing w:after="0" w:line="240" w:lineRule="auto"/>
              <w:jc w:val="center"/>
            </w:pPr>
            <w:r/>
            <w:r>
              <w:rPr>
                <w:color w:val="0000FF"/>
                <w:sz w:val="18"/>
              </w:rPr>
              <w:t>2,396</w:t>
            </w:r>
          </w:p>
        </w:tc>
      </w:tr>
      <w:tr>
        <w:trPr>
          <w:cantSplit/>
        </w:trPr>
        <w:tc>
          <w:tcPr>
            <w:tcW w:type="dxa" w:w="3744"/>
          </w:tcPr>
          <w:p>
            <w:pPr>
              <w:keepNext/>
              <w:spacing w:after="0" w:line="240" w:lineRule="auto"/>
            </w:pPr>
            <w:r/>
            <w:r>
              <w:rPr>
                <w:b/>
                <w:color w:val="0000FF"/>
                <w:sz w:val="18"/>
              </w:rPr>
              <w:t>Scored firms ≤ 99th percentile of controls</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r>
              <w:rPr>
                <w:color w:val="0000FF"/>
                <w:sz w:val="18"/>
              </w:rPr>
              <w:t>−0.061**</w:t>
            </w:r>
            <w:r>
              <w:br/>
            </w:r>
            <w:r>
              <w:rPr>
                <w:color w:val="0000FF"/>
                <w:sz w:val="18"/>
              </w:rPr>
              <w:t>(0.031)</w:t>
            </w:r>
          </w:p>
        </w:tc>
        <w:tc>
          <w:tcPr>
            <w:tcW w:type="dxa" w:w="1224"/>
          </w:tcPr>
          <w:p>
            <w:pPr>
              <w:keepNext/>
              <w:spacing w:after="0" w:line="240" w:lineRule="auto"/>
              <w:jc w:val="center"/>
            </w:pPr>
            <w:r/>
            <w:r>
              <w:rPr>
                <w:color w:val="0000FF"/>
                <w:sz w:val="18"/>
              </w:rPr>
              <w:t>586</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95th percentile of controls</w:t>
            </w:r>
          </w:p>
        </w:tc>
        <w:tc>
          <w:tcPr>
            <w:tcW w:type="dxa" w:w="1584"/>
          </w:tcPr>
          <w:p>
            <w:pPr>
              <w:keepNext/>
              <w:spacing w:after="0" w:line="240" w:lineRule="auto"/>
              <w:jc w:val="center"/>
            </w:pPr>
            <w:r/>
            <w:r>
              <w:rPr>
                <w:color w:val="0000FF"/>
                <w:sz w:val="18"/>
              </w:rPr>
              <w:t>−0.021</w:t>
            </w:r>
            <w:r>
              <w:br/>
            </w:r>
            <w:r>
              <w:rPr>
                <w:color w:val="0000FF"/>
                <w:sz w:val="18"/>
              </w:rPr>
              <w:t>(0.026)</w:t>
            </w:r>
          </w:p>
        </w:tc>
        <w:tc>
          <w:tcPr>
            <w:tcW w:type="dxa" w:w="1656"/>
          </w:tcPr>
          <w:p>
            <w:pPr>
              <w:keepNext/>
              <w:spacing w:after="0" w:line="240" w:lineRule="auto"/>
              <w:jc w:val="center"/>
            </w:pPr>
            <w:r/>
            <w:r>
              <w:rPr>
                <w:color w:val="0000FF"/>
                <w:sz w:val="18"/>
              </w:rPr>
              <w:t>−0.096***</w:t>
            </w:r>
            <w:r>
              <w:br/>
            </w:r>
            <w:r>
              <w:rPr>
                <w:color w:val="0000FF"/>
                <w:sz w:val="18"/>
              </w:rPr>
              <w:t>(0.035)</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90th percentile of controls</w:t>
            </w:r>
          </w:p>
        </w:tc>
        <w:tc>
          <w:tcPr>
            <w:tcW w:type="dxa" w:w="1584"/>
          </w:tcPr>
          <w:p>
            <w:pPr>
              <w:keepNext/>
              <w:spacing w:after="0" w:line="240" w:lineRule="auto"/>
              <w:jc w:val="center"/>
            </w:pPr>
            <w:r/>
            <w:r>
              <w:rPr>
                <w:color w:val="0000FF"/>
                <w:sz w:val="18"/>
              </w:rPr>
              <w:t>−0.013</w:t>
            </w:r>
            <w:r>
              <w:br/>
            </w:r>
            <w:r>
              <w:rPr>
                <w:color w:val="0000FF"/>
                <w:sz w:val="18"/>
              </w:rPr>
              <w:t>(0.028)</w:t>
            </w:r>
          </w:p>
        </w:tc>
        <w:tc>
          <w:tcPr>
            <w:tcW w:type="dxa" w:w="1656"/>
          </w:tcPr>
          <w:p>
            <w:pPr>
              <w:keepNext/>
              <w:spacing w:after="0" w:line="240" w:lineRule="auto"/>
              <w:jc w:val="center"/>
            </w:pPr>
            <w:r/>
            <w:r>
              <w:rPr>
                <w:color w:val="0000FF"/>
                <w:sz w:val="18"/>
              </w:rPr>
              <w:t>−0.093**</w:t>
            </w:r>
            <w:r>
              <w:br/>
            </w:r>
            <w:r>
              <w:rPr>
                <w:color w:val="0000FF"/>
                <w:sz w:val="18"/>
              </w:rPr>
              <w:t>(0.039)</w:t>
            </w:r>
          </w:p>
        </w:tc>
        <w:tc>
          <w:tcPr>
            <w:tcW w:type="dxa" w:w="1224"/>
          </w:tcPr>
          <w:p>
            <w:pPr>
              <w:keepNext/>
              <w:spacing w:after="0" w:line="240" w:lineRule="auto"/>
              <w:jc w:val="center"/>
            </w:pPr>
            <w:r/>
            <w:r>
              <w:rPr>
                <w:color w:val="0000FF"/>
                <w:sz w:val="18"/>
              </w:rPr>
              <w:t>420</w:t>
            </w:r>
          </w:p>
        </w:tc>
        <w:tc>
          <w:tcPr>
            <w:tcW w:type="dxa" w:w="1152"/>
          </w:tcPr>
          <w:p>
            <w:pPr>
              <w:keepNext/>
              <w:spacing w:after="0" w:line="240" w:lineRule="auto"/>
              <w:jc w:val="center"/>
            </w:pPr>
            <w:r/>
            <w:r>
              <w:rPr>
                <w:color w:val="0000FF"/>
                <w:sz w:val="18"/>
              </w:rPr>
              <w:t>2,407</w:t>
            </w:r>
          </w:p>
        </w:tc>
      </w:tr>
      <w:tr>
        <w:trPr>
          <w:cantSplit/>
        </w:trPr>
        <w:tc>
          <w:tcPr>
            <w:tcW w:type="dxa" w:w="3744"/>
          </w:tcPr>
          <w:p>
            <w:pPr>
              <w:keepNext/>
              <w:spacing w:after="0" w:line="240" w:lineRule="auto"/>
            </w:pPr>
            <w:r/>
            <w:r>
              <w:rPr>
                <w:b/>
                <w:color w:val="0000FF"/>
                <w:sz w:val="18"/>
              </w:rPr>
              <w:t>Doubly robust, ≤ 95th percentile</w:t>
            </w:r>
          </w:p>
        </w:tc>
        <w:tc>
          <w:tcPr>
            <w:tcW w:type="dxa" w:w="1584"/>
          </w:tcPr>
          <w:p>
            <w:pPr>
              <w:keepNext/>
              <w:spacing w:after="0" w:line="240" w:lineRule="auto"/>
              <w:jc w:val="center"/>
            </w:pPr>
            <w:r/>
            <w:r>
              <w:rPr>
                <w:color w:val="0000FF"/>
                <w:sz w:val="18"/>
              </w:rPr>
              <w:t>−0.010</w:t>
            </w:r>
            <w:r>
              <w:br/>
            </w:r>
            <w:r>
              <w:rPr>
                <w:color w:val="0000FF"/>
                <w:sz w:val="18"/>
              </w:rPr>
              <w:t>(0.027)</w:t>
            </w:r>
          </w:p>
        </w:tc>
        <w:tc>
          <w:tcPr>
            <w:tcW w:type="dxa" w:w="1656"/>
          </w:tcPr>
          <w:p>
            <w:pPr>
              <w:keepNext/>
              <w:spacing w:after="0" w:line="240" w:lineRule="auto"/>
              <w:jc w:val="center"/>
            </w:pPr>
            <w:r/>
            <w:r>
              <w:rPr>
                <w:color w:val="0000FF"/>
                <w:sz w:val="18"/>
              </w:rPr>
              <w:t>−0.064*</w:t>
            </w:r>
            <w:r>
              <w:br/>
            </w:r>
            <w:r>
              <w:rPr>
                <w:color w:val="0000FF"/>
                <w:sz w:val="18"/>
              </w:rPr>
              <w:t>(0.034)</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Borders>
              <w:bottom w:val="single" w:sz="6" w:color="000000"/>
            </w:tcBorders>
          </w:tcPr>
          <w:p>
            <w:pPr>
              <w:spacing w:after="0" w:line="240" w:lineRule="auto"/>
            </w:pPr>
            <w:r/>
            <w:r>
              <w:rPr>
                <w:b/>
                <w:color w:val="0000FF"/>
                <w:sz w:val="18"/>
              </w:rPr>
              <w:t>Doubly robust, ≤ 90th percentile</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(0.029)</w:t>
            </w:r>
          </w:p>
        </w:tc>
        <w:tc>
          <w:tcPr>
            <w:tcW w:type="dxa" w:w="1656"/>
            <w:tcBorders>
              <w:bottom w:val="single" w:sz="6" w:color="000000"/>
            </w:tcBorders>
          </w:tcPr>
          <w:p>
            <w:pPr>
              <w:spacing w:after="0" w:line="240" w:lineRule="auto"/>
              <w:jc w:val="center"/>
            </w:pPr>
            <w:r/>
            <w:r>
              <w:rPr>
                <w:color w:val="0000FF"/>
                <w:sz w:val="18"/>
              </w:rPr>
              <w:t>−0.061</w:t>
            </w:r>
            <w:r>
              <w:br/>
            </w:r>
            <w:r>
              <w:rPr>
                <w:color w:val="0000FF"/>
                <w:sz w:val="18"/>
              </w:rPr>
              <w:t>(0.038)</w:t>
            </w:r>
          </w:p>
        </w:tc>
        <w:tc>
          <w:tcPr>
            <w:tcW w:type="dxa" w:w="1224"/>
            <w:tcBorders>
              <w:bottom w:val="single" w:sz="6" w:color="000000"/>
            </w:tcBorders>
          </w:tcPr>
          <w:p>
            <w:pPr>
              <w:spacing w:after="0" w:line="240" w:lineRule="auto"/>
              <w:jc w:val="center"/>
            </w:pPr>
            <w:r/>
            <w:r>
              <w:rPr>
                <w:color w:val="0000FF"/>
                <w:sz w:val="18"/>
              </w:rPr>
              <w:t>420</w:t>
            </w:r>
          </w:p>
        </w:tc>
        <w:tc>
          <w:tcPr>
            <w:tcW w:type="dxa" w:w="1152"/>
            <w:tcBorders>
              <w:bottom w:val="single" w:sz="6" w:color="000000"/>
            </w:tcBorders>
          </w:tcPr>
          <w:p>
            <w:pPr>
              <w:spacing w:after="0" w:line="240" w:lineRule="auto"/>
              <w:jc w:val="center"/>
            </w:pPr>
            <w:r/>
            <w:r>
              <w:rPr>
                <w:color w:val="0000FF"/>
                <w:sz w:val="18"/>
              </w:rPr>
              <w:t>2,407</w:t>
            </w:r>
          </w:p>
        </w:tc>
      </w:tr>
    </w:tbl>
    <w:p>
      <w:pPr>
        <w:spacing w:line="240" w:lineRule="auto" w:after="40" w:before="280"/>
        <w:jc w:val="both"/>
      </w:pPr>
      <w:r>
        <w:rPr>
          <w:color w:val="0000FF"/>
          <w:sz w:val="18"/>
        </w:rPr>
        <w:t>Note: Outcome regression unless doubly robust, with firm-bootstrap standard errors; firm counts for ln(MTB). *, **, ***: 10%, 5%, 1%.</w:t>
      </w:r>
    </w:p>
    <w:p>
      <w:pPr>
        <w:spacing w:line="360" w:lineRule="auto" w:after="120" w:before="0"/>
        <w:ind w:firstLine="720"/>
        <w:jc w:val="both"/>
      </w:pPr>
      <w:r>
        <w:rPr>
          <w:color w:val="0000FF"/>
        </w:rPr>
        <w:t>Market capitalization is more sensitive: its estimate is 0.016 without covariates, between −0.059 and −0.033 across the functional forms that adjust for size, and between −0.096 and −0.061 on the restricted supports, as expected when size enters both selection and the outcome.</w:t>
      </w:r>
      <w:r>
        <w:rPr/>
        <w:t xml:space="preserve"> </w:t>
      </w:r>
      <w:r>
        <w:rPr>
          <w:color w:val="0000FF"/>
        </w:rPr>
        <w:t>Table 6 describes the scored firms that the 95th percentile restriction keeps and drops.</w:t>
      </w:r>
      <w:r>
        <w:rPr/>
        <w:t xml:space="preserve"> </w:t>
      </w:r>
      <w:r>
        <w:rPr>
          <w:color w:val="0000FF"/>
        </w:rPr>
        <w:t>The 138 excluded firms are large (median total assets of 2,351.7 million U.S. dollars against 170.9 million) and more often Singaporean (29.0% against 1.2%), Indonesian (18.1% against 2.9%), or Thai (29.0% against 24.0%), while the retained firms are mostly Malaysian (71.5%).</w:t>
      </w:r>
      <w:r>
        <w:rPr/>
        <w:t xml:space="preserve"> </w:t>
      </w:r>
      <w:r>
        <w:rPr>
          <w:color w:val="0000FF"/>
        </w:rPr>
        <w:t>The restricted estimate thus describes mid-sized scored firms, largely from the Malaysian expansion.</w:t>
      </w:r>
    </w:p>
    <w:p>
      <w:pPr>
        <w:keepNext/>
        <w:spacing w:line="240" w:lineRule="auto" w:after="120" w:before="240"/>
        <w:jc w:val="center"/>
      </w:pPr>
      <w:r>
        <w:rPr>
          <w:color w:val="0000FF"/>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color w:val="0000FF"/>
                <w:sz w:val="18"/>
              </w:rPr>
              <w:t>Characteristic</w:t>
            </w:r>
          </w:p>
        </w:tc>
        <w:tc>
          <w:tcPr>
            <w:tcW w:type="dxa" w:w="1584"/>
            <w:tcBorders>
              <w:top w:val="single" w:sz="6" w:color="000000"/>
              <w:bottom w:val="single" w:sz="6" w:color="000000"/>
            </w:tcBorders>
          </w:tcPr>
          <w:p>
            <w:pPr>
              <w:keepNext/>
              <w:spacing w:after="0" w:line="240" w:lineRule="auto"/>
              <w:jc w:val="center"/>
            </w:pPr>
            <w:r/>
            <w:r>
              <w:rPr>
                <w:b/>
                <w:color w:val="0000FF"/>
                <w:sz w:val="18"/>
              </w:rPr>
              <w:t>Retained</w:t>
            </w:r>
          </w:p>
        </w:tc>
        <w:tc>
          <w:tcPr>
            <w:tcW w:type="dxa" w:w="1584"/>
            <w:tcBorders>
              <w:top w:val="single" w:sz="6" w:color="000000"/>
              <w:bottom w:val="single" w:sz="6" w:color="000000"/>
            </w:tcBorders>
          </w:tcPr>
          <w:p>
            <w:pPr>
              <w:keepNext/>
              <w:spacing w:after="0" w:line="240" w:lineRule="auto"/>
              <w:jc w:val="center"/>
            </w:pPr>
            <w:r/>
            <w:r>
              <w:rPr>
                <w:b/>
                <w:color w:val="0000FF"/>
                <w:sz w:val="18"/>
              </w:rPr>
              <w:t>Excluded</w:t>
            </w:r>
          </w:p>
        </w:tc>
        <w:tc>
          <w:tcPr>
            <w:tcW w:type="dxa" w:w="2016"/>
            <w:tcBorders>
              <w:top w:val="single" w:sz="6" w:color="000000"/>
              <w:bottom w:val="single" w:sz="6" w:color="000000"/>
            </w:tcBorders>
          </w:tcPr>
          <w:p>
            <w:pPr>
              <w:keepNext/>
              <w:spacing w:after="0" w:line="240" w:lineRule="auto"/>
              <w:jc w:val="center"/>
            </w:pPr>
            <w:r/>
            <w:r>
              <w:rPr>
                <w:b/>
                <w:color w:val="0000FF"/>
                <w:sz w:val="18"/>
              </w:rPr>
              <w:t>Never-scored</w:t>
            </w:r>
            <w:r>
              <w:br/>
            </w:r>
            <w:r>
              <w:rPr>
                <w:b/>
                <w:color w:val="0000FF"/>
                <w:sz w:val="18"/>
              </w:rPr>
              <w:t>(all years)</w:t>
            </w:r>
          </w:p>
        </w:tc>
      </w:tr>
      <w:tr>
        <w:trPr>
          <w:cantSplit/>
        </w:trPr>
        <w:tc>
          <w:tcPr>
            <w:tcW w:type="dxa" w:w="4032"/>
          </w:tcPr>
          <w:p>
            <w:pPr>
              <w:keepNext/>
              <w:spacing w:after="0" w:line="240" w:lineRule="auto"/>
            </w:pPr>
            <w:r/>
            <w:r>
              <w:rPr>
                <w:b/>
                <w:color w:val="0000FF"/>
                <w:sz w:val="18"/>
              </w:rPr>
              <w:t>Firms</w:t>
            </w:r>
          </w:p>
        </w:tc>
        <w:tc>
          <w:tcPr>
            <w:tcW w:type="dxa" w:w="1584"/>
          </w:tcPr>
          <w:p>
            <w:pPr>
              <w:keepNext/>
              <w:spacing w:after="0" w:line="240" w:lineRule="auto"/>
              <w:jc w:val="center"/>
            </w:pPr>
            <w:r/>
            <w:r>
              <w:rPr>
                <w:color w:val="0000FF"/>
                <w:sz w:val="18"/>
              </w:rPr>
              <w:t>487</w:t>
            </w:r>
          </w:p>
        </w:tc>
        <w:tc>
          <w:tcPr>
            <w:tcW w:type="dxa" w:w="1584"/>
          </w:tcPr>
          <w:p>
            <w:pPr>
              <w:keepNext/>
              <w:spacing w:after="0" w:line="240" w:lineRule="auto"/>
              <w:jc w:val="center"/>
            </w:pPr>
            <w:r/>
            <w:r>
              <w:rPr>
                <w:color w:val="0000FF"/>
                <w:sz w:val="18"/>
              </w:rPr>
              <w:t>138</w:t>
            </w:r>
          </w:p>
        </w:tc>
        <w:tc>
          <w:tcPr>
            <w:tcW w:type="dxa" w:w="2016"/>
          </w:tcPr>
          <w:p>
            <w:pPr>
              <w:keepNext/>
              <w:spacing w:after="0" w:line="240" w:lineRule="auto"/>
              <w:jc w:val="center"/>
            </w:pPr>
            <w:r/>
            <w:r>
              <w:rPr>
                <w:color w:val="0000FF"/>
                <w:sz w:val="18"/>
              </w:rPr>
              <w:t>2,613</w:t>
            </w:r>
          </w:p>
        </w:tc>
      </w:tr>
      <w:tr>
        <w:trPr>
          <w:cantSplit/>
        </w:trPr>
        <w:tc>
          <w:tcPr>
            <w:tcW w:type="dxa" w:w="4032"/>
          </w:tcPr>
          <w:p>
            <w:pPr>
              <w:keepNext/>
              <w:spacing w:after="0" w:line="240" w:lineRule="auto"/>
            </w:pPr>
            <w:r/>
            <w:r>
              <w:rPr>
                <w:b/>
                <w:color w:val="0000FF"/>
                <w:sz w:val="18"/>
              </w:rPr>
              <w:t>Median total assets (USD million)</w:t>
            </w:r>
          </w:p>
        </w:tc>
        <w:tc>
          <w:tcPr>
            <w:tcW w:type="dxa" w:w="1584"/>
          </w:tcPr>
          <w:p>
            <w:pPr>
              <w:keepNext/>
              <w:spacing w:after="0" w:line="240" w:lineRule="auto"/>
              <w:jc w:val="center"/>
            </w:pPr>
            <w:r/>
            <w:r>
              <w:rPr>
                <w:color w:val="0000FF"/>
                <w:sz w:val="18"/>
              </w:rPr>
              <w:t>170.9</w:t>
            </w:r>
          </w:p>
        </w:tc>
        <w:tc>
          <w:tcPr>
            <w:tcW w:type="dxa" w:w="1584"/>
          </w:tcPr>
          <w:p>
            <w:pPr>
              <w:keepNext/>
              <w:spacing w:after="0" w:line="240" w:lineRule="auto"/>
              <w:jc w:val="center"/>
            </w:pPr>
            <w:r/>
            <w:r>
              <w:rPr>
                <w:color w:val="0000FF"/>
                <w:sz w:val="18"/>
              </w:rPr>
              <w:t>2,351.7</w:t>
            </w:r>
          </w:p>
        </w:tc>
        <w:tc>
          <w:tcPr>
            <w:tcW w:type="dxa" w:w="2016"/>
          </w:tcPr>
          <w:p>
            <w:pPr>
              <w:keepNext/>
              <w:spacing w:after="0" w:line="240" w:lineRule="auto"/>
              <w:jc w:val="center"/>
            </w:pPr>
            <w:r/>
            <w:r>
              <w:rPr>
                <w:color w:val="0000FF"/>
                <w:sz w:val="18"/>
              </w:rPr>
              <w:t>68.7</w:t>
            </w:r>
          </w:p>
        </w:tc>
      </w:tr>
      <w:tr>
        <w:trPr>
          <w:cantSplit/>
        </w:trPr>
        <w:tc>
          <w:tcPr>
            <w:tcW w:type="dxa" w:w="4032"/>
          </w:tcPr>
          <w:p>
            <w:pPr>
              <w:keepNext/>
              <w:spacing w:after="0" w:line="240" w:lineRule="auto"/>
            </w:pPr>
            <w:r/>
            <w:r>
              <w:rPr>
                <w:b/>
                <w:color w:val="0000FF"/>
                <w:sz w:val="18"/>
              </w:rPr>
              <w:t>Median market capitalization (USD million)</w:t>
            </w:r>
          </w:p>
        </w:tc>
        <w:tc>
          <w:tcPr>
            <w:tcW w:type="dxa" w:w="1584"/>
          </w:tcPr>
          <w:p>
            <w:pPr>
              <w:keepNext/>
              <w:spacing w:after="0" w:line="240" w:lineRule="auto"/>
              <w:jc w:val="center"/>
            </w:pPr>
            <w:r/>
            <w:r>
              <w:rPr>
                <w:color w:val="0000FF"/>
                <w:sz w:val="18"/>
              </w:rPr>
              <w:t>129.5</w:t>
            </w:r>
          </w:p>
        </w:tc>
        <w:tc>
          <w:tcPr>
            <w:tcW w:type="dxa" w:w="1584"/>
          </w:tcPr>
          <w:p>
            <w:pPr>
              <w:keepNext/>
              <w:spacing w:after="0" w:line="240" w:lineRule="auto"/>
              <w:jc w:val="center"/>
            </w:pPr>
            <w:r/>
            <w:r>
              <w:rPr>
                <w:color w:val="0000FF"/>
                <w:sz w:val="18"/>
              </w:rPr>
              <w:t>1,478.0</w:t>
            </w:r>
          </w:p>
        </w:tc>
        <w:tc>
          <w:tcPr>
            <w:tcW w:type="dxa" w:w="2016"/>
          </w:tcPr>
          <w:p>
            <w:pPr>
              <w:keepNext/>
              <w:spacing w:after="0" w:line="240" w:lineRule="auto"/>
              <w:jc w:val="center"/>
            </w:pPr>
            <w:r/>
            <w:r>
              <w:rPr>
                <w:color w:val="0000FF"/>
                <w:sz w:val="18"/>
              </w:rPr>
              <w:t>42.2</w:t>
            </w:r>
          </w:p>
        </w:tc>
      </w:tr>
      <w:tr>
        <w:trPr>
          <w:cantSplit/>
        </w:trPr>
        <w:tc>
          <w:tcPr>
            <w:tcW w:type="dxa" w:w="4032"/>
          </w:tcPr>
          <w:p>
            <w:pPr>
              <w:keepNext/>
              <w:spacing w:after="0" w:line="240" w:lineRule="auto"/>
            </w:pPr>
            <w:r/>
            <w:r>
              <w:rPr>
                <w:b/>
                <w:color w:val="0000FF"/>
                <w:sz w:val="18"/>
              </w:rPr>
              <w:t>Median market-to-book ratio</w:t>
            </w:r>
          </w:p>
        </w:tc>
        <w:tc>
          <w:tcPr>
            <w:tcW w:type="dxa" w:w="1584"/>
          </w:tcPr>
          <w:p>
            <w:pPr>
              <w:keepNext/>
              <w:spacing w:after="0" w:line="240" w:lineRule="auto"/>
              <w:jc w:val="center"/>
            </w:pPr>
            <w:r/>
            <w:r>
              <w:rPr>
                <w:color w:val="0000FF"/>
                <w:sz w:val="18"/>
              </w:rPr>
              <w:t>1.34</w:t>
            </w:r>
          </w:p>
        </w:tc>
        <w:tc>
          <w:tcPr>
            <w:tcW w:type="dxa" w:w="1584"/>
          </w:tcPr>
          <w:p>
            <w:pPr>
              <w:keepNext/>
              <w:spacing w:after="0" w:line="240" w:lineRule="auto"/>
              <w:jc w:val="center"/>
            </w:pPr>
            <w:r/>
            <w:r>
              <w:rPr>
                <w:color w:val="0000FF"/>
                <w:sz w:val="18"/>
              </w:rPr>
              <w:t>1.14</w:t>
            </w:r>
          </w:p>
        </w:tc>
        <w:tc>
          <w:tcPr>
            <w:tcW w:type="dxa" w:w="2016"/>
          </w:tcPr>
          <w:p>
            <w:pPr>
              <w:keepNext/>
              <w:spacing w:after="0" w:line="240" w:lineRule="auto"/>
              <w:jc w:val="center"/>
            </w:pPr>
            <w:r/>
            <w:r>
              <w:rPr>
                <w:color w:val="0000FF"/>
                <w:sz w:val="18"/>
              </w:rPr>
              <w:t>0.95</w:t>
            </w:r>
          </w:p>
        </w:tc>
      </w:tr>
      <w:tr>
        <w:trPr>
          <w:cantSplit/>
        </w:trPr>
        <w:tc>
          <w:tcPr>
            <w:tcW w:type="dxa" w:w="4032"/>
          </w:tcPr>
          <w:p>
            <w:pPr>
              <w:keepNext/>
              <w:spacing w:after="0" w:line="240" w:lineRule="auto"/>
            </w:pPr>
            <w:r/>
            <w:r>
              <w:rPr>
                <w:b/>
                <w:color w:val="0000FF"/>
                <w:sz w:val="18"/>
              </w:rPr>
              <w:t>Mean book leverage</w:t>
            </w:r>
          </w:p>
        </w:tc>
        <w:tc>
          <w:tcPr>
            <w:tcW w:type="dxa" w:w="1584"/>
          </w:tcPr>
          <w:p>
            <w:pPr>
              <w:keepNext/>
              <w:spacing w:after="0" w:line="240" w:lineRule="auto"/>
              <w:jc w:val="center"/>
            </w:pPr>
            <w:r/>
            <w:r>
              <w:rPr>
                <w:color w:val="0000FF"/>
                <w:sz w:val="18"/>
              </w:rPr>
              <w:t>0.202</w:t>
            </w:r>
          </w:p>
        </w:tc>
        <w:tc>
          <w:tcPr>
            <w:tcW w:type="dxa" w:w="1584"/>
          </w:tcPr>
          <w:p>
            <w:pPr>
              <w:keepNext/>
              <w:spacing w:after="0" w:line="240" w:lineRule="auto"/>
              <w:jc w:val="center"/>
            </w:pPr>
            <w:r/>
            <w:r>
              <w:rPr>
                <w:color w:val="0000FF"/>
                <w:sz w:val="18"/>
              </w:rPr>
              <w:t>0.330</w:t>
            </w:r>
          </w:p>
        </w:tc>
        <w:tc>
          <w:tcPr>
            <w:tcW w:type="dxa" w:w="2016"/>
          </w:tcPr>
          <w:p>
            <w:pPr>
              <w:keepNext/>
              <w:spacing w:after="0" w:line="240" w:lineRule="auto"/>
              <w:jc w:val="center"/>
            </w:pPr>
            <w:r/>
            <w:r>
              <w:rPr>
                <w:color w:val="0000FF"/>
                <w:sz w:val="18"/>
              </w:rPr>
              <w:t>0.241</w:t>
            </w:r>
          </w:p>
        </w:tc>
      </w:tr>
      <w:tr>
        <w:trPr>
          <w:cantSplit/>
        </w:trPr>
        <w:tc>
          <w:tcPr>
            <w:tcW w:type="dxa" w:w="4032"/>
          </w:tcPr>
          <w:p>
            <w:pPr>
              <w:keepNext/>
              <w:spacing w:after="0" w:line="240" w:lineRule="auto"/>
            </w:pPr>
            <w:r/>
            <w:r>
              <w:rPr>
                <w:b/>
                <w:color w:val="0000FF"/>
                <w:sz w:val="18"/>
              </w:rPr>
              <w:t>Mean initial ESG score</w:t>
            </w:r>
          </w:p>
        </w:tc>
        <w:tc>
          <w:tcPr>
            <w:tcW w:type="dxa" w:w="1584"/>
          </w:tcPr>
          <w:p>
            <w:pPr>
              <w:keepNext/>
              <w:spacing w:after="0" w:line="240" w:lineRule="auto"/>
              <w:jc w:val="center"/>
            </w:pPr>
            <w:r/>
            <w:r>
              <w:rPr>
                <w:color w:val="0000FF"/>
                <w:sz w:val="18"/>
              </w:rPr>
              <w:t>33.4</w:t>
            </w:r>
          </w:p>
        </w:tc>
        <w:tc>
          <w:tcPr>
            <w:tcW w:type="dxa" w:w="1584"/>
          </w:tcPr>
          <w:p>
            <w:pPr>
              <w:keepNext/>
              <w:spacing w:after="0" w:line="240" w:lineRule="auto"/>
              <w:jc w:val="center"/>
            </w:pPr>
            <w:r/>
            <w:r>
              <w:rPr>
                <w:color w:val="0000FF"/>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Malaysian</w:t>
            </w:r>
          </w:p>
        </w:tc>
        <w:tc>
          <w:tcPr>
            <w:tcW w:type="dxa" w:w="1584"/>
          </w:tcPr>
          <w:p>
            <w:pPr>
              <w:keepNext/>
              <w:spacing w:after="0" w:line="240" w:lineRule="auto"/>
              <w:jc w:val="center"/>
            </w:pPr>
            <w:r/>
            <w:r>
              <w:rPr>
                <w:color w:val="0000FF"/>
                <w:sz w:val="18"/>
              </w:rPr>
              <w:t>0.71</w:t>
            </w:r>
          </w:p>
        </w:tc>
        <w:tc>
          <w:tcPr>
            <w:tcW w:type="dxa" w:w="1584"/>
          </w:tcPr>
          <w:p>
            <w:pPr>
              <w:keepNext/>
              <w:spacing w:after="0" w:line="240" w:lineRule="auto"/>
              <w:jc w:val="center"/>
            </w:pPr>
            <w:r/>
            <w:r>
              <w:rPr>
                <w:color w:val="0000FF"/>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Thai</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Indonesian</w:t>
            </w:r>
          </w:p>
        </w:tc>
        <w:tc>
          <w:tcPr>
            <w:tcW w:type="dxa" w:w="1584"/>
          </w:tcPr>
          <w:p>
            <w:pPr>
              <w:keepNext/>
              <w:spacing w:after="0" w:line="240" w:lineRule="auto"/>
              <w:jc w:val="center"/>
            </w:pPr>
            <w:r/>
            <w:r>
              <w:rPr>
                <w:color w:val="0000FF"/>
                <w:sz w:val="18"/>
              </w:rPr>
              <w:t>0.03</w:t>
            </w:r>
          </w:p>
        </w:tc>
        <w:tc>
          <w:tcPr>
            <w:tcW w:type="dxa" w:w="1584"/>
          </w:tcPr>
          <w:p>
            <w:pPr>
              <w:keepNext/>
              <w:spacing w:after="0" w:line="240" w:lineRule="auto"/>
              <w:jc w:val="center"/>
            </w:pPr>
            <w:r/>
            <w:r>
              <w:rPr>
                <w:color w:val="0000FF"/>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Singaporean</w:t>
            </w:r>
          </w:p>
        </w:tc>
        <w:tc>
          <w:tcPr>
            <w:tcW w:type="dxa" w:w="1584"/>
          </w:tcPr>
          <w:p>
            <w:pPr>
              <w:keepNext/>
              <w:spacing w:after="0" w:line="240" w:lineRule="auto"/>
              <w:jc w:val="center"/>
            </w:pPr>
            <w:r/>
            <w:r>
              <w:rPr>
                <w:color w:val="0000FF"/>
                <w:sz w:val="18"/>
              </w:rPr>
              <w:t>0.01</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Philippine</w:t>
            </w:r>
          </w:p>
        </w:tc>
        <w:tc>
          <w:tcPr>
            <w:tcW w:type="dxa" w:w="1584"/>
          </w:tcPr>
          <w:p>
            <w:pPr>
              <w:keepNext/>
              <w:spacing w:after="0" w:line="240" w:lineRule="auto"/>
              <w:jc w:val="center"/>
            </w:pPr>
            <w:r/>
            <w:r>
              <w:rPr>
                <w:color w:val="0000FF"/>
                <w:sz w:val="18"/>
              </w:rPr>
              <w:t>0.00</w:t>
            </w:r>
          </w:p>
        </w:tc>
        <w:tc>
          <w:tcPr>
            <w:tcW w:type="dxa" w:w="1584"/>
          </w:tcPr>
          <w:p>
            <w:pPr>
              <w:keepNext/>
              <w:spacing w:after="0" w:line="240" w:lineRule="auto"/>
              <w:jc w:val="center"/>
            </w:pPr>
            <w:r/>
            <w:r>
              <w:rPr>
                <w:color w:val="0000FF"/>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color w:val="0000FF"/>
                <w:sz w:val="18"/>
              </w:rPr>
              <w:t>Share first recorded by 2020</w:t>
            </w:r>
          </w:p>
        </w:tc>
        <w:tc>
          <w:tcPr>
            <w:tcW w:type="dxa" w:w="1584"/>
            <w:tcBorders>
              <w:bottom w:val="single" w:sz="6" w:color="000000"/>
            </w:tcBorders>
          </w:tcPr>
          <w:p>
            <w:pPr>
              <w:spacing w:after="0" w:line="240" w:lineRule="auto"/>
              <w:jc w:val="center"/>
            </w:pPr>
            <w:r/>
            <w:r>
              <w:rPr>
                <w:color w:val="0000FF"/>
                <w:sz w:val="18"/>
              </w:rPr>
              <w:t>0.12</w:t>
            </w:r>
          </w:p>
        </w:tc>
        <w:tc>
          <w:tcPr>
            <w:tcW w:type="dxa" w:w="1584"/>
            <w:tcBorders>
              <w:bottom w:val="single" w:sz="6" w:color="000000"/>
            </w:tcBorders>
          </w:tcPr>
          <w:p>
            <w:pPr>
              <w:spacing w:after="0" w:line="240" w:lineRule="auto"/>
              <w:jc w:val="center"/>
            </w:pPr>
            <w:r/>
            <w:r>
              <w:rPr>
                <w:color w:val="0000FF"/>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Scored firms in the ln(MTB) estimate, measured in base year g − 1; never-scored firms over all firm-years.</w:t>
      </w:r>
    </w:p>
    <w:p>
      <w:pPr>
        <w:pStyle w:val="Heading2"/>
        <w:keepNext/>
        <w:spacing w:line="360" w:lineRule="auto" w:after="120" w:before="160"/>
      </w:pPr>
      <w:r>
        <w:rPr>
          <w:rFonts w:ascii="Times New Roman" w:hAnsi="Times New Roman" w:eastAsia="Times New Roman"/>
          <w:b/>
          <w:i w:val="0"/>
          <w:color w:val="0000FF"/>
          <w:sz w:val="24"/>
        </w:rPr>
        <w:t>5.7 Missing Valuation Data and Recording Errors</w:t>
      </w:r>
    </w:p>
    <w:p>
      <w:pPr>
        <w:spacing w:line="360" w:lineRule="auto" w:after="120" w:before="0"/>
        <w:ind w:firstLine="720"/>
        <w:jc w:val="both"/>
      </w:pPr>
      <w:r>
        <w:rPr>
          <w:color w:val="0000FF"/>
        </w:rPr>
        <w:t>Missing MTB ratios are not random.</w:t>
      </w:r>
      <w:r>
        <w:rPr/>
        <w:t xml:space="preserve"> </w:t>
      </w:r>
      <w:r>
        <w:rPr>
          <w:color w:val="0000FF"/>
        </w:rPr>
        <w:t>Firm-years without one are more often highly levered (book leverage above 0.5 in 25.4% of never-scored firm-years without an MTB ratio, against 8.4% with one) and more often Indonesian (36.2% against 24.1%; Table S8 of the supplementary material).</w:t>
      </w:r>
      <w:r>
        <w:rPr/>
        <w:t xml:space="preserve"> </w:t>
      </w:r>
      <w:r>
        <w:rPr>
          <w:color w:val="0000FF"/>
        </w:rPr>
        <w:t>Only 36.7% of never-scored and 36.6% of scored firm-years without an MTB ratio have a market capitalization, so most gaps are missing market data, not negative book equity alone.</w:t>
      </w:r>
      <w:r>
        <w:rPr/>
        <w:t xml:space="preserve"> </w:t>
      </w:r>
      <w:r>
        <w:rPr>
          <w:color w:val="0000FF"/>
        </w:rPr>
        <w:t>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color w:val="0000FF"/>
        </w:rPr>
        <w:t>Table 7 checks whether these gaps and the recording errors change the estimates.</w:t>
      </w:r>
      <w:r>
        <w:rPr/>
        <w:t xml:space="preserve"> </w:t>
      </w:r>
      <w:r>
        <w:rPr>
          <w:color w:val="0000FF"/>
        </w:rPr>
        <w:t>Estimating log market capitalization only on firm-years that also have an MTB ratio moves its change from −0.055 to −0.023, so part of the negative market capitalization estimate comes from firm-years that drop out of the MTB sample.</w:t>
      </w:r>
      <w:r>
        <w:rPr/>
        <w:t xml:space="preserve"> </w:t>
      </w:r>
      <w:r>
        <w:rPr>
          <w:color w:val="0000FF"/>
        </w:rPr>
        <w:t>Keeping only firms with a complete MTB series gives 0.008 for MTB, and keeping only scored firms with complete series gives 0.006.</w:t>
      </w:r>
      <w:r>
        <w:rPr/>
        <w:t xml:space="preserve"> </w:t>
      </w:r>
      <w:r>
        <w:rPr>
          <w:color w:val="0000FF"/>
        </w:rPr>
        <w:t>Removing the flagged firm-years gives −0.007 for MTB and −0.045 for market capitalization; removing every firm with a flagged year, using the lower threshold of twice total assets, or winsorizing within each market and year gives MTB estimates between −0.019 and 0.005.</w:t>
      </w:r>
      <w:r>
        <w:rPr/>
        <w:t xml:space="preserve"> </w:t>
      </w:r>
      <w:r>
        <w:rPr>
          <w:color w:val="0000FF"/>
        </w:rPr>
        <w:t>None of these checks produces an MTB gain.</w:t>
      </w:r>
    </w:p>
    <w:p>
      <w:pPr>
        <w:keepNext/>
        <w:spacing w:line="240" w:lineRule="auto" w:after="120" w:before="240"/>
        <w:jc w:val="center"/>
      </w:pPr>
      <w:r>
        <w:rPr>
          <w:color w:val="0000FF"/>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888"/>
          </w:tcPr>
          <w:p>
            <w:pPr>
              <w:keepNext/>
              <w:spacing w:after="0" w:line="240" w:lineRule="auto"/>
            </w:pPr>
            <w:r/>
            <w:r>
              <w:rPr>
                <w:b/>
                <w:color w:val="0000FF"/>
                <w:sz w:val="18"/>
              </w:rPr>
              <w:t>Baseline</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color w:val="0000FF"/>
                <w:sz w:val="18"/>
              </w:rPr>
              <w:t>−0.023</w:t>
            </w:r>
            <w:r>
              <w:br/>
            </w:r>
            <w:r>
              <w:rPr>
                <w:color w:val="0000FF"/>
                <w:sz w:val="18"/>
              </w:rPr>
              <w:t>(0.029)</w:t>
            </w:r>
          </w:p>
        </w:tc>
        <w:tc>
          <w:tcPr>
            <w:tcW w:type="dxa" w:w="1152"/>
          </w:tcPr>
          <w:p>
            <w:pPr>
              <w:keepNext/>
              <w:spacing w:after="0" w:line="240" w:lineRule="auto"/>
              <w:jc w:val="center"/>
            </w:pPr>
            <w:r/>
            <w:r>
              <w:rPr>
                <w:color w:val="0000FF"/>
                <w:sz w:val="18"/>
              </w:rPr>
              <w:t>624</w:t>
            </w:r>
          </w:p>
        </w:tc>
        <w:tc>
          <w:tcPr>
            <w:tcW w:type="dxa" w:w="1080"/>
          </w:tcPr>
          <w:p>
            <w:pPr>
              <w:keepNext/>
              <w:spacing w:after="0" w:line="240" w:lineRule="auto"/>
              <w:jc w:val="center"/>
            </w:pPr>
            <w:r/>
            <w:r>
              <w:rPr>
                <w:color w:val="0000FF"/>
                <w:sz w:val="18"/>
              </w:rPr>
              <w:t>2,409</w:t>
            </w:r>
          </w:p>
        </w:tc>
      </w:tr>
      <w:tr>
        <w:trPr>
          <w:cantSplit/>
        </w:trPr>
        <w:tc>
          <w:tcPr>
            <w:tcW w:type="dxa" w:w="3888"/>
          </w:tcPr>
          <w:p>
            <w:pPr>
              <w:keepNext/>
              <w:spacing w:after="0" w:line="240" w:lineRule="auto"/>
            </w:pPr>
            <w:r/>
            <w:r>
              <w:rPr>
                <w:b/>
                <w:color w:val="0000FF"/>
                <w:sz w:val="18"/>
              </w:rPr>
              <w:t>Complete MTB series, scored and control firms</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1,152</w:t>
            </w:r>
          </w:p>
        </w:tc>
      </w:tr>
      <w:tr>
        <w:trPr>
          <w:cantSplit/>
        </w:trPr>
        <w:tc>
          <w:tcPr>
            <w:tcW w:type="dxa" w:w="3888"/>
          </w:tcPr>
          <w:p>
            <w:pPr>
              <w:keepNext/>
              <w:spacing w:after="0" w:line="240" w:lineRule="auto"/>
            </w:pPr>
            <w:r/>
            <w:r>
              <w:rPr>
                <w:b/>
                <w:color w:val="0000FF"/>
                <w:sz w:val="18"/>
              </w:rPr>
              <w:t>Complete MTB series, scored firms only</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Flagged firm-years removed</w:t>
            </w:r>
          </w:p>
        </w:tc>
        <w:tc>
          <w:tcPr>
            <w:tcW w:type="dxa" w:w="1584"/>
          </w:tcPr>
          <w:p>
            <w:pPr>
              <w:keepNext/>
              <w:spacing w:after="0" w:line="240" w:lineRule="auto"/>
              <w:jc w:val="center"/>
            </w:pPr>
            <w:r/>
            <w:r>
              <w:rPr>
                <w:color w:val="0000FF"/>
                <w:sz w:val="18"/>
              </w:rPr>
              <w:t>−0.007</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2,408</w:t>
            </w:r>
          </w:p>
        </w:tc>
      </w:tr>
      <w:tr>
        <w:trPr>
          <w:cantSplit/>
        </w:trPr>
        <w:tc>
          <w:tcPr>
            <w:tcW w:type="dxa" w:w="3888"/>
          </w:tcPr>
          <w:p>
            <w:pPr>
              <w:keepNext/>
              <w:spacing w:after="0" w:line="240" w:lineRule="auto"/>
            </w:pPr>
            <w:r/>
            <w:r>
              <w:rPr>
                <w:b/>
                <w:color w:val="0000FF"/>
                <w:sz w:val="18"/>
              </w:rPr>
              <w:t>Firms with any flagged year removed</w:t>
            </w:r>
          </w:p>
        </w:tc>
        <w:tc>
          <w:tcPr>
            <w:tcW w:type="dxa" w:w="1584"/>
          </w:tcPr>
          <w:p>
            <w:pPr>
              <w:keepNext/>
              <w:spacing w:after="0" w:line="240" w:lineRule="auto"/>
              <w:jc w:val="center"/>
            </w:pPr>
            <w:r/>
            <w:r>
              <w:rPr>
                <w:color w:val="0000FF"/>
                <w:sz w:val="18"/>
              </w:rPr>
              <w:t>−0.008</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2,385</w:t>
            </w:r>
          </w:p>
        </w:tc>
      </w:tr>
      <w:tr>
        <w:trPr>
          <w:cantSplit/>
        </w:trPr>
        <w:tc>
          <w:tcPr>
            <w:tcW w:type="dxa" w:w="3888"/>
          </w:tcPr>
          <w:p>
            <w:pPr>
              <w:keepNext/>
              <w:spacing w:after="0" w:line="240" w:lineRule="auto"/>
            </w:pPr>
            <w:r/>
            <w:r>
              <w:rPr>
                <w:b/>
                <w:color w:val="0000FF"/>
                <w:sz w:val="18"/>
              </w:rPr>
              <w:t>Firm-years with implied book equity above twice total assets removed</w:t>
            </w:r>
          </w:p>
        </w:tc>
        <w:tc>
          <w:tcPr>
            <w:tcW w:type="dxa" w:w="1584"/>
          </w:tcPr>
          <w:p>
            <w:pPr>
              <w:keepNext/>
              <w:spacing w:after="0" w:line="240" w:lineRule="auto"/>
              <w:jc w:val="center"/>
            </w:pPr>
            <w:r/>
            <w:r>
              <w:rPr>
                <w:color w:val="0000FF"/>
                <w:sz w:val="18"/>
              </w:rPr>
              <w:t>−0.019</w:t>
            </w:r>
            <w:r>
              <w:br/>
            </w:r>
            <w:r>
              <w:rPr>
                <w:color w:val="0000FF"/>
                <w:sz w:val="18"/>
              </w:rPr>
              <w:t>(0.023)</w:t>
            </w:r>
          </w:p>
        </w:tc>
        <w:tc>
          <w:tcPr>
            <w:tcW w:type="dxa" w:w="1656"/>
          </w:tcPr>
          <w:p>
            <w:pPr>
              <w:keepNext/>
              <w:spacing w:after="0" w:line="240" w:lineRule="auto"/>
              <w:jc w:val="center"/>
            </w:pPr>
            <w:r/>
            <w:r>
              <w:rPr>
                <w:color w:val="0000FF"/>
                <w:sz w:val="18"/>
              </w:rPr>
              <w:t>−0.039</w:t>
            </w:r>
            <w:r>
              <w:br/>
            </w:r>
            <w:r>
              <w:rPr>
                <w:color w:val="0000FF"/>
                <w:sz w:val="18"/>
              </w:rPr>
              <w:t>(0.028)</w:t>
            </w:r>
          </w:p>
        </w:tc>
        <w:tc>
          <w:tcPr>
            <w:tcW w:type="dxa" w:w="1152"/>
          </w:tcPr>
          <w:p>
            <w:pPr>
              <w:keepNext/>
              <w:spacing w:after="0" w:line="240" w:lineRule="auto"/>
              <w:jc w:val="center"/>
            </w:pPr>
            <w:r/>
            <w:r>
              <w:rPr>
                <w:color w:val="0000FF"/>
                <w:sz w:val="18"/>
              </w:rPr>
              <w:t>597</w:t>
            </w:r>
          </w:p>
        </w:tc>
        <w:tc>
          <w:tcPr>
            <w:tcW w:type="dxa" w:w="1080"/>
          </w:tcPr>
          <w:p>
            <w:pPr>
              <w:keepNext/>
              <w:spacing w:after="0" w:line="240" w:lineRule="auto"/>
              <w:jc w:val="center"/>
            </w:pPr>
            <w:r/>
            <w:r>
              <w:rPr>
                <w:color w:val="0000FF"/>
                <w:sz w:val="18"/>
              </w:rPr>
              <w:t>2,393</w:t>
            </w:r>
          </w:p>
        </w:tc>
      </w:tr>
      <w:tr>
        <w:trPr>
          <w:cantSplit/>
        </w:trPr>
        <w:tc>
          <w:tcPr>
            <w:tcW w:type="dxa" w:w="3888"/>
            <w:tcBorders>
              <w:bottom w:val="single" w:sz="6" w:color="000000"/>
            </w:tcBorders>
          </w:tcPr>
          <w:p>
            <w:pPr>
              <w:spacing w:after="0" w:line="240" w:lineRule="auto"/>
            </w:pPr>
            <w:r/>
            <w:r>
              <w:rPr>
                <w:b/>
                <w:color w:val="0000FF"/>
                <w:sz w:val="18"/>
              </w:rPr>
              <w:t>Winsorized within market and year</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(0.024)</w:t>
            </w:r>
          </w:p>
        </w:tc>
        <w:tc>
          <w:tcPr>
            <w:tcW w:type="dxa" w:w="1656"/>
            <w:tcBorders>
              <w:bottom w:val="single" w:sz="6" w:color="000000"/>
            </w:tcBorders>
          </w:tcPr>
          <w:p>
            <w:pPr>
              <w:spacing w:after="0" w:line="240" w:lineRule="auto"/>
              <w:jc w:val="center"/>
            </w:pPr>
            <w:r/>
            <w:r>
              <w:rPr>
                <w:color w:val="0000FF"/>
                <w:sz w:val="18"/>
              </w:rPr>
              <w:t>−0.064**</w:t>
            </w:r>
            <w:r>
              <w:br/>
            </w:r>
            <w:r>
              <w:rPr>
                <w:color w:val="0000FF"/>
                <w:sz w:val="18"/>
              </w:rPr>
              <w:t>(0.031)</w:t>
            </w:r>
          </w:p>
        </w:tc>
        <w:tc>
          <w:tcPr>
            <w:tcW w:type="dxa" w:w="1152"/>
            <w:tcBorders>
              <w:bottom w:val="single" w:sz="6" w:color="000000"/>
            </w:tcBorders>
          </w:tcPr>
          <w:p>
            <w:pPr>
              <w:spacing w:after="0" w:line="240" w:lineRule="auto"/>
              <w:jc w:val="center"/>
            </w:pPr>
            <w:r/>
            <w:r>
              <w:rPr>
                <w:color w:val="0000FF"/>
                <w:sz w:val="18"/>
              </w:rPr>
              <w:t>625</w:t>
            </w:r>
          </w:p>
        </w:tc>
        <w:tc>
          <w:tcPr>
            <w:tcW w:type="dxa" w:w="1080"/>
            <w:tcBorders>
              <w:bottom w:val="single" w:sz="6" w:color="000000"/>
            </w:tcBorders>
          </w:tcPr>
          <w:p>
            <w:pPr>
              <w:spacing w:after="0" w:line="240" w:lineRule="auto"/>
              <w:jc w:val="center"/>
            </w:pPr>
            <w:r/>
            <w:r>
              <w:rPr>
                <w:color w:val="0000FF"/>
                <w:sz w:val="18"/>
              </w:rPr>
              <w:t>2,412</w:t>
            </w:r>
          </w:p>
        </w:tc>
      </w:tr>
    </w:tbl>
    <w:p>
      <w:pPr>
        <w:spacing w:line="240" w:lineRule="auto" w:after="40" w:before="280"/>
        <w:jc w:val="both"/>
      </w:pPr>
      <w:r>
        <w:rPr>
          <w:color w:val="0000FF"/>
          <w:sz w:val="18"/>
        </w:rPr>
        <w:t>Note: Outcome regression with firm-bootstrap standard errors; flags mark implied book equity above ten times total assets. *, **, ***: 10%, 5%, 1%.</w:t>
      </w:r>
    </w:p>
    <w:p>
      <w:pPr>
        <w:pStyle w:val="Heading2"/>
        <w:keepNext/>
        <w:spacing w:line="360" w:lineRule="auto" w:after="120" w:before="160"/>
      </w:pPr>
      <w:r>
        <w:rPr>
          <w:rFonts w:ascii="Times New Roman" w:hAnsi="Times New Roman" w:eastAsia="Times New Roman"/>
          <w:b/>
          <w:i w:val="0"/>
          <w:color w:val="0000FF"/>
          <w:sz w:val="24"/>
        </w:rPr>
        <w:t>5.8 Other Robustness Checks</w:t>
      </w:r>
    </w:p>
    <w:p>
      <w:pPr>
        <w:spacing w:line="360" w:lineRule="auto" w:after="120" w:before="0"/>
        <w:ind w:firstLine="720"/>
        <w:jc w:val="both"/>
      </w:pPr>
      <w:r>
        <w:rPr>
          <w:color w:val="0000FF"/>
        </w:rPr>
        <w:t>None of the pre-specified rows R1 to R4 shows an MTB effect that differs from zero at the 10% level (estimates from −0.001 to 0.031), while the market capitalization and total assets results are less stable.</w:t>
      </w:r>
      <w:r>
        <w:rPr/>
        <w:t xml:space="preserve"> </w:t>
      </w:r>
      <w:r>
        <w:rPr>
          <w:color w:val="0000FF"/>
        </w:rPr>
        <w:t>Excluding one market at a time (row R9 and Table S9) gives MTB effects from −0.007 to 0.017.</w:t>
      </w:r>
      <w:r>
        <w:rPr/>
        <w:t xml:space="preserve"> </w:t>
      </w:r>
      <w:r>
        <w:rPr>
          <w:color w:val="0000FF"/>
        </w:rPr>
        <w:t>The placebo in row R5 yields 0.059 on log MTB (p = 0.010), restating the pre-coverage growth in Figure 1.</w:t>
      </w:r>
      <w:r>
        <w:rPr/>
        <w:t xml:space="preserve"> </w:t>
      </w:r>
      <w:r>
        <w:rPr>
          <w:color w:val="0000FF"/>
        </w:rPr>
        <w:t>The static TWFE regression in row R6 attributes an increase of 0.064 in log MTB (p = 0.014) to coverage; comparing each cohort with its own base year accounts for about half of the gap to the headline estimate, and conditioning on base-year size for most of the rest (Table S5).</w:t>
      </w:r>
    </w:p>
    <w:p>
      <w:pPr>
        <w:pStyle w:val="Heading2"/>
        <w:keepNext/>
        <w:spacing w:line="360" w:lineRule="auto" w:after="120" w:before="160"/>
      </w:pPr>
      <w:r>
        <w:rPr>
          <w:rFonts w:ascii="Times New Roman" w:hAnsi="Times New Roman" w:eastAsia="Times New Roman"/>
          <w:b/>
          <w:i w:val="0"/>
          <w:color w:val="0000FF"/>
          <w:sz w:val="24"/>
        </w:rPr>
        <w:t>5.9 Does the Initial Score Matter?</w:t>
      </w:r>
    </w:p>
    <w:p>
      <w:pPr>
        <w:spacing w:line="360" w:lineRule="auto" w:after="120" w:before="0"/>
        <w:ind w:firstLine="720"/>
        <w:jc w:val="both"/>
      </w:pPr>
      <w:r>
        <w:rPr>
          <w:color w:val="0000FF"/>
        </w:rPr>
        <w:t>The last three rows of Table 3 divide scored firms at the cohort median of their first recorded ESG score.</w:t>
      </w:r>
      <w:r>
        <w:rPr/>
        <w:t xml:space="preserve"> </w:t>
      </w:r>
      <w:r>
        <w:rPr>
          <w:color w:val="0000FF"/>
        </w:rPr>
        <w:t>The difference between high- and low-score entrants is −0.041 (standard error 0.040, p = 0.307).</w:t>
      </w:r>
      <w:r>
        <w:rPr/>
        <w:t xml:space="preserve"> </w:t>
      </w:r>
      <w:r>
        <w:rPr>
          <w:color w:val="0000FF"/>
        </w:rPr>
        <w:t>Because the score rises with firm size (correlation 0.35 with base-year log total assets), Table S4 repeats the split after purging the score of size, country, and cohort; the difference is then −0.027 (p = 0.491).</w:t>
      </w:r>
      <w:r>
        <w:rPr/>
        <w:t xml:space="preserve"> </w:t>
      </w:r>
      <w:r>
        <w:rPr>
          <w:color w:val="0000FF"/>
        </w:rPr>
        <w:t>Neither split shows the sign pattern that the preference channel predicts, but with minimum detectable differences of 0.113 and 0.111, about 12% in the MTB ratio, neither can detect a moderate difference, so the result does not show that ESG preferences are unimportant.</w:t>
      </w:r>
    </w:p>
    <w:p>
      <w:pPr>
        <w:pStyle w:val="Heading2"/>
        <w:keepNext/>
        <w:spacing w:line="360" w:lineRule="auto" w:after="120" w:before="160"/>
      </w:pPr>
      <w:r>
        <w:rPr>
          <w:rFonts w:ascii="Times New Roman" w:hAnsi="Times New Roman" w:eastAsia="Times New Roman"/>
          <w:b/>
          <w:i w:val="0"/>
          <w:color w:val="0000FF"/>
          <w:sz w:val="24"/>
        </w:rPr>
        <w:t>5.10 What the Pooled Estimate Represents</w:t>
      </w:r>
    </w:p>
    <w:p>
      <w:pPr>
        <w:spacing w:line="360" w:lineRule="auto" w:after="120" w:before="0"/>
        <w:ind w:firstLine="720"/>
        <w:jc w:val="both"/>
      </w:pPr>
      <w:r>
        <w:rPr>
          <w:color w:val="0000FF"/>
        </w:rPr>
        <w:t>The pooled estimate weights cohorts and event years by the number of scored firms in each cell.</w:t>
      </w:r>
      <w:r>
        <w:rPr/>
        <w:t xml:space="preserve"> </w:t>
      </w:r>
      <w:r>
        <w:rPr>
          <w:color w:val="0000FF"/>
        </w:rPr>
        <w:t>Malaysian firms carry 55.2% of the weight in the headline MTB estimate and Thai firms 26.7%, together 81.9%; the Malaysian wave of 2021 and 2022 alone carries 44.1%, and firm-years from 2021 to 2024 carry 87.2% (Table S10).</w:t>
      </w:r>
      <w:r>
        <w:rPr/>
        <w:t xml:space="preserve"> </w:t>
      </w:r>
      <w:r>
        <w:rPr>
          <w:color w:val="0000FF"/>
        </w:rPr>
        <w:t>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w:t>
      </w:r>
      <w:r>
        <w:rPr/>
        <w:t xml:space="preserve"> </w:t>
      </w:r>
      <w:r>
        <w:rPr>
          <w:color w:val="0000FF"/>
        </w:rPr>
        <w:t>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our estimates concern lasting revaluation (Chen et al., 2004).</w:t>
      </w:r>
    </w:p>
    <w:p>
      <w:pPr>
        <w:pStyle w:val="Heading1"/>
        <w:keepNext/>
        <w:spacing w:line="360" w:lineRule="auto" w:after="120" w:before="360"/>
      </w:pPr>
      <w:r>
        <w:rPr>
          <w:rFonts w:ascii="Times New Roman" w:hAnsi="Times New Roman" w:eastAsia="Times New Roman"/>
          <w:b/>
          <w:i w:val="0"/>
          <w:color w:val="000000"/>
          <w:sz w:val="26"/>
        </w:rPr>
        <w:t>6. Discussion</w:t>
      </w:r>
    </w:p>
    <w:p>
      <w:pPr>
        <w:pStyle w:val="Heading2"/>
        <w:keepNext/>
        <w:spacing w:line="360" w:lineRule="auto" w:after="120" w:before="160"/>
      </w:pPr>
      <w:r>
        <w:rPr>
          <w:rFonts w:ascii="Times New Roman" w:hAnsi="Times New Roman" w:eastAsia="Times New Roman"/>
          <w:b/>
          <w:i w:val="0"/>
          <w:color w:val="0000FF"/>
          <w:sz w:val="24"/>
        </w:rPr>
        <w:t>6.1 What the Ordering of Events Shows</w:t>
      </w:r>
    </w:p>
    <w:p>
      <w:pPr>
        <w:spacing w:line="360" w:lineRule="auto" w:after="120" w:before="0"/>
        <w:ind w:firstLine="720"/>
        <w:jc w:val="both"/>
      </w:pPr>
      <w:r>
        <w:rPr>
          <w:color w:val="0000FF"/>
        </w:rPr>
        <w:t>The clearest result is an ordering of events: firms entered the scored universe after their MTB ratio and market capitalization had grown faster than those of never-scored firms, and their MTB ratio stopped gaining afterward.</w:t>
      </w:r>
      <w:r>
        <w:rPr/>
        <w:t xml:space="preserve"> </w:t>
      </w:r>
      <w:r>
        <w:rPr>
          <w:color w:val="0000FF"/>
        </w:rPr>
        <w:t>The provider may have added firms once they were large and visible enough to matter to its clients, or firms may have become scoreable by reporting, joining an index, or issuing equity; the fall in leverage toward the base year fits equity issuance.</w:t>
      </w:r>
      <w:r>
        <w:rPr/>
        <w:t xml:space="preserve"> </w:t>
      </w:r>
      <w:r>
        <w:rPr>
          <w:color w:val="0000FF"/>
        </w:rPr>
        <w:t>Either way, entry marks the end of a period of relative growth, not a random draw, and this finding does not rest on the parallel trends assumption or on the dating of publication.</w:t>
      </w:r>
    </w:p>
    <w:p>
      <w:pPr>
        <w:pStyle w:val="Heading2"/>
        <w:keepNext/>
        <w:spacing w:line="360" w:lineRule="auto" w:after="120" w:before="160"/>
      </w:pPr>
      <w:r>
        <w:rPr>
          <w:rFonts w:ascii="Times New Roman" w:hAnsi="Times New Roman" w:eastAsia="Times New Roman"/>
          <w:b/>
          <w:i w:val="0"/>
          <w:color w:val="0000FF"/>
          <w:sz w:val="24"/>
        </w:rPr>
        <w:t>6.2 What the Evidence Says About a Valuation Effect of Coverage</w:t>
      </w:r>
    </w:p>
    <w:p>
      <w:pPr>
        <w:spacing w:line="360" w:lineRule="auto" w:after="120" w:before="0"/>
        <w:ind w:firstLine="720"/>
        <w:jc w:val="both"/>
      </w:pPr>
      <w:r>
        <w:rPr/>
        <w:t xml:space="preserve">The flat post-coverage MTB path admits three readings, depending on the counterfactual trend (Rambachan &amp; Roth, 2023; Roth, 2022). </w:t>
      </w:r>
      <w:r>
        <w:rPr>
          <w:color w:val="0000FF"/>
        </w:rPr>
        <w:t>With parallel paths from the base year, the data show no detected effect of coverage (95% interval −0.046 to 0.048 in log MTB).</w:t>
      </w:r>
      <w:r>
        <w:rPr/>
        <w:t xml:space="preserve"> With a continued run-up, coverage lowered valuations relative to the trend. With a partly transitory run-up, the flat path is consistent with a positive coverage effect that offset a reversal. </w:t>
      </w:r>
      <w:r>
        <w:rPr>
          <w:color w:val="0000FF"/>
        </w:rPr>
        <w:t>The comparison of datings fits a reversal, but a negative effect confined to the waves with a run-up would look the same.</w:t>
      </w:r>
      <w:r>
        <w:rPr/>
        <w:t xml:space="preserve"> </w:t>
      </w:r>
      <w:r>
        <w:rPr>
          <w:color w:val="0000FF"/>
        </w:rPr>
        <w:t>With annual data, a provider that chooses whom to score, and recorded scores that may precede publication, a valuation effect of coverage cannot be reliably identified without additional assumptions.</w:t>
      </w:r>
      <w:r>
        <w:rPr/>
        <w:t xml:space="preserve"> </w:t>
      </w:r>
      <w:r>
        <w:rPr>
          <w:color w:val="0000FF"/>
        </w:rPr>
        <w:t>One of many exploratory subgroups, the 58 firms first scored by 2019, shows 0.094 (p = 0.047), which we do not read as evidence of a gain because it is not adjusted for multiple comparisons.</w:t>
      </w:r>
    </w:p>
    <w:p>
      <w:pPr>
        <w:pStyle w:val="Heading2"/>
        <w:keepNext/>
        <w:spacing w:line="360" w:lineRule="auto" w:after="120" w:before="160"/>
      </w:pPr>
      <w:r>
        <w:rPr>
          <w:rFonts w:ascii="Times New Roman" w:hAnsi="Times New Roman" w:eastAsia="Times New Roman"/>
          <w:b/>
          <w:i w:val="0"/>
          <w:color w:val="0000FF"/>
          <w:sz w:val="24"/>
        </w:rPr>
        <w:t>6.3 Mechanisms That the Data Can and Cannot Evaluate</w:t>
      </w:r>
    </w:p>
    <w:p>
      <w:pPr>
        <w:spacing w:line="360" w:lineRule="auto" w:after="120" w:before="0"/>
        <w:ind w:firstLine="720"/>
        <w:jc w:val="both"/>
      </w:pPr>
      <w:r>
        <w:rPr>
          <w:color w:val="0000FF"/>
        </w:rPr>
        <w:t>Recognition predicts a lasting gain for every newly scored firm; we detect none under parallel trends, but without ownership, trading, or fund-holding data we cannot tell whether recognition did not increase or whether it increased without moving prices.</w:t>
      </w:r>
      <w:r>
        <w:rPr/>
        <w:t xml:space="preserve"> </w:t>
      </w:r>
      <w:r>
        <w:rPr>
          <w:color w:val="0000FF"/>
        </w:rPr>
        <w:t>Preferences predict opposite signs for high- and low-score entrants, and the split in Section 5.9 cannot detect a moderate difference.</w:t>
      </w:r>
      <w:r>
        <w:rPr/>
        <w:t xml:space="preserve"> </w:t>
      </w:r>
      <w:r>
        <w:rPr>
          <w:color w:val="0000FF"/>
        </w:rPr>
        <w:t>The absence of a detected gain fits the evidence on certification by sustainability indices (Durand et al., 2019; Hawn et al., 2018) and contrasts with the price effects of MSCI downgrades (Berg, Heeb, et al., 2022).</w:t>
      </w:r>
      <w:r>
        <w:rPr/>
        <w:t xml:space="preserve"> </w:t>
      </w:r>
      <w:r>
        <w:rPr>
          <w:color w:val="0000FF"/>
        </w:rPr>
        <w:t>Two features of our setting may explain the contrast: U.S.</w:t>
      </w:r>
      <w:r>
        <w:rPr/>
        <w:t xml:space="preserve"> </w:t>
      </w:r>
      <w:r>
        <w:rPr>
          <w:color w:val="0000FF"/>
        </w:rPr>
        <w:t>ESG fund holdings respond to MSCI ratings, not to those of other providers (Berg, Heeb, et al., 2022), and scored firms were large and visible before coverage, which leaves less room for recognition (Merton, 1987).</w:t>
      </w:r>
      <w:r>
        <w:rPr/>
        <w:t xml:space="preserve"> </w:t>
      </w:r>
      <w:r>
        <w:rPr>
          <w:color w:val="0000FF"/>
        </w:rPr>
        <w:t>Unlike U.S. evidence that coverage changes firm conduct and payout (Bikmetova &amp; Pirinsky, 2026; Tsang et al., 2024, 2025), we find no stable change in leverage or total assets.</w:t>
      </w:r>
      <w:r>
        <w:rPr/>
        <w:t xml:space="preserve"> </w:t>
      </w:r>
      <w:r>
        <w:rPr>
          <w:color w:val="0000FF"/>
        </w:rPr>
        <w:t>The run-up also fits evidence that realized green returns reflect unexpected shifts in ESG demand (Pástor et al., 2022), but without ownership data we cannot tell whether ESG investors bought these firms before or after coverage.</w:t>
      </w:r>
    </w:p>
    <w:p>
      <w:pPr>
        <w:pStyle w:val="Heading2"/>
        <w:keepNext/>
        <w:spacing w:line="360" w:lineRule="auto" w:after="120" w:before="160"/>
      </w:pPr>
      <w:r>
        <w:rPr>
          <w:rFonts w:ascii="Times New Roman" w:hAnsi="Times New Roman" w:eastAsia="Times New Roman"/>
          <w:b/>
          <w:i w:val="0"/>
          <w:color w:val="0000FF"/>
          <w:sz w:val="24"/>
        </w:rPr>
        <w:t>6.4 Implications</w:t>
      </w:r>
    </w:p>
    <w:p>
      <w:pPr>
        <w:spacing w:line="360" w:lineRule="auto" w:after="120" w:before="0"/>
        <w:ind w:firstLine="720"/>
        <w:jc w:val="both"/>
      </w:pPr>
      <w:r>
        <w:rPr>
          <w:color w:val="0000FF"/>
        </w:rPr>
        <w:t>For researchers, comparisons of scored and unscored firms, static TWFE estimates, and backtests built on the first recorded score can attribute selection to the score (Berg et al., 2020; Sahin et al., 2023); studies of ESG ratings in Southeast Asia should model when firms enter coverage, report pre-entry dynamics, and record the download date of their rating data.</w:t>
      </w:r>
      <w:r>
        <w:rPr/>
        <w:t xml:space="preserve"> </w:t>
      </w:r>
      <w:r>
        <w:rPr>
          <w:color w:val="0000FF"/>
        </w:rPr>
        <w:t>For rating providers and data users, the scored universe in these markets tilts toward large firms and toward firms that had outgrown their peers, and publishing the date on which each firm's coverage began, with the vintages of revised scores, would separate what was known from what was filled in later.</w:t>
      </w:r>
    </w:p>
    <w:p>
      <w:pPr>
        <w:spacing w:line="360" w:lineRule="auto" w:after="120" w:before="0"/>
        <w:ind w:firstLine="720"/>
        <w:jc w:val="both"/>
      </w:pPr>
      <w:r>
        <w:rPr>
          <w:color w:val="0000FF"/>
        </w:rPr>
        <w:t>For investors, a portfolio screened on ESG scores in these markets holds firms that, on average, entered coverage after outgrowing their peers, so the screen tilts toward recent winners and away from smaller firms, and the date a firm became screenable is the publication date, which may follow the recorded year.</w:t>
      </w:r>
      <w:r>
        <w:rPr/>
        <w:t xml:space="preserve"> </w:t>
      </w:r>
      <w:r>
        <w:rPr>
          <w:color w:val="0000FF"/>
        </w:rPr>
        <w:t>For exchanges, regulators, and listed firms, broad expansions such as the Malaysian wave appear to select less on prior growth, and we detect no MTB gain within it, although its interval (−0.053 to 0.091) admits gains larger than the pooled upper bound.</w:t>
      </w:r>
      <w:r>
        <w:rPr/>
        <w:t xml:space="preserve"> </w:t>
      </w:r>
      <w:r>
        <w:rPr>
          <w:color w:val="0000FF"/>
        </w:rPr>
        <w:t>Our results do not show that expanding ESG coverage has no valuation benefit; they show that such a benefit cannot be established from these data, so arguments for expanding coverage should rest on grounds other than an expected rise in issuer valuations.</w:t>
      </w:r>
    </w:p>
    <w:p>
      <w:pPr>
        <w:pStyle w:val="Heading1"/>
        <w:keepNext/>
        <w:spacing w:line="360" w:lineRule="auto" w:after="120" w:before="360"/>
      </w:pPr>
      <w:r>
        <w:rPr>
          <w:rFonts w:ascii="Times New Roman" w:hAnsi="Times New Roman" w:eastAsia="Times New Roman"/>
          <w:b/>
          <w:i w:val="0"/>
          <w:color w:val="000000"/>
          <w:sz w:val="26"/>
        </w:rPr>
        <w:t>7. Limitations</w:t>
      </w:r>
    </w:p>
    <w:p>
      <w:pPr>
        <w:spacing w:line="360" w:lineRule="auto" w:after="120" w:before="0"/>
        <w:ind w:firstLine="720"/>
        <w:jc w:val="both"/>
      </w:pPr>
      <w:r>
        <w:rPr/>
        <w:t xml:space="preserve">The study has eight limitations. </w:t>
      </w:r>
      <w:r>
        <w:rPr>
          <w:color w:val="0000FF"/>
        </w:rPr>
        <w:t>First, the provider chooses when to cover a firm, and the post-coverage estimates rest on conditional parallel trends that the pre-coverage estimates question; our sensitivity analysis uses a linear trend and a simplified bound, not the confidence sets of Rambachan and Roth (2023).</w:t>
      </w:r>
      <w:r>
        <w:rPr/>
        <w:t xml:space="preserve"> </w:t>
      </w:r>
      <w:r>
        <w:rPr>
          <w:color w:val="0000FF"/>
        </w:rPr>
        <w:t>Second, we observe neither publication dates nor announcement returns.</w:t>
      </w:r>
      <w:r>
        <w:rPr/>
        <w:t xml:space="preserve"> </w:t>
      </w:r>
      <w:r>
        <w:rPr>
          <w:color w:val="0000FF"/>
        </w:rPr>
        <w:t>Third, we observe only LSEG coverage, so for firms with earlier FTSE Russell or other scores the event is an additional score.</w:t>
      </w:r>
      <w:r>
        <w:rPr/>
        <w:t xml:space="preserve"> </w:t>
      </w:r>
      <w:r>
        <w:rPr>
          <w:color w:val="0000FF"/>
        </w:rPr>
        <w:t>Fourth, the data contain no returns, ownership, or index membership.</w:t>
      </w:r>
      <w:r>
        <w:rPr/>
        <w:t xml:space="preserve"> </w:t>
      </w:r>
      <w:r>
        <w:rPr>
          <w:color w:val="0000FF"/>
        </w:rPr>
        <w:t>Fifth, MTB ratios are missing for 18.5% of never-scored and 9.0% of scored listed firm-years, more often for distressed and Indonesian firms, and some market capitalization records contain scale errors.</w:t>
      </w:r>
      <w:r>
        <w:rPr/>
        <w:t xml:space="preserve"> </w:t>
      </w:r>
      <w:r>
        <w:rPr>
          <w:color w:val="0000FF"/>
        </w:rPr>
        <w:t>Sixth, Malaysian and Thai firms make up 84.3% of scored firms.</w:t>
      </w:r>
      <w:r>
        <w:rPr/>
        <w:t xml:space="preserve"> </w:t>
      </w:r>
      <w:r>
        <w:rPr>
          <w:color w:val="0000FF"/>
        </w:rPr>
        <w:t>Seventh, the sample includes only firms that survived to 2024.</w:t>
      </w:r>
      <w:r>
        <w:rPr/>
        <w:t xml:space="preserve"> </w:t>
      </w:r>
      <w:r>
        <w:rPr>
          <w:color w:val="0000FF"/>
        </w:rPr>
        <w:t>Eighth, with an MDE of 0.067 on log MTB, smaller effects would be detected with less than 80% probability.</w:t>
      </w:r>
    </w:p>
    <w:p>
      <w:pPr>
        <w:pStyle w:val="Heading1"/>
        <w:keepNext/>
        <w:spacing w:line="360" w:lineRule="auto" w:after="120" w:before="360"/>
      </w:pPr>
      <w:r>
        <w:rPr>
          <w:rFonts w:ascii="Times New Roman" w:hAnsi="Times New Roman" w:eastAsia="Times New Roman"/>
          <w:b/>
          <w:i w:val="0"/>
          <w:color w:val="000000"/>
          <w:sz w:val="26"/>
        </w:rPr>
        <w:t>8. Conclusion</w:t>
      </w:r>
    </w:p>
    <w:p>
      <w:pPr>
        <w:spacing w:line="360" w:lineRule="auto" w:after="120" w:before="0"/>
        <w:ind w:firstLine="720"/>
        <w:jc w:val="both"/>
      </w:pPr>
      <w:r>
        <w:rPr>
          <w:color w:val="0000FF"/>
        </w:rPr>
        <w:t>Entry into LSEG ESG coverage in five Southeast Asian markets was selective.</w:t>
      </w:r>
      <w:r>
        <w:rPr/>
        <w:t xml:space="preserve"> </w:t>
      </w:r>
      <w:r>
        <w:rPr>
          <w:color w:val="0000FF"/>
        </w:rPr>
        <w:t>The firms that received a first recorded score were larger than never-scored firms, and on average their market-to-book ratio had grown 10.0% more than that of similar firms from five years to one year before entry.</w:t>
      </w:r>
      <w:r>
        <w:rPr/>
        <w:t xml:space="preserve"> </w:t>
      </w:r>
      <w:r>
        <w:rPr>
          <w:color w:val="0000FF"/>
        </w:rPr>
        <w:t>The run-up was largest in the Thai and Singaporean wave of 2019 and 2020, present in the remaining cohorts, and not detected in the broad Malaysian wave of 2021 and 2022 (95% interval −7.4% to 15.2%).</w:t>
      </w:r>
      <w:r>
        <w:rPr/>
        <w:t xml:space="preserve"> </w:t>
      </w:r>
      <w:r>
        <w:rPr>
          <w:color w:val="0000FF"/>
        </w:rPr>
        <w:t>After entry, the valuation gap stopped widening.</w:t>
      </w:r>
      <w:r>
        <w:rPr/>
        <w:t xml:space="preserve"> </w:t>
      </w:r>
      <w:r>
        <w:rPr>
          <w:color w:val="0000FF"/>
        </w:rPr>
        <w:t>Whether coverage itself changed valuations cannot be settled with these data: the answer moves from no detected change (95% interval −0.046 to 0.048 in log MTB) to a decline of 6.6% depending on when investors are assumed to have seen the score, the decline appears only where valuations had run up, and modest departures from parallel trends change either reading.</w:t>
      </w:r>
    </w:p>
    <w:p>
      <w:pPr>
        <w:spacing w:line="360" w:lineRule="auto" w:after="120" w:before="0"/>
        <w:ind w:firstLine="720"/>
        <w:jc w:val="both"/>
      </w:pPr>
      <w:r>
        <w:rPr>
          <w:color w:val="0000FF"/>
        </w:rPr>
        <w:t>Research and investment screens that start from a provider's universe inherit the provider's selection.</w:t>
      </w:r>
      <w:r>
        <w:rPr/>
        <w:t xml:space="preserve"> </w:t>
      </w:r>
      <w:r>
        <w:rPr>
          <w:color w:val="0000FF"/>
        </w:rPr>
        <w:t>Point-in-time records of when each firm's score was first published, and ownership and trading data, would allow future work to test whether ESG coverage in Southeast Asian markets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color w:val="0000FF"/>
        </w:rPr>
        <w:t>Crump, R.</w:t>
      </w:r>
      <w:r>
        <w:rPr/>
        <w:t xml:space="preserve"> </w:t>
      </w:r>
      <w:r>
        <w:rPr>
          <w:color w:val="0000FF"/>
        </w:rPr>
        <w:t>K., Hotz, V.</w:t>
      </w:r>
      <w:r>
        <w:rPr/>
        <w:t xml:space="preserve"> </w:t>
      </w:r>
      <w:r>
        <w:rPr>
          <w:color w:val="0000FF"/>
        </w:rPr>
        <w:t>J., Imbens, G.</w:t>
      </w:r>
      <w:r>
        <w:rPr/>
        <w:t xml:space="preserve"> </w:t>
      </w:r>
      <w:r>
        <w:rPr>
          <w:color w:val="0000FF"/>
        </w:rPr>
        <w:t>W., &amp; Mitnik, O.</w:t>
      </w:r>
      <w:r>
        <w:rPr/>
        <w:t xml:space="preserve"> A. </w:t>
      </w:r>
      <w:r>
        <w:rPr>
          <w:color w:val="0000FF"/>
        </w:rPr>
        <w:t>(2009).</w:t>
      </w:r>
      <w:r>
        <w:rPr/>
        <w:t xml:space="preserve"> </w:t>
      </w:r>
      <w:r>
        <w:rPr>
          <w:color w:val="0000FF"/>
        </w:rPr>
        <w:t xml:space="preserve">Dealing with limited overlap in estimation of average treatment effects. </w:t>
      </w:r>
      <w:r>
        <w:rPr>
          <w:i/>
          <w:color w:val="0000FF"/>
        </w:rPr>
        <w:t>Biometrika</w:t>
      </w:r>
      <w:r>
        <w:rPr>
          <w:color w:val="0000FF"/>
        </w:rPr>
        <w:t xml:space="preserve">, </w:t>
      </w:r>
      <w:r>
        <w:rPr>
          <w:i/>
          <w:color w:val="0000FF"/>
        </w:rPr>
        <w:t>96</w:t>
      </w:r>
      <w:r>
        <w:rPr>
          <w:color w:val="0000FF"/>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LSEG. </w:t>
      </w:r>
      <w:r>
        <w:rPr>
          <w:color w:val="0000FF"/>
        </w:rPr>
        <w:t xml:space="preserve">(2023). </w:t>
      </w:r>
      <w:r>
        <w:rPr>
          <w:i/>
          <w:color w:val="0000FF"/>
        </w:rPr>
        <w:t>Refinitiv Data Platform ESG bulk point in time user guide</w:t>
      </w:r>
      <w:r>
        <w:rPr>
          <w:color w:val="0000FF"/>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color w:val="0000FF"/>
        </w:rPr>
        <w:t>Nguyen, T.</w:t>
      </w:r>
      <w:r>
        <w:rPr/>
        <w:t xml:space="preserve"> </w:t>
      </w:r>
      <w:r>
        <w:rPr>
          <w:color w:val="0000FF"/>
        </w:rPr>
        <w:t>T.</w:t>
      </w:r>
      <w:r>
        <w:rPr/>
        <w:t xml:space="preserve"> (2025). </w:t>
      </w:r>
      <w:r>
        <w:rPr>
          <w:color w:val="0000FF"/>
        </w:rPr>
        <w:t xml:space="preserve">Ownership structure and corporate social responsibility: Evidence from Vietnam. </w:t>
      </w:r>
      <w:r>
        <w:rPr>
          <w:i/>
          <w:color w:val="0000FF"/>
        </w:rPr>
        <w:t>Southeast Asian Journal of Economics</w:t>
      </w:r>
      <w:r>
        <w:rPr>
          <w:color w:val="0000FF"/>
        </w:rPr>
        <w:t xml:space="preserve">, </w:t>
      </w:r>
      <w:r>
        <w:rPr>
          <w:i/>
          <w:color w:val="0000FF"/>
        </w:rPr>
        <w:t>13</w:t>
      </w:r>
      <w:r>
        <w:rPr>
          <w:color w:val="0000FF"/>
        </w:rPr>
        <w:t>(2), 67–98.</w:t>
      </w:r>
    </w:p>
    <w:p>
      <w:pPr>
        <w:spacing w:line="360" w:lineRule="auto" w:after="80" w:before="0"/>
        <w:ind w:left="720" w:hanging="720"/>
      </w:pPr>
      <w:r>
        <w:rPr/>
        <w:t xml:space="preserve">Otoritas Jasa Keuangan. </w:t>
      </w:r>
      <w:r>
        <w:rPr>
          <w:color w:val="0000FF"/>
        </w:rPr>
        <w:t xml:space="preserve">(2017). </w:t>
      </w:r>
      <w:r>
        <w:rPr>
          <w:i/>
          <w:color w:val="0000FF"/>
        </w:rPr>
        <w:t>Peraturan Otoritas Jasa Keuangan Nomor 51/POJK.03/2017 tentang penerapan keuangan berkelanjutan bagi lembaga jasa keuangan, emiten, dan perusahaan publik</w:t>
      </w:r>
      <w:r>
        <w:rPr>
          <w:color w:val="0000FF"/>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color w:val="0000FF"/>
        </w:rPr>
        <w:t>Prukumpai, S., Sethapramote, Y., &amp; Luangaram, P.</w:t>
      </w:r>
      <w:r>
        <w:rPr/>
        <w:t xml:space="preserve"> (2022). </w:t>
      </w:r>
      <w:r>
        <w:rPr>
          <w:color w:val="0000FF"/>
        </w:rPr>
        <w:t xml:space="preserve">Political uncertainty and the Thai stock market. </w:t>
      </w:r>
      <w:r>
        <w:rPr>
          <w:i/>
          <w:color w:val="0000FF"/>
        </w:rPr>
        <w:t>Southeast Asian Journal of Economics</w:t>
      </w:r>
      <w:r>
        <w:rPr>
          <w:color w:val="0000FF"/>
        </w:rPr>
        <w:t xml:space="preserve">, </w:t>
      </w:r>
      <w:r>
        <w:rPr>
          <w:i/>
          <w:color w:val="0000FF"/>
        </w:rPr>
        <w:t>10</w:t>
      </w:r>
      <w:r>
        <w:rPr>
          <w:color w:val="0000FF"/>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color w:val="0000FF"/>
        </w:rPr>
        <w:t>Sudsawasd, S., &amp; Sakdapat, P.</w:t>
      </w:r>
      <w:r>
        <w:rPr/>
        <w:t xml:space="preserve"> (2026). </w:t>
      </w:r>
      <w:r>
        <w:rPr>
          <w:color w:val="0000FF"/>
        </w:rPr>
        <w:t xml:space="preserve">Transaction costs and stock market behavior: Evidence from Thailand. </w:t>
      </w:r>
      <w:r>
        <w:rPr>
          <w:i/>
          <w:color w:val="0000FF"/>
        </w:rPr>
        <w:t>Southeast Asian Journal of Economics</w:t>
      </w:r>
      <w:r>
        <w:rPr>
          <w:color w:val="0000FF"/>
        </w:rPr>
        <w:t xml:space="preserve">, </w:t>
      </w:r>
      <w:r>
        <w:rPr>
          <w:i/>
          <w:color w:val="0000FF"/>
        </w:rPr>
        <w:t>14</w:t>
      </w:r>
      <w:r>
        <w:rPr>
          <w:color w:val="0000FF"/>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