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R10,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 (R10)</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R10,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 (R6)</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 (R2)</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Panel (a) varies the size covariate and support;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4.4);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R10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the relative-magnitude bound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R10 and baseline event-time paths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5.6</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5.10,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5.4,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5.7,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(Sections 5.5 and 5.8)</w:t>
      </w:r>
    </w:p>
    <w:p>
      <w:pPr>
        <w:spacing w:line="360" w:lineRule="auto" w:after="120" w:before="0"/>
        <w:ind w:firstLine="720"/>
        <w:jc w:val="both"/>
      </w:pPr>
      <w:r>
        <w:rPr/>
        <w:t>Rows R1 to R4 of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Row R7 removes a linear pre-trend that passes through zero in the base year; its MTB effect is negative because a continued run-up would have raised valuations further. Row R8 adds market capitalization growth from g − 3 to the base year to the covariates; because control firms matched on past growth can themselves revert, it does not settle the reversal question. The placebo in row R5 gives 0.134 for log market capitalization (p &lt; 0.001), and the static TWFE regression gives 0.185. Without Malaysia (row R9),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