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w:t>
      </w:r>
    </w:p>
    <w:p>
      <w:pPr>
        <w:spacing w:line="360" w:lineRule="auto" w:after="240" w:before="0"/>
        <w:jc w:val="center"/>
      </w:pPr>
      <w:r>
        <w:rPr>
          <w:b/>
        </w:rPr>
        <w:t>Who Gets an ESG Score? Coverage Selection and Firm Value in Five Southeast Asian Markets</w:t>
      </w:r>
    </w:p>
    <w:p>
      <w:pPr>
        <w:spacing w:line="360" w:lineRule="auto" w:after="120" w:before="0"/>
        <w:jc w:val="both"/>
      </w:pPr>
      <w:r>
        <w:rPr/>
        <w:t xml:space="preserve">This supplementary material accompanies "Who Gets an ESG Score? Coverage Selection and Firm Value in Five Southeast Asian Markets." Table S1 re-estimates the average effects of the first </w:t>
      </w:r>
      <w:r>
        <w:rPr/>
        <w:t>recorded</w:t>
      </w:r>
      <w:r>
        <w:rPr/>
        <w:t xml:space="preserve"> score over event years 0 to 3 after excluding one market at a time. Table S2 and Figure S1 show the number of non-financial firms that received their first LSEG ESG score in each year, by market. Table S3 reports the estimates for each market separately, Table S4 the number of firm-years available for each outcome, Table S5 the relative-magnitude bounds of Eq. (10) in the paper, and Table S6 the number of scored and control firms by event year for ln MTB. Table S7 and Figure S2 report </w:t>
      </w:r>
      <w:r>
        <w:rPr/>
        <w:t>further exploratory specifications</w:t>
      </w:r>
      <w:r>
        <w:rPr/>
        <w:t xml:space="preserve">, and Table S8 decomposes the gap between the static two-way fixed effects estimate and the baseline. </w:t>
      </w:r>
      <w:r>
        <w:rPr/>
        <w:t>Table S9 reports the weight of each market and coverage wave in the pooled estimate, Table S10 the estimates by wave under both datings, and Table S11 compares firm-years with and without an MTB ratio. Appendix B gives additional results.</w:t>
      </w:r>
      <w:r>
        <w:rPr/>
        <w:t xml:space="preserve"> The pre-analysis plan is provided with the replication package.</w:t>
      </w:r>
    </w:p>
    <w:p>
      <w:pPr>
        <w:pStyle w:val="Heading1"/>
        <w:keepNext/>
        <w:spacing w:line="360" w:lineRule="auto" w:after="120" w:before="360"/>
      </w:pPr>
      <w:r>
        <w:rPr>
          <w:rFonts w:ascii="Times New Roman" w:hAnsi="Times New Roman" w:eastAsia="Times New Roman"/>
          <w:b/>
          <w:i w:val="0"/>
          <w:color w:val="000000"/>
          <w:sz w:val="26"/>
        </w:rPr>
        <w:t>Appendix B. Additional robustness results</w:t>
      </w:r>
    </w:p>
    <w:p>
      <w:pPr>
        <w:pStyle w:val="Heading2"/>
        <w:keepNext/>
        <w:spacing w:line="360" w:lineRule="auto" w:after="120" w:before="160"/>
      </w:pPr>
      <w:r>
        <w:rPr>
          <w:rFonts w:ascii="Times New Roman" w:hAnsi="Times New Roman" w:eastAsia="Times New Roman"/>
          <w:b/>
          <w:i w:val="0"/>
          <w:color w:val="000000"/>
          <w:sz w:val="24"/>
        </w:rPr>
        <w:t xml:space="preserve">B.1. Event year 4 (Section </w:t>
      </w:r>
      <w:r>
        <w:rPr>
          <w:rFonts w:ascii="Times New Roman" w:hAnsi="Times New Roman" w:eastAsia="Times New Roman"/>
          <w:b/>
          <w:i w:val="0"/>
          <w:color w:val="000000"/>
          <w:sz w:val="24"/>
        </w:rPr>
        <w:t>5.2</w:t>
      </w:r>
      <w:r>
        <w:rPr>
          <w:rFonts w:ascii="Times New Roman" w:hAnsi="Times New Roman" w:eastAsia="Times New Roman"/>
          <w:b/>
          <w:i w:val="0"/>
          <w:color w:val="000000"/>
          <w:sz w:val="24"/>
        </w:rPr>
        <w:t>)</w:t>
      </w:r>
    </w:p>
    <w:p>
      <w:pPr>
        <w:spacing w:line="360" w:lineRule="auto" w:after="120" w:before="0"/>
        <w:ind w:firstLine="720"/>
        <w:jc w:val="both"/>
      </w:pPr>
      <w:r>
        <w:rPr/>
        <w:t>Only 141 scored firms from 6 cohorts reach event year 4; therefore, we plot that year in Figure 1 but exclude it from Eq. (6). Its estimates are −0.077 for MTB (p = 0.209) and 0.088 for market capitalization (p = 0.153).</w:t>
      </w:r>
    </w:p>
    <w:p>
      <w:pPr>
        <w:pStyle w:val="Heading2"/>
        <w:keepNext/>
        <w:spacing w:line="360" w:lineRule="auto" w:after="120" w:before="160"/>
      </w:pPr>
      <w:r>
        <w:rPr>
          <w:rFonts w:ascii="Times New Roman" w:hAnsi="Times New Roman" w:eastAsia="Times New Roman"/>
          <w:b/>
          <w:i w:val="0"/>
          <w:color w:val="000000"/>
          <w:sz w:val="24"/>
        </w:rPr>
        <w:t xml:space="preserve">B.2. Further timing variants of R10 (Section </w:t>
      </w:r>
      <w:r>
        <w:rPr>
          <w:rFonts w:ascii="Times New Roman" w:hAnsi="Times New Roman" w:eastAsia="Times New Roman"/>
          <w:b/>
          <w:i w:val="0"/>
          <w:color w:val="000000"/>
          <w:sz w:val="24"/>
        </w:rPr>
        <w:t>5.4</w:t>
      </w:r>
      <w:r>
        <w:rPr>
          <w:rFonts w:ascii="Times New Roman" w:hAnsi="Times New Roman" w:eastAsia="Times New Roman"/>
          <w:b/>
          <w:i w:val="0"/>
          <w:color w:val="000000"/>
          <w:sz w:val="24"/>
        </w:rPr>
        <w:t>)</w:t>
      </w:r>
    </w:p>
    <w:p>
      <w:pPr>
        <w:spacing w:line="360" w:lineRule="auto" w:after="120" w:before="0"/>
        <w:ind w:firstLine="720"/>
        <w:jc w:val="both"/>
      </w:pPr>
      <w:r>
        <w:rPr/>
        <w:t>Under R10, the decline in log MTB loses significance once M̄ in Eq. (10) reaches 0.23. Holding total assets at the original base year gives −0.074 (p = 0.002), so the covariate timing does not drive R10. Dating coverage two years later gives −0.048 (95% interval −0.099 to 0.000), a smaller decline that is no longer significant at the 5% level.</w:t>
      </w:r>
    </w:p>
    <w:p>
      <w:pPr>
        <w:pStyle w:val="Heading2"/>
        <w:keepNext/>
        <w:spacing w:line="360" w:lineRule="auto" w:after="120" w:before="160"/>
      </w:pPr>
      <w:r>
        <w:rPr>
          <w:rFonts w:ascii="Times New Roman" w:hAnsi="Times New Roman" w:eastAsia="Times New Roman"/>
          <w:b/>
          <w:i w:val="0"/>
          <w:color w:val="000000"/>
          <w:sz w:val="24"/>
        </w:rPr>
        <w:t xml:space="preserve">B.3. Reconciling the R10 and baseline event-time paths (Section </w:t>
      </w:r>
      <w:r>
        <w:rPr>
          <w:rFonts w:ascii="Times New Roman" w:hAnsi="Times New Roman" w:eastAsia="Times New Roman"/>
          <w:b/>
          <w:i w:val="0"/>
          <w:color w:val="000000"/>
          <w:sz w:val="24"/>
        </w:rPr>
        <w:t>5.4</w:t>
      </w:r>
      <w:r>
        <w:rPr>
          <w:rFonts w:ascii="Times New Roman" w:hAnsi="Times New Roman" w:eastAsia="Times New Roman"/>
          <w:b/>
          <w:i w:val="0"/>
          <w:color w:val="000000"/>
          <w:sz w:val="24"/>
        </w:rPr>
        <w:t>, Figure S2)</w:t>
      </w:r>
    </w:p>
    <w:p>
      <w:pPr>
        <w:spacing w:line="360" w:lineRule="auto" w:after="120" w:before="0"/>
        <w:ind w:firstLine="720"/>
        <w:jc w:val="both"/>
      </w:pPr>
      <w:r>
        <w:rPr/>
        <w:t xml:space="preserve">The baseline path in Figure 1 does not show the R10 decline because its later event years come from early cohorts, while its first post-coverage years pool all cohorts. Re-based within each cohort to the first </w:t>
      </w:r>
      <w:r>
        <w:rPr/>
        <w:t>recorded</w:t>
      </w:r>
      <w:r>
        <w:rPr/>
        <w:t xml:space="preserve"> year, the baseline point estimates for event years 3 and 4 are −0.083 and −0.167, respectively. These lie closer to the corresponding R10 estimates of −0.138 and −0.200 than the pooled baseline path suggests. We report the re-based values without standard errors, as a reconciliation of the two paths rather than a test. </w:t>
      </w:r>
      <w:r>
        <w:rPr/>
        <w:t>Table 4 of the paper carries out the full step-by-step reconciliation on a common sample.</w:t>
      </w:r>
    </w:p>
    <w:p>
      <w:pPr>
        <w:pStyle w:val="Heading2"/>
        <w:keepNext/>
        <w:spacing w:line="360" w:lineRule="auto" w:after="120" w:before="160"/>
      </w:pPr>
      <w:r>
        <w:rPr>
          <w:rFonts w:ascii="Times New Roman" w:hAnsi="Times New Roman" w:eastAsia="Times New Roman"/>
          <w:b/>
          <w:i w:val="0"/>
          <w:color w:val="000000"/>
          <w:sz w:val="24"/>
        </w:rPr>
        <w:t xml:space="preserve">B.4. Size covariate and support (Section </w:t>
      </w:r>
      <w:r>
        <w:rPr>
          <w:rFonts w:ascii="Times New Roman" w:hAnsi="Times New Roman" w:eastAsia="Times New Roman"/>
          <w:b/>
          <w:i w:val="0"/>
          <w:color w:val="000000"/>
          <w:sz w:val="24"/>
        </w:rPr>
        <w:t>5.6</w:t>
      </w:r>
      <w:r>
        <w:rPr>
          <w:rFonts w:ascii="Times New Roman" w:hAnsi="Times New Roman" w:eastAsia="Times New Roman"/>
          <w:b/>
          <w:i w:val="0"/>
          <w:color w:val="000000"/>
          <w:sz w:val="24"/>
        </w:rPr>
        <w:t>, Table S7, Figure S2)</w:t>
      </w:r>
    </w:p>
    <w:p>
      <w:pPr>
        <w:spacing w:line="360" w:lineRule="auto" w:after="120" w:before="0"/>
        <w:ind w:firstLine="720"/>
        <w:jc w:val="both"/>
      </w:pPr>
      <w:r>
        <w:rPr/>
        <w:t>Table S7 and Figure S2 vary the size covariate and support</w:t>
      </w:r>
      <w:r>
        <w:rPr/>
        <w:t>; Table 5 of the paper reports the full set of variants</w:t>
      </w:r>
      <w:r>
        <w:rPr/>
        <w:t>. The run-up does not depend on conditioning on base-year total assets. Without covariates, the MTB run-up from event year −5 to the base year is 6.6%, weaker than the baseline (event year −5 p = 0.068; pre-trend p = 0.028), and the market capitalization run-up is 24.0%. With total assets measured two years before the base year, it is 8.0% for MTB (pre-trend p = 0.176) and 20.3% for market capitalization.</w:t>
      </w:r>
    </w:p>
    <w:p>
      <w:pPr>
        <w:pStyle w:val="Heading2"/>
        <w:keepNext/>
        <w:spacing w:line="360" w:lineRule="auto" w:after="120" w:before="160"/>
      </w:pPr>
      <w:r>
        <w:rPr>
          <w:rFonts w:ascii="Times New Roman" w:hAnsi="Times New Roman" w:eastAsia="Times New Roman"/>
          <w:b/>
          <w:i w:val="0"/>
          <w:color w:val="000000"/>
          <w:sz w:val="24"/>
        </w:rPr>
        <w:t xml:space="preserve">B.5. Decomposition of the TWFE gap (Section </w:t>
      </w:r>
      <w:r>
        <w:rPr>
          <w:rFonts w:ascii="Times New Roman" w:hAnsi="Times New Roman" w:eastAsia="Times New Roman"/>
          <w:b/>
          <w:i w:val="0"/>
          <w:color w:val="000000"/>
          <w:sz w:val="24"/>
        </w:rPr>
        <w:t>5.8</w:t>
      </w:r>
      <w:r>
        <w:rPr>
          <w:rFonts w:ascii="Times New Roman" w:hAnsi="Times New Roman" w:eastAsia="Times New Roman"/>
          <w:b/>
          <w:i w:val="0"/>
          <w:color w:val="000000"/>
          <w:sz w:val="24"/>
        </w:rPr>
        <w:t>, Table S8)</w:t>
      </w:r>
    </w:p>
    <w:p>
      <w:pPr>
        <w:spacing w:line="360" w:lineRule="auto" w:after="120" w:before="0"/>
        <w:ind w:firstLine="720"/>
        <w:jc w:val="both"/>
      </w:pPr>
      <w:r>
        <w:rPr/>
        <w:t>Table S8 shows the decomposition of the gap between the static TWFE estimate in row R6 and the headline MTB estimate. Restricting the regression to never-scored controls and event years −5 to 3 changes the estimate to only 0.058, while the heterogeneity-robust estimator gives 0.025 without covariates and 0.002 with them. Comparing each cohort with its own base year, rather than pooling all years, accounts for approximately half of the gap. Conditioning on base-year total assets accounts for most of the rest, and the choice of controls and window for little.</w:t>
      </w:r>
    </w:p>
    <w:p>
      <w:pPr>
        <w:pStyle w:val="Heading2"/>
        <w:keepNext/>
        <w:spacing w:line="360" w:lineRule="auto" w:after="120" w:before="160"/>
      </w:pPr>
      <w:r>
        <w:rPr>
          <w:rFonts w:ascii="Times New Roman" w:hAnsi="Times New Roman" w:eastAsia="Times New Roman"/>
          <w:b/>
          <w:i w:val="0"/>
          <w:color w:val="000000"/>
          <w:sz w:val="24"/>
        </w:rPr>
        <w:t xml:space="preserve">B.6. Market-by-market and early versus late cohorts (Section </w:t>
      </w:r>
      <w:r>
        <w:rPr>
          <w:rFonts w:ascii="Times New Roman" w:hAnsi="Times New Roman" w:eastAsia="Times New Roman"/>
          <w:b/>
          <w:i w:val="0"/>
          <w:color w:val="000000"/>
          <w:sz w:val="24"/>
        </w:rPr>
        <w:t>5.8</w:t>
      </w:r>
      <w:r>
        <w:rPr>
          <w:rFonts w:ascii="Times New Roman" w:hAnsi="Times New Roman" w:eastAsia="Times New Roman"/>
          <w:b/>
          <w:i w:val="0"/>
          <w:color w:val="000000"/>
          <w:sz w:val="24"/>
        </w:rPr>
        <w:t>, Table S3)</w:t>
      </w:r>
    </w:p>
    <w:p>
      <w:pPr>
        <w:spacing w:line="360" w:lineRule="auto" w:after="120" w:before="0"/>
        <w:ind w:firstLine="720"/>
        <w:jc w:val="both"/>
      </w:pPr>
      <w:r>
        <w:rPr/>
        <w:t>Estimated market by market in Table S3, the MTB effect is 0.009 in Malaysia, with 372 scored firms, and 0.027 in Thailand, with 157. Indonesia, the Philippines, and Singapore have few scored firms and imprecise estimates. The 58 firms first scored by 2019 show a positive post-coverage MTB estimate of 0.094 (p = 0.047; 95% interval 0.002 to 0.185), and the larger group first scored from 2020 shows −0.010 (p = 0.687). The early estimate rests on few firms, is one of many exploratory comparisons, and is not adjusted for multiple testing, so we do not read it as evidence of a gain for early entrants.</w:t>
      </w:r>
    </w:p>
    <w:p>
      <w:pPr>
        <w:pStyle w:val="Heading2"/>
        <w:keepNext/>
        <w:spacing w:line="360" w:lineRule="auto" w:after="120" w:before="160"/>
      </w:pPr>
      <w:r>
        <w:rPr>
          <w:rFonts w:ascii="Times New Roman" w:hAnsi="Times New Roman" w:eastAsia="Times New Roman"/>
          <w:b/>
          <w:i w:val="0"/>
          <w:color w:val="000000"/>
          <w:sz w:val="24"/>
        </w:rPr>
        <w:t xml:space="preserve">B.7. Breadth of the Malaysian wave (Section </w:t>
      </w:r>
      <w:r>
        <w:rPr>
          <w:rFonts w:ascii="Times New Roman" w:hAnsi="Times New Roman" w:eastAsia="Times New Roman"/>
          <w:b/>
          <w:i w:val="0"/>
          <w:color w:val="000000"/>
          <w:sz w:val="24"/>
        </w:rPr>
        <w:t>5.2</w:t>
      </w:r>
      <w:r>
        <w:rPr>
          <w:rFonts w:ascii="Times New Roman" w:hAnsi="Times New Roman" w:eastAsia="Times New Roman"/>
          <w:b/>
          <w:i w:val="0"/>
          <w:color w:val="000000"/>
          <w:sz w:val="24"/>
        </w:rPr>
        <w:t>, Figure 2)</w:t>
      </w:r>
    </w:p>
    <w:p>
      <w:pPr>
        <w:spacing w:line="360" w:lineRule="auto" w:after="120" w:before="0"/>
        <w:ind w:firstLine="720"/>
        <w:jc w:val="both"/>
      </w:pPr>
      <w:r>
        <w:rPr/>
        <w:t>The Malaysian wave added 289 firms in two years, yet 565 Malaysian firms remained never-scored, so it was broad but not market-wide.</w:t>
      </w:r>
    </w:p>
    <w:p>
      <w:pPr>
        <w:pStyle w:val="Heading2"/>
        <w:keepNext/>
        <w:spacing w:line="360" w:lineRule="auto" w:after="120" w:before="160"/>
      </w:pPr>
      <w:r>
        <w:rPr>
          <w:rFonts w:ascii="Times New Roman" w:hAnsi="Times New Roman" w:eastAsia="Times New Roman"/>
          <w:b/>
          <w:i w:val="0"/>
          <w:color w:val="000000"/>
          <w:sz w:val="24"/>
        </w:rPr>
        <w:t>B.8. Composition of the pooled estimate (Section 5.10, Table S9)</w:t>
      </w:r>
    </w:p>
    <w:p>
      <w:pPr>
        <w:spacing w:line="360" w:lineRule="auto" w:after="120" w:before="0"/>
        <w:ind w:firstLine="720"/>
        <w:jc w:val="both"/>
      </w:pPr>
      <w:r>
        <w:rPr/>
        <w:t>Table S9 counts scored firm-cells, one for each scored firm in each post-coverage cell of the ln(MTB) estimate, by market and by coverage wave. These counts are the weights of Eq. (6).</w:t>
      </w:r>
    </w:p>
    <w:p>
      <w:pPr>
        <w:pStyle w:val="Heading2"/>
        <w:keepNext/>
        <w:spacing w:line="360" w:lineRule="auto" w:after="120" w:before="160"/>
      </w:pPr>
      <w:r>
        <w:rPr>
          <w:rFonts w:ascii="Times New Roman" w:hAnsi="Times New Roman" w:eastAsia="Times New Roman"/>
          <w:b/>
          <w:i w:val="0"/>
          <w:color w:val="000000"/>
          <w:sz w:val="24"/>
        </w:rPr>
        <w:t>B.9. Dating by wave (Section 5.4, Table S10)</w:t>
      </w:r>
    </w:p>
    <w:p>
      <w:pPr>
        <w:spacing w:line="360" w:lineRule="auto" w:after="120" w:before="0"/>
        <w:ind w:firstLine="720"/>
        <w:jc w:val="both"/>
      </w:pPr>
      <w:r>
        <w:rPr/>
        <w:t>Table S10 reports, for each wave, the average change with coverage dated at the first recorded score year and one year later, estimated against all never-scored firms.</w:t>
      </w:r>
    </w:p>
    <w:p>
      <w:pPr>
        <w:pStyle w:val="Heading2"/>
        <w:keepNext/>
        <w:spacing w:line="360" w:lineRule="auto" w:after="120" w:before="160"/>
      </w:pPr>
      <w:r>
        <w:rPr>
          <w:rFonts w:ascii="Times New Roman" w:hAnsi="Times New Roman" w:eastAsia="Times New Roman"/>
          <w:b/>
          <w:i w:val="0"/>
          <w:color w:val="000000"/>
          <w:sz w:val="24"/>
        </w:rPr>
        <w:t>B.10. Firm-years with and without an MTB ratio (Section 5.7, Table S11)</w:t>
      </w:r>
    </w:p>
    <w:p>
      <w:pPr>
        <w:spacing w:line="360" w:lineRule="auto" w:after="120" w:before="0"/>
        <w:ind w:firstLine="720"/>
        <w:jc w:val="both"/>
      </w:pPr>
      <w:r>
        <w:rPr/>
        <w:t>Table S11 compares scored and never-scored firm-years with and without an MTB ratio in the estimation sample. Book leverage above 0.5 and Indonesian listing are more common among firm-years without an MTB ratio.</w:t>
      </w:r>
    </w:p>
    <w:p>
      <w:pPr>
        <w:pStyle w:val="Heading2"/>
        <w:keepNext/>
        <w:spacing w:line="360" w:lineRule="auto" w:after="120" w:before="160"/>
      </w:pPr>
      <w:r>
        <w:rPr>
          <w:rFonts w:ascii="Times New Roman" w:hAnsi="Times New Roman" w:eastAsia="Times New Roman"/>
          <w:b/>
          <w:i w:val="0"/>
          <w:color w:val="000000"/>
          <w:sz w:val="24"/>
        </w:rPr>
        <w:t>B.11. Other robustness checks (Sections 5.5 and 5.8)</w:t>
      </w:r>
    </w:p>
    <w:p>
      <w:pPr>
        <w:spacing w:line="360" w:lineRule="auto" w:after="120" w:before="0"/>
        <w:ind w:firstLine="720"/>
        <w:jc w:val="both"/>
      </w:pPr>
      <w:r>
        <w:rPr/>
        <w:t>Rows R1 to R4 of Table 3 give MTB effects of −0.001 with not-yet-scored firms among the controls, 0.025 without covariates, 0.031 without the 2020 and 2021 cohorts, and 0.016 when control firms below the size range of scored firms are dropped. Under the last restriction the market capitalization effect shrinks to −0.007 and the total assets effect is 0.101, against 0.011 without covariates. Row R7 removes a linear pre-trend with Eq. (9); its MTB effect is negative because a continued run-up would have raised valuations further. Row R8 adds market capitalization growth from g − 3 to the base year to the covariates; because control firms matched on past growth can themselves revert, it does not settle the reversal question. The placebo in row R5 gives 0.134 for log market capitalization (p &lt; 0.001), and the static TWFE regression gives 0.185. Without Malaysia (row R9), the MTB effect is −0.003 (p = 0.940) and the market capitalization effect 0.037.</w:t>
      </w:r>
    </w:p>
    <w:p>
      <w:pPr>
        <w:keepNext/>
        <w:spacing w:line="240" w:lineRule="auto" w:after="120" w:before="240"/>
        <w:jc w:val="center"/>
      </w:pPr>
      <w:r>
        <w:rPr>
          <w:sz w:val="22"/>
        </w:rPr>
        <w:t>Table S1. Leave-one-market-out estimates of the average effect of the first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c>
          <w:tcPr>
            <w:tcW w:type="dxa" w:w="2736"/>
            <w:tcBorders>
              <w:top w:val="single" w:sz="6" w:color="000000"/>
              <w:bottom w:val="single" w:sz="6" w:color="000000"/>
            </w:tcBorders>
          </w:tcPr>
          <w:p>
            <w:pPr>
              <w:spacing w:after="0" w:line="240" w:lineRule="auto"/>
            </w:pPr>
            <w:r/>
            <w:r>
              <w:rPr>
                <w:b/>
                <w:sz w:val="20"/>
              </w:rPr>
              <w:t>Sample</w:t>
            </w:r>
          </w:p>
        </w:tc>
        <w:tc>
          <w:tcPr>
            <w:tcW w:type="dxa" w:w="1656"/>
            <w:tcBorders>
              <w:top w:val="single" w:sz="6" w:color="000000"/>
              <w:bottom w:val="single" w:sz="6" w:color="000000"/>
            </w:tcBorders>
          </w:tcPr>
          <w:p>
            <w:pPr>
              <w:spacing w:after="0" w:line="240" w:lineRule="auto"/>
              <w:jc w:val="center"/>
            </w:pPr>
            <w:r/>
            <w:r>
              <w:rPr>
                <w:b/>
                <w:sz w:val="20"/>
              </w:rPr>
              <w:t>ln(MTB)</w:t>
            </w:r>
          </w:p>
        </w:tc>
        <w:tc>
          <w:tcPr>
            <w:tcW w:type="dxa" w:w="1656"/>
            <w:tcBorders>
              <w:top w:val="single" w:sz="6" w:color="000000"/>
              <w:bottom w:val="single" w:sz="6" w:color="000000"/>
            </w:tcBorders>
          </w:tcPr>
          <w:p>
            <w:pPr>
              <w:spacing w:after="0" w:line="240" w:lineRule="auto"/>
              <w:jc w:val="center"/>
            </w:pPr>
            <w:r/>
            <w:r>
              <w:rPr>
                <w:b/>
                <w:sz w:val="20"/>
              </w:rPr>
              <w:t>ln(market cap)</w:t>
            </w:r>
          </w:p>
        </w:tc>
        <w:tc>
          <w:tcPr>
            <w:tcW w:type="dxa" w:w="1656"/>
            <w:tcBorders>
              <w:top w:val="single" w:sz="6" w:color="000000"/>
              <w:bottom w:val="single" w:sz="6" w:color="000000"/>
            </w:tcBorders>
          </w:tcPr>
          <w:p>
            <w:pPr>
              <w:spacing w:after="0" w:line="240" w:lineRule="auto"/>
              <w:jc w:val="center"/>
            </w:pPr>
            <w:r/>
            <w:r>
              <w:rPr>
                <w:b/>
                <w:sz w:val="20"/>
              </w:rPr>
              <w:t>Leverage (ratio)</w:t>
            </w:r>
          </w:p>
        </w:tc>
        <w:tc>
          <w:tcPr>
            <w:tcW w:type="dxa" w:w="1656"/>
            <w:tcBorders>
              <w:top w:val="single" w:sz="6" w:color="000000"/>
              <w:bottom w:val="single" w:sz="6" w:color="000000"/>
            </w:tcBorders>
          </w:tcPr>
          <w:p>
            <w:pPr>
              <w:spacing w:after="0" w:line="240" w:lineRule="auto"/>
              <w:jc w:val="center"/>
            </w:pPr>
            <w:r/>
            <w:r>
              <w:rPr>
                <w:b/>
                <w:sz w:val="20"/>
              </w:rPr>
              <w:t>ln(assets)</w:t>
            </w:r>
          </w:p>
        </w:tc>
      </w:tr>
      <w:tr>
        <w:tc>
          <w:tcPr>
            <w:tcW w:type="dxa" w:w="2736"/>
          </w:tcPr>
          <w:p>
            <w:pPr>
              <w:spacing w:after="0" w:line="240" w:lineRule="auto"/>
            </w:pPr>
            <w:r/>
            <w:r>
              <w:rPr>
                <w:sz w:val="20"/>
              </w:rPr>
              <w:t>Without Indonesia</w:t>
            </w:r>
          </w:p>
        </w:tc>
        <w:tc>
          <w:tcPr>
            <w:tcW w:type="dxa" w:w="1656"/>
          </w:tcPr>
          <w:p>
            <w:pPr>
              <w:spacing w:after="0" w:line="240" w:lineRule="auto"/>
              <w:jc w:val="center"/>
            </w:pPr>
            <w:r/>
            <w:r>
              <w:rPr>
                <w:sz w:val="20"/>
              </w:rPr>
              <w:t>0.017 (0.024)</w:t>
            </w:r>
          </w:p>
        </w:tc>
        <w:tc>
          <w:tcPr>
            <w:tcW w:type="dxa" w:w="1656"/>
          </w:tcPr>
          <w:p>
            <w:pPr>
              <w:spacing w:after="0" w:line="240" w:lineRule="auto"/>
              <w:jc w:val="center"/>
            </w:pPr>
            <w:r/>
            <w:r>
              <w:rPr>
                <w:sz w:val="20"/>
              </w:rPr>
              <w:t>−0.030 (0.030)</w:t>
            </w:r>
          </w:p>
        </w:tc>
        <w:tc>
          <w:tcPr>
            <w:tcW w:type="dxa" w:w="1656"/>
          </w:tcPr>
          <w:p>
            <w:pPr>
              <w:spacing w:after="0" w:line="240" w:lineRule="auto"/>
              <w:jc w:val="center"/>
            </w:pPr>
            <w:r/>
            <w:r>
              <w:rPr>
                <w:sz w:val="20"/>
              </w:rPr>
              <w:t>0.011** (0.005)</w:t>
            </w:r>
          </w:p>
        </w:tc>
        <w:tc>
          <w:tcPr>
            <w:tcW w:type="dxa" w:w="1656"/>
          </w:tcPr>
          <w:p>
            <w:pPr>
              <w:spacing w:after="0" w:line="240" w:lineRule="auto"/>
              <w:jc w:val="center"/>
            </w:pPr>
            <w:r/>
            <w:r>
              <w:rPr>
                <w:sz w:val="20"/>
              </w:rPr>
              <w:t>0.037* (0.020)</w:t>
            </w:r>
          </w:p>
        </w:tc>
      </w:tr>
      <w:tr>
        <w:tc>
          <w:tcPr>
            <w:tcW w:type="dxa" w:w="2736"/>
          </w:tcPr>
          <w:p>
            <w:pPr>
              <w:spacing w:after="0" w:line="240" w:lineRule="auto"/>
            </w:pPr>
            <w:r/>
            <w:r>
              <w:rPr>
                <w:sz w:val="20"/>
              </w:rPr>
              <w:t>Without Malaysia</w:t>
            </w:r>
          </w:p>
        </w:tc>
        <w:tc>
          <w:tcPr>
            <w:tcW w:type="dxa" w:w="1656"/>
          </w:tcPr>
          <w:p>
            <w:pPr>
              <w:spacing w:after="0" w:line="240" w:lineRule="auto"/>
              <w:jc w:val="center"/>
            </w:pPr>
            <w:r/>
            <w:r>
              <w:rPr>
                <w:sz w:val="20"/>
              </w:rPr>
              <w:t>−0.003 (0.035)</w:t>
            </w:r>
          </w:p>
        </w:tc>
        <w:tc>
          <w:tcPr>
            <w:tcW w:type="dxa" w:w="1656"/>
          </w:tcPr>
          <w:p>
            <w:pPr>
              <w:spacing w:after="0" w:line="240" w:lineRule="auto"/>
              <w:jc w:val="center"/>
            </w:pPr>
            <w:r/>
            <w:r>
              <w:rPr>
                <w:sz w:val="20"/>
              </w:rPr>
              <w:t>0.037 (0.038)</w:t>
            </w:r>
          </w:p>
        </w:tc>
        <w:tc>
          <w:tcPr>
            <w:tcW w:type="dxa" w:w="1656"/>
          </w:tcPr>
          <w:p>
            <w:pPr>
              <w:spacing w:after="0" w:line="240" w:lineRule="auto"/>
              <w:jc w:val="center"/>
            </w:pPr>
            <w:r/>
            <w:r>
              <w:rPr>
                <w:sz w:val="20"/>
              </w:rPr>
              <w:t>0.022*** (0.008)</w:t>
            </w:r>
          </w:p>
        </w:tc>
        <w:tc>
          <w:tcPr>
            <w:tcW w:type="dxa" w:w="1656"/>
          </w:tcPr>
          <w:p>
            <w:pPr>
              <w:spacing w:after="0" w:line="240" w:lineRule="auto"/>
              <w:jc w:val="center"/>
            </w:pPr>
            <w:r/>
            <w:r>
              <w:rPr>
                <w:sz w:val="20"/>
              </w:rPr>
              <w:t>0.046 (0.029)</w:t>
            </w:r>
          </w:p>
        </w:tc>
      </w:tr>
      <w:tr>
        <w:tc>
          <w:tcPr>
            <w:tcW w:type="dxa" w:w="2736"/>
          </w:tcPr>
          <w:p>
            <w:pPr>
              <w:spacing w:after="0" w:line="240" w:lineRule="auto"/>
            </w:pPr>
            <w:r/>
            <w:r>
              <w:rPr>
                <w:sz w:val="20"/>
              </w:rPr>
              <w:t>Without Philippines</w:t>
            </w:r>
          </w:p>
        </w:tc>
        <w:tc>
          <w:tcPr>
            <w:tcW w:type="dxa" w:w="1656"/>
          </w:tcPr>
          <w:p>
            <w:pPr>
              <w:spacing w:after="0" w:line="240" w:lineRule="auto"/>
              <w:jc w:val="center"/>
            </w:pPr>
            <w:r/>
            <w:r>
              <w:rPr>
                <w:sz w:val="20"/>
              </w:rPr>
              <w:t>−0.001 (0.025)</w:t>
            </w:r>
          </w:p>
        </w:tc>
        <w:tc>
          <w:tcPr>
            <w:tcW w:type="dxa" w:w="1656"/>
          </w:tcPr>
          <w:p>
            <w:pPr>
              <w:spacing w:after="0" w:line="240" w:lineRule="auto"/>
              <w:jc w:val="center"/>
            </w:pPr>
            <w:r/>
            <w:r>
              <w:rPr>
                <w:sz w:val="20"/>
              </w:rPr>
              <w:t>−0.066** (0.031)</w:t>
            </w:r>
          </w:p>
        </w:tc>
        <w:tc>
          <w:tcPr>
            <w:tcW w:type="dxa" w:w="1656"/>
          </w:tcPr>
          <w:p>
            <w:pPr>
              <w:spacing w:after="0" w:line="240" w:lineRule="auto"/>
              <w:jc w:val="center"/>
            </w:pPr>
            <w:r/>
            <w:r>
              <w:rPr>
                <w:sz w:val="20"/>
              </w:rPr>
              <w:t>0.009* (0.005)</w:t>
            </w:r>
          </w:p>
        </w:tc>
        <w:tc>
          <w:tcPr>
            <w:tcW w:type="dxa" w:w="1656"/>
          </w:tcPr>
          <w:p>
            <w:pPr>
              <w:spacing w:after="0" w:line="240" w:lineRule="auto"/>
              <w:jc w:val="center"/>
            </w:pPr>
            <w:r/>
            <w:r>
              <w:rPr>
                <w:sz w:val="20"/>
              </w:rPr>
              <w:t>0.031* (0.019)</w:t>
            </w:r>
          </w:p>
        </w:tc>
      </w:tr>
      <w:tr>
        <w:tc>
          <w:tcPr>
            <w:tcW w:type="dxa" w:w="2736"/>
          </w:tcPr>
          <w:p>
            <w:pPr>
              <w:spacing w:after="0" w:line="240" w:lineRule="auto"/>
            </w:pPr>
            <w:r/>
            <w:r>
              <w:rPr>
                <w:sz w:val="20"/>
              </w:rPr>
              <w:t>Without Singapore</w:t>
            </w:r>
          </w:p>
        </w:tc>
        <w:tc>
          <w:tcPr>
            <w:tcW w:type="dxa" w:w="1656"/>
          </w:tcPr>
          <w:p>
            <w:pPr>
              <w:spacing w:after="0" w:line="240" w:lineRule="auto"/>
              <w:jc w:val="center"/>
            </w:pPr>
            <w:r/>
            <w:r>
              <w:rPr>
                <w:sz w:val="20"/>
              </w:rPr>
              <w:t>−0.007 (0.025)</w:t>
            </w:r>
          </w:p>
        </w:tc>
        <w:tc>
          <w:tcPr>
            <w:tcW w:type="dxa" w:w="1656"/>
          </w:tcPr>
          <w:p>
            <w:pPr>
              <w:spacing w:after="0" w:line="240" w:lineRule="auto"/>
              <w:jc w:val="center"/>
            </w:pPr>
            <w:r/>
            <w:r>
              <w:rPr>
                <w:sz w:val="20"/>
              </w:rPr>
              <w:t>−0.066** (0.032)</w:t>
            </w:r>
          </w:p>
        </w:tc>
        <w:tc>
          <w:tcPr>
            <w:tcW w:type="dxa" w:w="1656"/>
          </w:tcPr>
          <w:p>
            <w:pPr>
              <w:spacing w:after="0" w:line="240" w:lineRule="auto"/>
              <w:jc w:val="center"/>
            </w:pPr>
            <w:r/>
            <w:r>
              <w:rPr>
                <w:sz w:val="20"/>
              </w:rPr>
              <w:t>0.005 (0.005)</w:t>
            </w:r>
          </w:p>
        </w:tc>
        <w:tc>
          <w:tcPr>
            <w:tcW w:type="dxa" w:w="1656"/>
          </w:tcPr>
          <w:p>
            <w:pPr>
              <w:spacing w:after="0" w:line="240" w:lineRule="auto"/>
              <w:jc w:val="center"/>
            </w:pPr>
            <w:r/>
            <w:r>
              <w:rPr>
                <w:sz w:val="20"/>
              </w:rPr>
              <w:t>0.063*** (0.019)</w:t>
            </w:r>
          </w:p>
        </w:tc>
      </w:tr>
      <w:tr>
        <w:tc>
          <w:tcPr>
            <w:tcW w:type="dxa" w:w="2736"/>
            <w:tcBorders>
              <w:bottom w:val="single" w:sz="6" w:color="000000"/>
            </w:tcBorders>
          </w:tcPr>
          <w:p>
            <w:pPr>
              <w:spacing w:after="0" w:line="240" w:lineRule="auto"/>
            </w:pPr>
            <w:r/>
            <w:r>
              <w:rPr>
                <w:sz w:val="20"/>
              </w:rPr>
              <w:t>Without Thailand</w:t>
            </w:r>
          </w:p>
        </w:tc>
        <w:tc>
          <w:tcPr>
            <w:tcW w:type="dxa" w:w="1656"/>
            <w:tcBorders>
              <w:bottom w:val="single" w:sz="6" w:color="000000"/>
            </w:tcBorders>
          </w:tcPr>
          <w:p>
            <w:pPr>
              <w:spacing w:after="0" w:line="240" w:lineRule="auto"/>
              <w:jc w:val="center"/>
            </w:pPr>
            <w:r/>
            <w:r>
              <w:rPr>
                <w:sz w:val="20"/>
              </w:rPr>
              <w:t>0.004 (0.029)</w:t>
            </w:r>
          </w:p>
        </w:tc>
        <w:tc>
          <w:tcPr>
            <w:tcW w:type="dxa" w:w="1656"/>
            <w:tcBorders>
              <w:bottom w:val="single" w:sz="6" w:color="000000"/>
            </w:tcBorders>
          </w:tcPr>
          <w:p>
            <w:pPr>
              <w:spacing w:after="0" w:line="240" w:lineRule="auto"/>
              <w:jc w:val="center"/>
            </w:pPr>
            <w:r/>
            <w:r>
              <w:rPr>
                <w:sz w:val="20"/>
              </w:rPr>
              <w:t>−0.096** (0.037)</w:t>
            </w:r>
          </w:p>
        </w:tc>
        <w:tc>
          <w:tcPr>
            <w:tcW w:type="dxa" w:w="1656"/>
            <w:tcBorders>
              <w:bottom w:val="single" w:sz="6" w:color="000000"/>
            </w:tcBorders>
          </w:tcPr>
          <w:p>
            <w:pPr>
              <w:spacing w:after="0" w:line="240" w:lineRule="auto"/>
              <w:jc w:val="center"/>
            </w:pPr>
            <w:r/>
            <w:r>
              <w:rPr>
                <w:sz w:val="20"/>
              </w:rPr>
              <w:t>0.004 (0.005)</w:t>
            </w:r>
          </w:p>
        </w:tc>
        <w:tc>
          <w:tcPr>
            <w:tcW w:type="dxa" w:w="1656"/>
            <w:tcBorders>
              <w:bottom w:val="single" w:sz="6" w:color="000000"/>
            </w:tcBorders>
          </w:tcPr>
          <w:p>
            <w:pPr>
              <w:spacing w:after="0" w:line="240" w:lineRule="auto"/>
              <w:jc w:val="center"/>
            </w:pPr>
            <w:r/>
            <w:r>
              <w:rPr>
                <w:sz w:val="20"/>
              </w:rPr>
              <w:t>0.040* (0.021)</w:t>
            </w:r>
          </w:p>
        </w:tc>
      </w:tr>
    </w:tbl>
    <w:p>
      <w:pPr>
        <w:spacing w:line="240" w:lineRule="auto" w:after="40" w:before="80"/>
        <w:jc w:val="both"/>
      </w:pPr>
      <w:r>
        <w:rPr>
          <w:sz w:val="18"/>
        </w:rPr>
        <w:t>Note: Cells show the average effect over event years 0 to 3 without the named market, with bootstrap standard errors in parentheses. *, **, and *** denote significance at 10%, 5%, and 1% (unadjusted p-values).</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S2. Number of non-financial firms by year of first LSEG ESG score and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224"/>
        <w:gridCol w:w="1224"/>
        <w:gridCol w:w="1296"/>
        <w:gridCol w:w="1296"/>
        <w:gridCol w:w="1224"/>
        <w:gridCol w:w="1080"/>
      </w:tblGrid>
      <w:tr>
        <w:tc>
          <w:tcPr>
            <w:tcW w:type="dxa" w:w="1872"/>
            <w:tcBorders>
              <w:top w:val="single" w:sz="6" w:color="000000"/>
              <w:bottom w:val="single" w:sz="6" w:color="000000"/>
            </w:tcBorders>
          </w:tcPr>
          <w:p>
            <w:pPr>
              <w:spacing w:after="0" w:line="240" w:lineRule="auto"/>
            </w:pPr>
            <w:r/>
            <w:r>
              <w:rPr>
                <w:b/>
                <w:sz w:val="20"/>
              </w:rPr>
              <w:t>First score year</w:t>
            </w:r>
          </w:p>
        </w:tc>
        <w:tc>
          <w:tcPr>
            <w:tcW w:type="dxa" w:w="1224"/>
            <w:tcBorders>
              <w:top w:val="single" w:sz="6" w:color="000000"/>
              <w:bottom w:val="single" w:sz="6" w:color="000000"/>
            </w:tcBorders>
          </w:tcPr>
          <w:p>
            <w:pPr>
              <w:spacing w:after="0" w:line="240" w:lineRule="auto"/>
              <w:jc w:val="center"/>
            </w:pPr>
            <w:r/>
            <w:r>
              <w:rPr>
                <w:b/>
                <w:sz w:val="20"/>
              </w:rPr>
              <w:t>Indonesia</w:t>
            </w:r>
          </w:p>
        </w:tc>
        <w:tc>
          <w:tcPr>
            <w:tcW w:type="dxa" w:w="1224"/>
            <w:tcBorders>
              <w:top w:val="single" w:sz="6" w:color="000000"/>
              <w:bottom w:val="single" w:sz="6" w:color="000000"/>
            </w:tcBorders>
          </w:tcPr>
          <w:p>
            <w:pPr>
              <w:spacing w:after="0" w:line="240" w:lineRule="auto"/>
              <w:jc w:val="center"/>
            </w:pPr>
            <w:r/>
            <w:r>
              <w:rPr>
                <w:b/>
                <w:sz w:val="20"/>
              </w:rPr>
              <w:t>Malaysia</w:t>
            </w:r>
          </w:p>
        </w:tc>
        <w:tc>
          <w:tcPr>
            <w:tcW w:type="dxa" w:w="1296"/>
            <w:tcBorders>
              <w:top w:val="single" w:sz="6" w:color="000000"/>
              <w:bottom w:val="single" w:sz="6" w:color="000000"/>
            </w:tcBorders>
          </w:tcPr>
          <w:p>
            <w:pPr>
              <w:spacing w:after="0" w:line="240" w:lineRule="auto"/>
              <w:jc w:val="center"/>
            </w:pPr>
            <w:r/>
            <w:r>
              <w:rPr>
                <w:b/>
                <w:sz w:val="20"/>
              </w:rPr>
              <w:t>Philippines</w:t>
            </w:r>
          </w:p>
        </w:tc>
        <w:tc>
          <w:tcPr>
            <w:tcW w:type="dxa" w:w="1296"/>
            <w:tcBorders>
              <w:top w:val="single" w:sz="6" w:color="000000"/>
              <w:bottom w:val="single" w:sz="6" w:color="000000"/>
            </w:tcBorders>
          </w:tcPr>
          <w:p>
            <w:pPr>
              <w:spacing w:after="0" w:line="240" w:lineRule="auto"/>
              <w:jc w:val="center"/>
            </w:pPr>
            <w:r/>
            <w:r>
              <w:rPr>
                <w:b/>
                <w:sz w:val="20"/>
              </w:rPr>
              <w:t>Singapore</w:t>
            </w:r>
          </w:p>
        </w:tc>
        <w:tc>
          <w:tcPr>
            <w:tcW w:type="dxa" w:w="1224"/>
            <w:tcBorders>
              <w:top w:val="single" w:sz="6" w:color="000000"/>
              <w:bottom w:val="single" w:sz="6" w:color="000000"/>
            </w:tcBorders>
          </w:tcPr>
          <w:p>
            <w:pPr>
              <w:spacing w:after="0" w:line="240" w:lineRule="auto"/>
              <w:jc w:val="center"/>
            </w:pPr>
            <w:r/>
            <w:r>
              <w:rPr>
                <w:b/>
                <w:sz w:val="20"/>
              </w:rPr>
              <w:t>Thailand</w:t>
            </w:r>
          </w:p>
        </w:tc>
        <w:tc>
          <w:tcPr>
            <w:tcW w:type="dxa" w:w="1080"/>
            <w:tcBorders>
              <w:top w:val="single" w:sz="6" w:color="000000"/>
              <w:bottom w:val="single" w:sz="6" w:color="000000"/>
            </w:tcBorders>
          </w:tcPr>
          <w:p>
            <w:pPr>
              <w:spacing w:after="0" w:line="240" w:lineRule="auto"/>
              <w:jc w:val="center"/>
            </w:pPr>
            <w:r/>
            <w:r>
              <w:rPr>
                <w:b/>
                <w:sz w:val="20"/>
              </w:rPr>
              <w:t>Total</w:t>
            </w:r>
          </w:p>
        </w:tc>
      </w:tr>
      <w:tr>
        <w:tc>
          <w:tcPr>
            <w:tcW w:type="dxa" w:w="1872"/>
          </w:tcPr>
          <w:p>
            <w:pPr>
              <w:spacing w:after="0" w:line="240" w:lineRule="auto"/>
            </w:pPr>
            <w:r/>
            <w:r>
              <w:rPr>
                <w:sz w:val="20"/>
              </w:rPr>
              <w:t>2015</w:t>
            </w:r>
          </w:p>
        </w:tc>
        <w:tc>
          <w:tcPr>
            <w:tcW w:type="dxa" w:w="1224"/>
          </w:tcPr>
          <w:p>
            <w:pPr>
              <w:spacing w:after="0" w:line="240" w:lineRule="auto"/>
              <w:jc w:val="center"/>
            </w:pPr>
            <w:r/>
            <w:r>
              <w:rPr>
                <w:sz w:val="20"/>
              </w:rPr>
              <w:t>2</w:t>
            </w:r>
          </w:p>
        </w:tc>
        <w:tc>
          <w:tcPr>
            <w:tcW w:type="dxa" w:w="1224"/>
          </w:tcPr>
          <w:p>
            <w:pPr>
              <w:spacing w:after="0" w:line="240" w:lineRule="auto"/>
              <w:jc w:val="center"/>
            </w:pPr>
            <w:r/>
            <w:r>
              <w:rPr>
                <w:sz w:val="20"/>
              </w:rPr>
              <w:t>0</w:t>
            </w:r>
          </w:p>
        </w:tc>
        <w:tc>
          <w:tcPr>
            <w:tcW w:type="dxa" w:w="1296"/>
          </w:tcPr>
          <w:p>
            <w:pPr>
              <w:spacing w:after="0" w:line="240" w:lineRule="auto"/>
              <w:jc w:val="center"/>
            </w:pPr>
            <w:r/>
            <w:r>
              <w:rPr>
                <w:sz w:val="20"/>
              </w:rPr>
              <w:t>2</w:t>
            </w:r>
          </w:p>
        </w:tc>
        <w:tc>
          <w:tcPr>
            <w:tcW w:type="dxa" w:w="1296"/>
          </w:tcPr>
          <w:p>
            <w:pPr>
              <w:spacing w:after="0" w:line="240" w:lineRule="auto"/>
              <w:jc w:val="center"/>
            </w:pPr>
            <w:r/>
            <w:r>
              <w:rPr>
                <w:sz w:val="20"/>
              </w:rPr>
              <w:t>0</w:t>
            </w:r>
          </w:p>
        </w:tc>
        <w:tc>
          <w:tcPr>
            <w:tcW w:type="dxa" w:w="1224"/>
          </w:tcPr>
          <w:p>
            <w:pPr>
              <w:spacing w:after="0" w:line="240" w:lineRule="auto"/>
              <w:jc w:val="center"/>
            </w:pPr>
            <w:r/>
            <w:r>
              <w:rPr>
                <w:sz w:val="20"/>
              </w:rPr>
              <w:t>4</w:t>
            </w:r>
          </w:p>
        </w:tc>
        <w:tc>
          <w:tcPr>
            <w:tcW w:type="dxa" w:w="1080"/>
          </w:tcPr>
          <w:p>
            <w:pPr>
              <w:spacing w:after="0" w:line="240" w:lineRule="auto"/>
              <w:jc w:val="center"/>
            </w:pPr>
            <w:r/>
            <w:r>
              <w:rPr>
                <w:sz w:val="20"/>
              </w:rPr>
              <w:t>8</w:t>
            </w:r>
          </w:p>
        </w:tc>
      </w:tr>
      <w:tr>
        <w:tc>
          <w:tcPr>
            <w:tcW w:type="dxa" w:w="1872"/>
          </w:tcPr>
          <w:p>
            <w:pPr>
              <w:spacing w:after="0" w:line="240" w:lineRule="auto"/>
            </w:pPr>
            <w:r/>
            <w:r>
              <w:rPr>
                <w:sz w:val="20"/>
              </w:rPr>
              <w:t>2016</w:t>
            </w:r>
          </w:p>
        </w:tc>
        <w:tc>
          <w:tcPr>
            <w:tcW w:type="dxa" w:w="1224"/>
          </w:tcPr>
          <w:p>
            <w:pPr>
              <w:spacing w:after="0" w:line="240" w:lineRule="auto"/>
              <w:jc w:val="center"/>
            </w:pPr>
            <w:r/>
            <w:r>
              <w:rPr>
                <w:sz w:val="20"/>
              </w:rPr>
              <w:t>3</w:t>
            </w:r>
          </w:p>
        </w:tc>
        <w:tc>
          <w:tcPr>
            <w:tcW w:type="dxa" w:w="1224"/>
          </w:tcPr>
          <w:p>
            <w:pPr>
              <w:spacing w:after="0" w:line="240" w:lineRule="auto"/>
              <w:jc w:val="center"/>
            </w:pPr>
            <w:r/>
            <w:r>
              <w:rPr>
                <w:sz w:val="20"/>
              </w:rPr>
              <w:t>2</w:t>
            </w:r>
          </w:p>
        </w:tc>
        <w:tc>
          <w:tcPr>
            <w:tcW w:type="dxa" w:w="1296"/>
          </w:tcPr>
          <w:p>
            <w:pPr>
              <w:spacing w:after="0" w:line="240" w:lineRule="auto"/>
              <w:jc w:val="center"/>
            </w:pPr>
            <w:r/>
            <w:r>
              <w:rPr>
                <w:sz w:val="20"/>
              </w:rPr>
              <w:t>1</w:t>
            </w:r>
          </w:p>
        </w:tc>
        <w:tc>
          <w:tcPr>
            <w:tcW w:type="dxa" w:w="1296"/>
          </w:tcPr>
          <w:p>
            <w:pPr>
              <w:spacing w:after="0" w:line="240" w:lineRule="auto"/>
              <w:jc w:val="center"/>
            </w:pPr>
            <w:r/>
            <w:r>
              <w:rPr>
                <w:sz w:val="20"/>
              </w:rPr>
              <w:t>1</w:t>
            </w:r>
          </w:p>
        </w:tc>
        <w:tc>
          <w:tcPr>
            <w:tcW w:type="dxa" w:w="1224"/>
          </w:tcPr>
          <w:p>
            <w:pPr>
              <w:spacing w:after="0" w:line="240" w:lineRule="auto"/>
              <w:jc w:val="center"/>
            </w:pPr>
            <w:r/>
            <w:r>
              <w:rPr>
                <w:sz w:val="20"/>
              </w:rPr>
              <w:t>2</w:t>
            </w:r>
          </w:p>
        </w:tc>
        <w:tc>
          <w:tcPr>
            <w:tcW w:type="dxa" w:w="1080"/>
          </w:tcPr>
          <w:p>
            <w:pPr>
              <w:spacing w:after="0" w:line="240" w:lineRule="auto"/>
              <w:jc w:val="center"/>
            </w:pPr>
            <w:r/>
            <w:r>
              <w:rPr>
                <w:sz w:val="20"/>
              </w:rPr>
              <w:t>9</w:t>
            </w:r>
          </w:p>
        </w:tc>
      </w:tr>
      <w:tr>
        <w:tc>
          <w:tcPr>
            <w:tcW w:type="dxa" w:w="1872"/>
          </w:tcPr>
          <w:p>
            <w:pPr>
              <w:spacing w:after="0" w:line="240" w:lineRule="auto"/>
            </w:pPr>
            <w:r/>
            <w:r>
              <w:rPr>
                <w:sz w:val="20"/>
              </w:rPr>
              <w:t>2017</w:t>
            </w:r>
          </w:p>
        </w:tc>
        <w:tc>
          <w:tcPr>
            <w:tcW w:type="dxa" w:w="1224"/>
          </w:tcPr>
          <w:p>
            <w:pPr>
              <w:spacing w:after="0" w:line="240" w:lineRule="auto"/>
              <w:jc w:val="center"/>
            </w:pPr>
            <w:r/>
            <w:r>
              <w:rPr>
                <w:sz w:val="20"/>
              </w:rPr>
              <w:t>1</w:t>
            </w:r>
          </w:p>
        </w:tc>
        <w:tc>
          <w:tcPr>
            <w:tcW w:type="dxa" w:w="1224"/>
          </w:tcPr>
          <w:p>
            <w:pPr>
              <w:spacing w:after="0" w:line="240" w:lineRule="auto"/>
              <w:jc w:val="center"/>
            </w:pPr>
            <w:r/>
            <w:r>
              <w:rPr>
                <w:sz w:val="20"/>
              </w:rPr>
              <w:t>4</w:t>
            </w:r>
          </w:p>
        </w:tc>
        <w:tc>
          <w:tcPr>
            <w:tcW w:type="dxa" w:w="1296"/>
          </w:tcPr>
          <w:p>
            <w:pPr>
              <w:spacing w:after="0" w:line="240" w:lineRule="auto"/>
              <w:jc w:val="center"/>
            </w:pPr>
            <w:r/>
            <w:r>
              <w:rPr>
                <w:sz w:val="20"/>
              </w:rPr>
              <w:t>0</w:t>
            </w:r>
          </w:p>
        </w:tc>
        <w:tc>
          <w:tcPr>
            <w:tcW w:type="dxa" w:w="1296"/>
          </w:tcPr>
          <w:p>
            <w:pPr>
              <w:spacing w:after="0" w:line="240" w:lineRule="auto"/>
              <w:jc w:val="center"/>
            </w:pPr>
            <w:r/>
            <w:r>
              <w:rPr>
                <w:sz w:val="20"/>
              </w:rPr>
              <w:t>0</w:t>
            </w:r>
          </w:p>
        </w:tc>
        <w:tc>
          <w:tcPr>
            <w:tcW w:type="dxa" w:w="1224"/>
          </w:tcPr>
          <w:p>
            <w:pPr>
              <w:spacing w:after="0" w:line="240" w:lineRule="auto"/>
              <w:jc w:val="center"/>
            </w:pPr>
            <w:r/>
            <w:r>
              <w:rPr>
                <w:sz w:val="20"/>
              </w:rPr>
              <w:t>2</w:t>
            </w:r>
          </w:p>
        </w:tc>
        <w:tc>
          <w:tcPr>
            <w:tcW w:type="dxa" w:w="1080"/>
          </w:tcPr>
          <w:p>
            <w:pPr>
              <w:spacing w:after="0" w:line="240" w:lineRule="auto"/>
              <w:jc w:val="center"/>
            </w:pPr>
            <w:r/>
            <w:r>
              <w:rPr>
                <w:sz w:val="20"/>
              </w:rPr>
              <w:t>7</w:t>
            </w:r>
          </w:p>
        </w:tc>
      </w:tr>
      <w:tr>
        <w:tc>
          <w:tcPr>
            <w:tcW w:type="dxa" w:w="1872"/>
          </w:tcPr>
          <w:p>
            <w:pPr>
              <w:spacing w:after="0" w:line="240" w:lineRule="auto"/>
            </w:pPr>
            <w:r/>
            <w:r>
              <w:rPr>
                <w:sz w:val="20"/>
              </w:rPr>
              <w:t>2018</w:t>
            </w:r>
          </w:p>
        </w:tc>
        <w:tc>
          <w:tcPr>
            <w:tcW w:type="dxa" w:w="1224"/>
          </w:tcPr>
          <w:p>
            <w:pPr>
              <w:spacing w:after="0" w:line="240" w:lineRule="auto"/>
              <w:jc w:val="center"/>
            </w:pPr>
            <w:r/>
            <w:r>
              <w:rPr>
                <w:sz w:val="20"/>
              </w:rPr>
              <w:t>2</w:t>
            </w:r>
          </w:p>
        </w:tc>
        <w:tc>
          <w:tcPr>
            <w:tcW w:type="dxa" w:w="1224"/>
          </w:tcPr>
          <w:p>
            <w:pPr>
              <w:spacing w:after="0" w:line="240" w:lineRule="auto"/>
              <w:jc w:val="center"/>
            </w:pPr>
            <w:r/>
            <w:r>
              <w:rPr>
                <w:sz w:val="20"/>
              </w:rPr>
              <w:t>3</w:t>
            </w:r>
          </w:p>
        </w:tc>
        <w:tc>
          <w:tcPr>
            <w:tcW w:type="dxa" w:w="1296"/>
          </w:tcPr>
          <w:p>
            <w:pPr>
              <w:spacing w:after="0" w:line="240" w:lineRule="auto"/>
              <w:jc w:val="center"/>
            </w:pPr>
            <w:r/>
            <w:r>
              <w:rPr>
                <w:sz w:val="20"/>
              </w:rPr>
              <w:t>1</w:t>
            </w:r>
          </w:p>
        </w:tc>
        <w:tc>
          <w:tcPr>
            <w:tcW w:type="dxa" w:w="1296"/>
          </w:tcPr>
          <w:p>
            <w:pPr>
              <w:spacing w:after="0" w:line="240" w:lineRule="auto"/>
              <w:jc w:val="center"/>
            </w:pPr>
            <w:r/>
            <w:r>
              <w:rPr>
                <w:sz w:val="20"/>
              </w:rPr>
              <w:t>0</w:t>
            </w:r>
          </w:p>
        </w:tc>
        <w:tc>
          <w:tcPr>
            <w:tcW w:type="dxa" w:w="1224"/>
          </w:tcPr>
          <w:p>
            <w:pPr>
              <w:spacing w:after="0" w:line="240" w:lineRule="auto"/>
              <w:jc w:val="center"/>
            </w:pPr>
            <w:r/>
            <w:r>
              <w:rPr>
                <w:sz w:val="20"/>
              </w:rPr>
              <w:t>2</w:t>
            </w:r>
          </w:p>
        </w:tc>
        <w:tc>
          <w:tcPr>
            <w:tcW w:type="dxa" w:w="1080"/>
          </w:tcPr>
          <w:p>
            <w:pPr>
              <w:spacing w:after="0" w:line="240" w:lineRule="auto"/>
              <w:jc w:val="center"/>
            </w:pPr>
            <w:r/>
            <w:r>
              <w:rPr>
                <w:sz w:val="20"/>
              </w:rPr>
              <w:t>8</w:t>
            </w:r>
          </w:p>
        </w:tc>
      </w:tr>
      <w:tr>
        <w:tc>
          <w:tcPr>
            <w:tcW w:type="dxa" w:w="1872"/>
          </w:tcPr>
          <w:p>
            <w:pPr>
              <w:spacing w:after="0" w:line="240" w:lineRule="auto"/>
            </w:pPr>
            <w:r/>
            <w:r>
              <w:rPr>
                <w:sz w:val="20"/>
              </w:rPr>
              <w:t>2019</w:t>
            </w:r>
          </w:p>
        </w:tc>
        <w:tc>
          <w:tcPr>
            <w:tcW w:type="dxa" w:w="1224"/>
          </w:tcPr>
          <w:p>
            <w:pPr>
              <w:spacing w:after="0" w:line="240" w:lineRule="auto"/>
              <w:jc w:val="center"/>
            </w:pPr>
            <w:r/>
            <w:r>
              <w:rPr>
                <w:sz w:val="20"/>
              </w:rPr>
              <w:t>1</w:t>
            </w:r>
          </w:p>
        </w:tc>
        <w:tc>
          <w:tcPr>
            <w:tcW w:type="dxa" w:w="1224"/>
          </w:tcPr>
          <w:p>
            <w:pPr>
              <w:spacing w:after="0" w:line="240" w:lineRule="auto"/>
              <w:jc w:val="center"/>
            </w:pPr>
            <w:r/>
            <w:r>
              <w:rPr>
                <w:sz w:val="20"/>
              </w:rPr>
              <w:t>2</w:t>
            </w:r>
          </w:p>
        </w:tc>
        <w:tc>
          <w:tcPr>
            <w:tcW w:type="dxa" w:w="1296"/>
          </w:tcPr>
          <w:p>
            <w:pPr>
              <w:spacing w:after="0" w:line="240" w:lineRule="auto"/>
              <w:jc w:val="center"/>
            </w:pPr>
            <w:r/>
            <w:r>
              <w:rPr>
                <w:sz w:val="20"/>
              </w:rPr>
              <w:t>0</w:t>
            </w:r>
          </w:p>
        </w:tc>
        <w:tc>
          <w:tcPr>
            <w:tcW w:type="dxa" w:w="1296"/>
          </w:tcPr>
          <w:p>
            <w:pPr>
              <w:spacing w:after="0" w:line="240" w:lineRule="auto"/>
              <w:jc w:val="center"/>
            </w:pPr>
            <w:r/>
            <w:r>
              <w:rPr>
                <w:sz w:val="20"/>
              </w:rPr>
              <w:t>9</w:t>
            </w:r>
          </w:p>
        </w:tc>
        <w:tc>
          <w:tcPr>
            <w:tcW w:type="dxa" w:w="1224"/>
          </w:tcPr>
          <w:p>
            <w:pPr>
              <w:spacing w:after="0" w:line="240" w:lineRule="auto"/>
              <w:jc w:val="center"/>
            </w:pPr>
            <w:r/>
            <w:r>
              <w:rPr>
                <w:sz w:val="20"/>
              </w:rPr>
              <w:t>18</w:t>
            </w:r>
          </w:p>
        </w:tc>
        <w:tc>
          <w:tcPr>
            <w:tcW w:type="dxa" w:w="1080"/>
          </w:tcPr>
          <w:p>
            <w:pPr>
              <w:spacing w:after="0" w:line="240" w:lineRule="auto"/>
              <w:jc w:val="center"/>
            </w:pPr>
            <w:r/>
            <w:r>
              <w:rPr>
                <w:sz w:val="20"/>
              </w:rPr>
              <w:t>30</w:t>
            </w:r>
          </w:p>
        </w:tc>
      </w:tr>
      <w:tr>
        <w:tc>
          <w:tcPr>
            <w:tcW w:type="dxa" w:w="1872"/>
          </w:tcPr>
          <w:p>
            <w:pPr>
              <w:spacing w:after="0" w:line="240" w:lineRule="auto"/>
            </w:pPr>
            <w:r/>
            <w:r>
              <w:rPr>
                <w:sz w:val="20"/>
              </w:rPr>
              <w:t>2020</w:t>
            </w:r>
          </w:p>
        </w:tc>
        <w:tc>
          <w:tcPr>
            <w:tcW w:type="dxa" w:w="1224"/>
          </w:tcPr>
          <w:p>
            <w:pPr>
              <w:spacing w:after="0" w:line="240" w:lineRule="auto"/>
              <w:jc w:val="center"/>
            </w:pPr>
            <w:r/>
            <w:r>
              <w:rPr>
                <w:sz w:val="20"/>
              </w:rPr>
              <w:t>3</w:t>
            </w:r>
          </w:p>
        </w:tc>
        <w:tc>
          <w:tcPr>
            <w:tcW w:type="dxa" w:w="1224"/>
          </w:tcPr>
          <w:p>
            <w:pPr>
              <w:spacing w:after="0" w:line="240" w:lineRule="auto"/>
              <w:jc w:val="center"/>
            </w:pPr>
            <w:r/>
            <w:r>
              <w:rPr>
                <w:sz w:val="20"/>
              </w:rPr>
              <w:t>5</w:t>
            </w:r>
          </w:p>
        </w:tc>
        <w:tc>
          <w:tcPr>
            <w:tcW w:type="dxa" w:w="1296"/>
          </w:tcPr>
          <w:p>
            <w:pPr>
              <w:spacing w:after="0" w:line="240" w:lineRule="auto"/>
              <w:jc w:val="center"/>
            </w:pPr>
            <w:r/>
            <w:r>
              <w:rPr>
                <w:sz w:val="20"/>
              </w:rPr>
              <w:t>1</w:t>
            </w:r>
          </w:p>
        </w:tc>
        <w:tc>
          <w:tcPr>
            <w:tcW w:type="dxa" w:w="1296"/>
          </w:tcPr>
          <w:p>
            <w:pPr>
              <w:spacing w:after="0" w:line="240" w:lineRule="auto"/>
              <w:jc w:val="center"/>
            </w:pPr>
            <w:r/>
            <w:r>
              <w:rPr>
                <w:sz w:val="20"/>
              </w:rPr>
              <w:t>34</w:t>
            </w:r>
          </w:p>
        </w:tc>
        <w:tc>
          <w:tcPr>
            <w:tcW w:type="dxa" w:w="1224"/>
          </w:tcPr>
          <w:p>
            <w:pPr>
              <w:spacing w:after="0" w:line="240" w:lineRule="auto"/>
              <w:jc w:val="center"/>
            </w:pPr>
            <w:r/>
            <w:r>
              <w:rPr>
                <w:sz w:val="20"/>
              </w:rPr>
              <w:t>47</w:t>
            </w:r>
          </w:p>
        </w:tc>
        <w:tc>
          <w:tcPr>
            <w:tcW w:type="dxa" w:w="1080"/>
          </w:tcPr>
          <w:p>
            <w:pPr>
              <w:spacing w:after="0" w:line="240" w:lineRule="auto"/>
              <w:jc w:val="center"/>
            </w:pPr>
            <w:r/>
            <w:r>
              <w:rPr>
                <w:sz w:val="20"/>
              </w:rPr>
              <w:t>90</w:t>
            </w:r>
          </w:p>
        </w:tc>
      </w:tr>
      <w:tr>
        <w:tc>
          <w:tcPr>
            <w:tcW w:type="dxa" w:w="1872"/>
          </w:tcPr>
          <w:p>
            <w:pPr>
              <w:spacing w:after="0" w:line="240" w:lineRule="auto"/>
            </w:pPr>
            <w:r/>
            <w:r>
              <w:rPr>
                <w:sz w:val="20"/>
              </w:rPr>
              <w:t>2021</w:t>
            </w:r>
          </w:p>
        </w:tc>
        <w:tc>
          <w:tcPr>
            <w:tcW w:type="dxa" w:w="1224"/>
          </w:tcPr>
          <w:p>
            <w:pPr>
              <w:spacing w:after="0" w:line="240" w:lineRule="auto"/>
              <w:jc w:val="center"/>
            </w:pPr>
            <w:r/>
            <w:r>
              <w:rPr>
                <w:sz w:val="20"/>
              </w:rPr>
              <w:t>6</w:t>
            </w:r>
          </w:p>
        </w:tc>
        <w:tc>
          <w:tcPr>
            <w:tcW w:type="dxa" w:w="1224"/>
          </w:tcPr>
          <w:p>
            <w:pPr>
              <w:spacing w:after="0" w:line="240" w:lineRule="auto"/>
              <w:jc w:val="center"/>
            </w:pPr>
            <w:r/>
            <w:r>
              <w:rPr>
                <w:sz w:val="20"/>
              </w:rPr>
              <w:t>96</w:t>
            </w:r>
          </w:p>
        </w:tc>
        <w:tc>
          <w:tcPr>
            <w:tcW w:type="dxa" w:w="1296"/>
          </w:tcPr>
          <w:p>
            <w:pPr>
              <w:spacing w:after="0" w:line="240" w:lineRule="auto"/>
              <w:jc w:val="center"/>
            </w:pPr>
            <w:r/>
            <w:r>
              <w:rPr>
                <w:sz w:val="20"/>
              </w:rPr>
              <w:t>5</w:t>
            </w:r>
          </w:p>
        </w:tc>
        <w:tc>
          <w:tcPr>
            <w:tcW w:type="dxa" w:w="1296"/>
          </w:tcPr>
          <w:p>
            <w:pPr>
              <w:spacing w:after="0" w:line="240" w:lineRule="auto"/>
              <w:jc w:val="center"/>
            </w:pPr>
            <w:r/>
            <w:r>
              <w:rPr>
                <w:sz w:val="20"/>
              </w:rPr>
              <w:t>3</w:t>
            </w:r>
          </w:p>
        </w:tc>
        <w:tc>
          <w:tcPr>
            <w:tcW w:type="dxa" w:w="1224"/>
          </w:tcPr>
          <w:p>
            <w:pPr>
              <w:spacing w:after="0" w:line="240" w:lineRule="auto"/>
              <w:jc w:val="center"/>
            </w:pPr>
            <w:r/>
            <w:r>
              <w:rPr>
                <w:sz w:val="20"/>
              </w:rPr>
              <w:t>31</w:t>
            </w:r>
          </w:p>
        </w:tc>
        <w:tc>
          <w:tcPr>
            <w:tcW w:type="dxa" w:w="1080"/>
          </w:tcPr>
          <w:p>
            <w:pPr>
              <w:spacing w:after="0" w:line="240" w:lineRule="auto"/>
              <w:jc w:val="center"/>
            </w:pPr>
            <w:r/>
            <w:r>
              <w:rPr>
                <w:sz w:val="20"/>
              </w:rPr>
              <w:t>141</w:t>
            </w:r>
          </w:p>
        </w:tc>
      </w:tr>
      <w:tr>
        <w:tc>
          <w:tcPr>
            <w:tcW w:type="dxa" w:w="1872"/>
          </w:tcPr>
          <w:p>
            <w:pPr>
              <w:spacing w:after="0" w:line="240" w:lineRule="auto"/>
            </w:pPr>
            <w:r/>
            <w:r>
              <w:rPr>
                <w:sz w:val="20"/>
              </w:rPr>
              <w:t>2022</w:t>
            </w:r>
          </w:p>
        </w:tc>
        <w:tc>
          <w:tcPr>
            <w:tcW w:type="dxa" w:w="1224"/>
          </w:tcPr>
          <w:p>
            <w:pPr>
              <w:spacing w:after="0" w:line="240" w:lineRule="auto"/>
              <w:jc w:val="center"/>
            </w:pPr>
            <w:r/>
            <w:r>
              <w:rPr>
                <w:sz w:val="20"/>
              </w:rPr>
              <w:t>13</w:t>
            </w:r>
          </w:p>
        </w:tc>
        <w:tc>
          <w:tcPr>
            <w:tcW w:type="dxa" w:w="1224"/>
          </w:tcPr>
          <w:p>
            <w:pPr>
              <w:spacing w:after="0" w:line="240" w:lineRule="auto"/>
              <w:jc w:val="center"/>
            </w:pPr>
            <w:r/>
            <w:r>
              <w:rPr>
                <w:sz w:val="20"/>
              </w:rPr>
              <w:t>193</w:t>
            </w:r>
          </w:p>
        </w:tc>
        <w:tc>
          <w:tcPr>
            <w:tcW w:type="dxa" w:w="1296"/>
          </w:tcPr>
          <w:p>
            <w:pPr>
              <w:spacing w:after="0" w:line="240" w:lineRule="auto"/>
              <w:jc w:val="center"/>
            </w:pPr>
            <w:r/>
            <w:r>
              <w:rPr>
                <w:sz w:val="20"/>
              </w:rPr>
              <w:t>4</w:t>
            </w:r>
          </w:p>
        </w:tc>
        <w:tc>
          <w:tcPr>
            <w:tcW w:type="dxa" w:w="1296"/>
          </w:tcPr>
          <w:p>
            <w:pPr>
              <w:spacing w:after="0" w:line="240" w:lineRule="auto"/>
              <w:jc w:val="center"/>
            </w:pPr>
            <w:r/>
            <w:r>
              <w:rPr>
                <w:sz w:val="20"/>
              </w:rPr>
              <w:t>1</w:t>
            </w:r>
          </w:p>
        </w:tc>
        <w:tc>
          <w:tcPr>
            <w:tcW w:type="dxa" w:w="1224"/>
          </w:tcPr>
          <w:p>
            <w:pPr>
              <w:spacing w:after="0" w:line="240" w:lineRule="auto"/>
              <w:jc w:val="center"/>
            </w:pPr>
            <w:r/>
            <w:r>
              <w:rPr>
                <w:sz w:val="20"/>
              </w:rPr>
              <w:t>26</w:t>
            </w:r>
          </w:p>
        </w:tc>
        <w:tc>
          <w:tcPr>
            <w:tcW w:type="dxa" w:w="1080"/>
          </w:tcPr>
          <w:p>
            <w:pPr>
              <w:spacing w:after="0" w:line="240" w:lineRule="auto"/>
              <w:jc w:val="center"/>
            </w:pPr>
            <w:r/>
            <w:r>
              <w:rPr>
                <w:sz w:val="20"/>
              </w:rPr>
              <w:t>237</w:t>
            </w:r>
          </w:p>
        </w:tc>
      </w:tr>
      <w:tr>
        <w:tc>
          <w:tcPr>
            <w:tcW w:type="dxa" w:w="1872"/>
          </w:tcPr>
          <w:p>
            <w:pPr>
              <w:spacing w:after="0" w:line="240" w:lineRule="auto"/>
            </w:pPr>
            <w:r/>
            <w:r>
              <w:rPr>
                <w:sz w:val="20"/>
              </w:rPr>
              <w:t>2023</w:t>
            </w:r>
          </w:p>
        </w:tc>
        <w:tc>
          <w:tcPr>
            <w:tcW w:type="dxa" w:w="1224"/>
          </w:tcPr>
          <w:p>
            <w:pPr>
              <w:spacing w:after="0" w:line="240" w:lineRule="auto"/>
              <w:jc w:val="center"/>
            </w:pPr>
            <w:r/>
            <w:r>
              <w:rPr>
                <w:sz w:val="20"/>
              </w:rPr>
              <w:t>8</w:t>
            </w:r>
          </w:p>
        </w:tc>
        <w:tc>
          <w:tcPr>
            <w:tcW w:type="dxa" w:w="1224"/>
          </w:tcPr>
          <w:p>
            <w:pPr>
              <w:spacing w:after="0" w:line="240" w:lineRule="auto"/>
              <w:jc w:val="center"/>
            </w:pPr>
            <w:r/>
            <w:r>
              <w:rPr>
                <w:sz w:val="20"/>
              </w:rPr>
              <w:t>83</w:t>
            </w:r>
          </w:p>
        </w:tc>
        <w:tc>
          <w:tcPr>
            <w:tcW w:type="dxa" w:w="1296"/>
          </w:tcPr>
          <w:p>
            <w:pPr>
              <w:spacing w:after="0" w:line="240" w:lineRule="auto"/>
              <w:jc w:val="center"/>
            </w:pPr>
            <w:r/>
            <w:r>
              <w:rPr>
                <w:sz w:val="20"/>
              </w:rPr>
              <w:t>0</w:t>
            </w:r>
          </w:p>
        </w:tc>
        <w:tc>
          <w:tcPr>
            <w:tcW w:type="dxa" w:w="1296"/>
          </w:tcPr>
          <w:p>
            <w:pPr>
              <w:spacing w:after="0" w:line="240" w:lineRule="auto"/>
              <w:jc w:val="center"/>
            </w:pPr>
            <w:r/>
            <w:r>
              <w:rPr>
                <w:sz w:val="20"/>
              </w:rPr>
              <w:t>2</w:t>
            </w:r>
          </w:p>
        </w:tc>
        <w:tc>
          <w:tcPr>
            <w:tcW w:type="dxa" w:w="1224"/>
          </w:tcPr>
          <w:p>
            <w:pPr>
              <w:spacing w:after="0" w:line="240" w:lineRule="auto"/>
              <w:jc w:val="center"/>
            </w:pPr>
            <w:r/>
            <w:r>
              <w:rPr>
                <w:sz w:val="20"/>
              </w:rPr>
              <w:t>16</w:t>
            </w:r>
          </w:p>
        </w:tc>
        <w:tc>
          <w:tcPr>
            <w:tcW w:type="dxa" w:w="1080"/>
          </w:tcPr>
          <w:p>
            <w:pPr>
              <w:spacing w:after="0" w:line="240" w:lineRule="auto"/>
              <w:jc w:val="center"/>
            </w:pPr>
            <w:r/>
            <w:r>
              <w:rPr>
                <w:sz w:val="20"/>
              </w:rPr>
              <w:t>109</w:t>
            </w:r>
          </w:p>
        </w:tc>
      </w:tr>
      <w:tr>
        <w:tc>
          <w:tcPr>
            <w:tcW w:type="dxa" w:w="1872"/>
            <w:tcBorders>
              <w:bottom w:val="single" w:sz="6" w:color="000000"/>
            </w:tcBorders>
          </w:tcPr>
          <w:p>
            <w:pPr>
              <w:spacing w:after="0" w:line="240" w:lineRule="auto"/>
            </w:pPr>
            <w:r/>
            <w:r>
              <w:rPr>
                <w:sz w:val="20"/>
              </w:rPr>
              <w:t>2024</w:t>
            </w:r>
          </w:p>
        </w:tc>
        <w:tc>
          <w:tcPr>
            <w:tcW w:type="dxa" w:w="1224"/>
            <w:tcBorders>
              <w:bottom w:val="single" w:sz="6" w:color="000000"/>
            </w:tcBorders>
          </w:tcPr>
          <w:p>
            <w:pPr>
              <w:spacing w:after="0" w:line="240" w:lineRule="auto"/>
              <w:jc w:val="center"/>
            </w:pPr>
            <w:r/>
            <w:r>
              <w:rPr>
                <w:sz w:val="20"/>
              </w:rPr>
              <w:t>3</w:t>
            </w:r>
          </w:p>
        </w:tc>
        <w:tc>
          <w:tcPr>
            <w:tcW w:type="dxa" w:w="1224"/>
            <w:tcBorders>
              <w:bottom w:val="single" w:sz="6" w:color="000000"/>
            </w:tcBorders>
          </w:tcPr>
          <w:p>
            <w:pPr>
              <w:spacing w:after="0" w:line="240" w:lineRule="auto"/>
              <w:jc w:val="center"/>
            </w:pPr>
            <w:r/>
            <w:r>
              <w:rPr>
                <w:sz w:val="20"/>
              </w:rPr>
              <w:t>16</w:t>
            </w:r>
          </w:p>
        </w:tc>
        <w:tc>
          <w:tcPr>
            <w:tcW w:type="dxa" w:w="1296"/>
            <w:tcBorders>
              <w:bottom w:val="single" w:sz="6" w:color="000000"/>
            </w:tcBorders>
          </w:tcPr>
          <w:p>
            <w:pPr>
              <w:spacing w:after="0" w:line="240" w:lineRule="auto"/>
              <w:jc w:val="center"/>
            </w:pPr>
            <w:r/>
            <w:r>
              <w:rPr>
                <w:sz w:val="20"/>
              </w:rPr>
              <w:t>0</w:t>
            </w:r>
          </w:p>
        </w:tc>
        <w:tc>
          <w:tcPr>
            <w:tcW w:type="dxa" w:w="1296"/>
            <w:tcBorders>
              <w:bottom w:val="single" w:sz="6" w:color="000000"/>
            </w:tcBorders>
          </w:tcPr>
          <w:p>
            <w:pPr>
              <w:spacing w:after="0" w:line="240" w:lineRule="auto"/>
              <w:jc w:val="center"/>
            </w:pPr>
            <w:r/>
            <w:r>
              <w:rPr>
                <w:sz w:val="20"/>
              </w:rPr>
              <w:t>0</w:t>
            </w:r>
          </w:p>
        </w:tc>
        <w:tc>
          <w:tcPr>
            <w:tcW w:type="dxa" w:w="1224"/>
            <w:tcBorders>
              <w:bottom w:val="single" w:sz="6" w:color="000000"/>
            </w:tcBorders>
          </w:tcPr>
          <w:p>
            <w:pPr>
              <w:spacing w:after="0" w:line="240" w:lineRule="auto"/>
              <w:jc w:val="center"/>
            </w:pPr>
            <w:r/>
            <w:r>
              <w:rPr>
                <w:sz w:val="20"/>
              </w:rPr>
              <w:t>17</w:t>
            </w:r>
          </w:p>
        </w:tc>
        <w:tc>
          <w:tcPr>
            <w:tcW w:type="dxa" w:w="1080"/>
            <w:tcBorders>
              <w:bottom w:val="single" w:sz="6" w:color="000000"/>
            </w:tcBorders>
          </w:tcPr>
          <w:p>
            <w:pPr>
              <w:spacing w:after="0" w:line="240" w:lineRule="auto"/>
              <w:jc w:val="center"/>
            </w:pPr>
            <w:r/>
            <w:r>
              <w:rPr>
                <w:sz w:val="20"/>
              </w:rPr>
              <w:t>36</w:t>
            </w:r>
          </w:p>
        </w:tc>
      </w:tr>
    </w:tbl>
    <w:p>
      <w:pPr>
        <w:spacing w:line="240" w:lineRule="auto" w:after="40" w:before="80"/>
        <w:jc w:val="both"/>
      </w:pPr>
      <w:r>
        <w:rPr>
          <w:sz w:val="18"/>
        </w:rPr>
        <w:t>Note: Firms first scored in 2014 are excluded because they have no pre-coverage year.</w:t>
      </w:r>
    </w:p>
    <w:p>
      <w:pPr>
        <w:spacing w:line="240" w:lineRule="auto" w:after="240" w:before="0"/>
      </w:pPr>
      <w:r>
        <w:rPr>
          <w:sz w:val="18"/>
        </w:rPr>
        <w:t>Source: Authors' calculations from LSEG ESG scores.</w:t>
      </w:r>
    </w:p>
    <w:p>
      <w:pPr>
        <w:keepNext/>
        <w:spacing w:line="240" w:lineRule="auto" w:after="120" w:before="240"/>
        <w:jc w:val="center"/>
      </w:pPr>
      <w:r>
        <w:rPr>
          <w:sz w:val="22"/>
        </w:rPr>
        <w:t>Figure S1. Number of non-financial firms by year of first LSEG ESG score</w:t>
      </w:r>
    </w:p>
    <w:p>
      <w:pPr>
        <w:keepNext/>
        <w:jc w:val="center"/>
      </w:pPr>
      <w:r>
        <w:drawing>
          <wp:inline xmlns:a="http://schemas.openxmlformats.org/drawingml/2006/main" xmlns:pic="http://schemas.openxmlformats.org/drawingml/2006/picture">
            <wp:extent cx="5943600" cy="3467100"/>
            <wp:docPr id="1" name="Picture 1"/>
            <wp:cNvGraphicFramePr>
              <a:graphicFrameLocks noChangeAspect="1"/>
            </wp:cNvGraphicFramePr>
            <a:graphic>
              <a:graphicData uri="http://schemas.openxmlformats.org/drawingml/2006/picture">
                <pic:pic>
                  <pic:nvPicPr>
                    <pic:cNvPr id="0" name="FigIA1.png"/>
                    <pic:cNvPicPr/>
                  </pic:nvPicPr>
                  <pic:blipFill>
                    <a:blip r:embed="rId10"/>
                    <a:stretch>
                      <a:fillRect/>
                    </a:stretch>
                  </pic:blipFill>
                  <pic:spPr>
                    <a:xfrm>
                      <a:off x="0" y="0"/>
                      <a:ext cx="5943600" cy="3467100"/>
                    </a:xfrm>
                    <a:prstGeom prst="rect"/>
                  </pic:spPr>
                </pic:pic>
              </a:graphicData>
            </a:graphic>
          </wp:inline>
        </w:drawing>
      </w:r>
    </w:p>
    <w:p>
      <w:pPr>
        <w:spacing w:line="240" w:lineRule="auto" w:after="40" w:before="80"/>
        <w:jc w:val="both"/>
      </w:pPr>
      <w:r>
        <w:rPr>
          <w:sz w:val="18"/>
        </w:rPr>
        <w:t>Note: Bars show the number of firms in the estimation sample first scored in each year, all five markets combined.</w:t>
      </w:r>
    </w:p>
    <w:p>
      <w:pPr>
        <w:spacing w:line="240" w:lineRule="auto" w:after="240" w:before="0"/>
      </w:pPr>
      <w:r>
        <w:rPr>
          <w:sz w:val="18"/>
        </w:rPr>
        <w:t>Source: Authors' calculations from LSEG ESG scores.</w:t>
      </w:r>
    </w:p>
    <w:p>
      <w:pPr>
        <w:keepNext/>
        <w:spacing w:line="240" w:lineRule="auto" w:after="120" w:before="240"/>
        <w:jc w:val="center"/>
      </w:pPr>
      <w:r>
        <w:rPr>
          <w:sz w:val="22"/>
        </w:rPr>
        <w:t>Table S3. Estimates of the average effect of the first LSEG ESG score by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584"/>
        <w:gridCol w:w="1584"/>
        <w:gridCol w:w="1584"/>
        <w:gridCol w:w="1584"/>
        <w:gridCol w:w="1296"/>
      </w:tblGrid>
      <w:tr>
        <w:tc>
          <w:tcPr>
            <w:tcW w:type="dxa" w:w="1728"/>
            <w:tcBorders>
              <w:top w:val="single" w:sz="6" w:color="000000"/>
              <w:bottom w:val="single" w:sz="6" w:color="000000"/>
            </w:tcBorders>
          </w:tcPr>
          <w:p>
            <w:pPr>
              <w:spacing w:after="0" w:line="240" w:lineRule="auto"/>
            </w:pPr>
            <w:r/>
            <w:r>
              <w:rPr>
                <w:b/>
                <w:sz w:val="20"/>
              </w:rPr>
              <w:t>Market</w:t>
            </w:r>
          </w:p>
        </w:tc>
        <w:tc>
          <w:tcPr>
            <w:tcW w:type="dxa" w:w="1584"/>
            <w:tcBorders>
              <w:top w:val="single" w:sz="6" w:color="000000"/>
              <w:bottom w:val="single" w:sz="6" w:color="000000"/>
            </w:tcBorders>
          </w:tcPr>
          <w:p>
            <w:pPr>
              <w:spacing w:after="0" w:line="240" w:lineRule="auto"/>
              <w:jc w:val="center"/>
            </w:pPr>
            <w:r/>
            <w:r>
              <w:rPr>
                <w:b/>
                <w:sz w:val="20"/>
              </w:rPr>
              <w:t>ln(MTB)</w:t>
            </w:r>
          </w:p>
        </w:tc>
        <w:tc>
          <w:tcPr>
            <w:tcW w:type="dxa" w:w="1584"/>
            <w:tcBorders>
              <w:top w:val="single" w:sz="6" w:color="000000"/>
              <w:bottom w:val="single" w:sz="6" w:color="000000"/>
            </w:tcBorders>
          </w:tcPr>
          <w:p>
            <w:pPr>
              <w:spacing w:after="0" w:line="240" w:lineRule="auto"/>
              <w:jc w:val="center"/>
            </w:pPr>
            <w:r/>
            <w:r>
              <w:rPr>
                <w:b/>
                <w:sz w:val="20"/>
              </w:rPr>
              <w:t>ln(market cap)</w:t>
            </w:r>
          </w:p>
        </w:tc>
        <w:tc>
          <w:tcPr>
            <w:tcW w:type="dxa" w:w="1584"/>
            <w:tcBorders>
              <w:top w:val="single" w:sz="6" w:color="000000"/>
              <w:bottom w:val="single" w:sz="6" w:color="000000"/>
            </w:tcBorders>
          </w:tcPr>
          <w:p>
            <w:pPr>
              <w:spacing w:after="0" w:line="240" w:lineRule="auto"/>
              <w:jc w:val="center"/>
            </w:pPr>
            <w:r/>
            <w:r>
              <w:rPr>
                <w:b/>
                <w:sz w:val="20"/>
              </w:rPr>
              <w:t>Leverage (ratio)</w:t>
            </w:r>
          </w:p>
        </w:tc>
        <w:tc>
          <w:tcPr>
            <w:tcW w:type="dxa" w:w="1584"/>
            <w:tcBorders>
              <w:top w:val="single" w:sz="6" w:color="000000"/>
              <w:bottom w:val="single" w:sz="6" w:color="000000"/>
            </w:tcBorders>
          </w:tcPr>
          <w:p>
            <w:pPr>
              <w:spacing w:after="0" w:line="240" w:lineRule="auto"/>
              <w:jc w:val="center"/>
            </w:pPr>
            <w:r/>
            <w:r>
              <w:rPr>
                <w:b/>
                <w:sz w:val="20"/>
              </w:rPr>
              <w:t>ln(assets)</w:t>
            </w:r>
          </w:p>
        </w:tc>
        <w:tc>
          <w:tcPr>
            <w:tcW w:type="dxa" w:w="1296"/>
            <w:tcBorders>
              <w:top w:val="single" w:sz="6" w:color="000000"/>
              <w:bottom w:val="single" w:sz="6" w:color="000000"/>
            </w:tcBorders>
          </w:tcPr>
          <w:p>
            <w:pPr>
              <w:spacing w:after="0" w:line="240" w:lineRule="auto"/>
              <w:jc w:val="center"/>
            </w:pPr>
            <w:r/>
            <w:r>
              <w:rPr>
                <w:b/>
                <w:sz w:val="20"/>
              </w:rPr>
              <w:t>Scored firms</w:t>
            </w:r>
          </w:p>
        </w:tc>
      </w:tr>
      <w:tr>
        <w:tc>
          <w:tcPr>
            <w:tcW w:type="dxa" w:w="1728"/>
          </w:tcPr>
          <w:p>
            <w:pPr>
              <w:spacing w:after="0" w:line="240" w:lineRule="auto"/>
            </w:pPr>
            <w:r/>
            <w:r>
              <w:rPr>
                <w:sz w:val="20"/>
              </w:rPr>
              <w:t>Indonesia</w:t>
            </w:r>
          </w:p>
        </w:tc>
        <w:tc>
          <w:tcPr>
            <w:tcW w:type="dxa" w:w="1584"/>
          </w:tcPr>
          <w:p>
            <w:pPr>
              <w:spacing w:after="0" w:line="240" w:lineRule="auto"/>
              <w:jc w:val="center"/>
            </w:pPr>
            <w:r/>
            <w:r>
              <w:rPr>
                <w:sz w:val="20"/>
              </w:rPr>
              <w:t>0.054 (0.128)</w:t>
            </w:r>
          </w:p>
        </w:tc>
        <w:tc>
          <w:tcPr>
            <w:tcW w:type="dxa" w:w="1584"/>
          </w:tcPr>
          <w:p>
            <w:pPr>
              <w:spacing w:after="0" w:line="240" w:lineRule="auto"/>
              <w:jc w:val="center"/>
            </w:pPr>
            <w:r/>
            <w:r>
              <w:rPr>
                <w:sz w:val="20"/>
              </w:rPr>
              <w:t>−0.018 (0.109)</w:t>
            </w:r>
          </w:p>
        </w:tc>
        <w:tc>
          <w:tcPr>
            <w:tcW w:type="dxa" w:w="1584"/>
          </w:tcPr>
          <w:p>
            <w:pPr>
              <w:spacing w:after="0" w:line="240" w:lineRule="auto"/>
              <w:jc w:val="center"/>
            </w:pPr>
            <w:r/>
            <w:r>
              <w:rPr>
                <w:sz w:val="20"/>
              </w:rPr>
              <w:t>0.023 (0.018)</w:t>
            </w:r>
          </w:p>
        </w:tc>
        <w:tc>
          <w:tcPr>
            <w:tcW w:type="dxa" w:w="1584"/>
          </w:tcPr>
          <w:p>
            <w:pPr>
              <w:spacing w:after="0" w:line="240" w:lineRule="auto"/>
              <w:jc w:val="center"/>
            </w:pPr>
            <w:r/>
            <w:r>
              <w:rPr>
                <w:sz w:val="20"/>
              </w:rPr>
              <w:t>0.123* (0.070)</w:t>
            </w:r>
          </w:p>
        </w:tc>
        <w:tc>
          <w:tcPr>
            <w:tcW w:type="dxa" w:w="1296"/>
          </w:tcPr>
          <w:p>
            <w:pPr>
              <w:spacing w:after="0" w:line="240" w:lineRule="auto"/>
              <w:jc w:val="center"/>
            </w:pPr>
            <w:r/>
            <w:r>
              <w:rPr>
                <w:sz w:val="20"/>
              </w:rPr>
              <w:t>39</w:t>
            </w:r>
          </w:p>
        </w:tc>
      </w:tr>
      <w:tr>
        <w:tc>
          <w:tcPr>
            <w:tcW w:type="dxa" w:w="1728"/>
          </w:tcPr>
          <w:p>
            <w:pPr>
              <w:spacing w:after="0" w:line="240" w:lineRule="auto"/>
            </w:pPr>
            <w:r/>
            <w:r>
              <w:rPr>
                <w:sz w:val="20"/>
              </w:rPr>
              <w:t>Malaysia</w:t>
            </w:r>
          </w:p>
        </w:tc>
        <w:tc>
          <w:tcPr>
            <w:tcW w:type="dxa" w:w="1584"/>
          </w:tcPr>
          <w:p>
            <w:pPr>
              <w:spacing w:after="0" w:line="240" w:lineRule="auto"/>
              <w:jc w:val="center"/>
            </w:pPr>
            <w:r/>
            <w:r>
              <w:rPr>
                <w:sz w:val="20"/>
              </w:rPr>
              <w:t>0.009 (0.033)</w:t>
            </w:r>
          </w:p>
        </w:tc>
        <w:tc>
          <w:tcPr>
            <w:tcW w:type="dxa" w:w="1584"/>
          </w:tcPr>
          <w:p>
            <w:pPr>
              <w:spacing w:after="0" w:line="240" w:lineRule="auto"/>
              <w:jc w:val="center"/>
            </w:pPr>
            <w:r/>
            <w:r>
              <w:rPr>
                <w:sz w:val="20"/>
              </w:rPr>
              <w:t>−0.114** (0.048)</w:t>
            </w:r>
          </w:p>
        </w:tc>
        <w:tc>
          <w:tcPr>
            <w:tcW w:type="dxa" w:w="1584"/>
          </w:tcPr>
          <w:p>
            <w:pPr>
              <w:spacing w:after="0" w:line="240" w:lineRule="auto"/>
              <w:jc w:val="center"/>
            </w:pPr>
            <w:r/>
            <w:r>
              <w:rPr>
                <w:sz w:val="20"/>
              </w:rPr>
              <w:t>0.002 (0.006)</w:t>
            </w:r>
          </w:p>
        </w:tc>
        <w:tc>
          <w:tcPr>
            <w:tcW w:type="dxa" w:w="1584"/>
          </w:tcPr>
          <w:p>
            <w:pPr>
              <w:spacing w:after="0" w:line="240" w:lineRule="auto"/>
              <w:jc w:val="center"/>
            </w:pPr>
            <w:r/>
            <w:r>
              <w:rPr>
                <w:sz w:val="20"/>
              </w:rPr>
              <w:t>0.033 (0.024)</w:t>
            </w:r>
          </w:p>
        </w:tc>
        <w:tc>
          <w:tcPr>
            <w:tcW w:type="dxa" w:w="1296"/>
          </w:tcPr>
          <w:p>
            <w:pPr>
              <w:spacing w:after="0" w:line="240" w:lineRule="auto"/>
              <w:jc w:val="center"/>
            </w:pPr>
            <w:r/>
            <w:r>
              <w:rPr>
                <w:sz w:val="20"/>
              </w:rPr>
              <w:t>372</w:t>
            </w:r>
          </w:p>
        </w:tc>
      </w:tr>
      <w:tr>
        <w:tc>
          <w:tcPr>
            <w:tcW w:type="dxa" w:w="1728"/>
          </w:tcPr>
          <w:p>
            <w:pPr>
              <w:spacing w:after="0" w:line="240" w:lineRule="auto"/>
            </w:pPr>
            <w:r/>
            <w:r>
              <w:rPr>
                <w:sz w:val="20"/>
              </w:rPr>
              <w:t>Philippines</w:t>
            </w:r>
          </w:p>
        </w:tc>
        <w:tc>
          <w:tcPr>
            <w:tcW w:type="dxa" w:w="1584"/>
          </w:tcPr>
          <w:p>
            <w:pPr>
              <w:spacing w:after="0" w:line="240" w:lineRule="auto"/>
              <w:jc w:val="center"/>
            </w:pPr>
            <w:r/>
            <w:r>
              <w:rPr>
                <w:sz w:val="20"/>
              </w:rPr>
              <w:t>−0.006 (0.109)</w:t>
            </w:r>
          </w:p>
        </w:tc>
        <w:tc>
          <w:tcPr>
            <w:tcW w:type="dxa" w:w="1584"/>
          </w:tcPr>
          <w:p>
            <w:pPr>
              <w:spacing w:after="0" w:line="240" w:lineRule="auto"/>
              <w:jc w:val="center"/>
            </w:pPr>
            <w:r/>
            <w:r>
              <w:rPr>
                <w:sz w:val="20"/>
              </w:rPr>
              <w:t>0.101 (0.128)</w:t>
            </w:r>
          </w:p>
        </w:tc>
        <w:tc>
          <w:tcPr>
            <w:tcW w:type="dxa" w:w="1584"/>
          </w:tcPr>
          <w:p>
            <w:pPr>
              <w:spacing w:after="0" w:line="240" w:lineRule="auto"/>
              <w:jc w:val="center"/>
            </w:pPr>
            <w:r/>
            <w:r>
              <w:rPr>
                <w:sz w:val="20"/>
              </w:rPr>
              <w:t>0.041 (0.028)</w:t>
            </w:r>
          </w:p>
        </w:tc>
        <w:tc>
          <w:tcPr>
            <w:tcW w:type="dxa" w:w="1584"/>
          </w:tcPr>
          <w:p>
            <w:pPr>
              <w:spacing w:after="0" w:line="240" w:lineRule="auto"/>
              <w:jc w:val="center"/>
            </w:pPr>
            <w:r/>
            <w:r>
              <w:rPr>
                <w:sz w:val="20"/>
              </w:rPr>
              <w:t>0.025 (0.079)</w:t>
            </w:r>
          </w:p>
        </w:tc>
        <w:tc>
          <w:tcPr>
            <w:tcW w:type="dxa" w:w="1296"/>
          </w:tcPr>
          <w:p>
            <w:pPr>
              <w:spacing w:after="0" w:line="240" w:lineRule="auto"/>
              <w:jc w:val="center"/>
            </w:pPr>
            <w:r/>
            <w:r>
              <w:rPr>
                <w:sz w:val="20"/>
              </w:rPr>
              <w:t>14</w:t>
            </w:r>
          </w:p>
        </w:tc>
      </w:tr>
      <w:tr>
        <w:tc>
          <w:tcPr>
            <w:tcW w:type="dxa" w:w="1728"/>
          </w:tcPr>
          <w:p>
            <w:pPr>
              <w:spacing w:after="0" w:line="240" w:lineRule="auto"/>
            </w:pPr>
            <w:r/>
            <w:r>
              <w:rPr>
                <w:sz w:val="20"/>
              </w:rPr>
              <w:t>Singapore</w:t>
            </w:r>
          </w:p>
        </w:tc>
        <w:tc>
          <w:tcPr>
            <w:tcW w:type="dxa" w:w="1584"/>
          </w:tcPr>
          <w:p>
            <w:pPr>
              <w:spacing w:after="0" w:line="240" w:lineRule="auto"/>
              <w:jc w:val="center"/>
            </w:pPr>
            <w:r/>
            <w:r>
              <w:rPr>
                <w:sz w:val="20"/>
              </w:rPr>
              <w:t>−0.037 (0.073)</w:t>
            </w:r>
          </w:p>
        </w:tc>
        <w:tc>
          <w:tcPr>
            <w:tcW w:type="dxa" w:w="1584"/>
          </w:tcPr>
          <w:p>
            <w:pPr>
              <w:spacing w:after="0" w:line="240" w:lineRule="auto"/>
              <w:jc w:val="center"/>
            </w:pPr>
            <w:r/>
            <w:r>
              <w:rPr>
                <w:sz w:val="20"/>
              </w:rPr>
              <w:t>0.143* (0.087)</w:t>
            </w:r>
          </w:p>
        </w:tc>
        <w:tc>
          <w:tcPr>
            <w:tcW w:type="dxa" w:w="1584"/>
          </w:tcPr>
          <w:p>
            <w:pPr>
              <w:spacing w:after="0" w:line="240" w:lineRule="auto"/>
              <w:jc w:val="center"/>
            </w:pPr>
            <w:r/>
            <w:r>
              <w:rPr>
                <w:sz w:val="20"/>
              </w:rPr>
              <w:t>0.048** (0.020)</w:t>
            </w:r>
          </w:p>
        </w:tc>
        <w:tc>
          <w:tcPr>
            <w:tcW w:type="dxa" w:w="1584"/>
          </w:tcPr>
          <w:p>
            <w:pPr>
              <w:spacing w:after="0" w:line="240" w:lineRule="auto"/>
              <w:jc w:val="center"/>
            </w:pPr>
            <w:r/>
            <w:r>
              <w:rPr>
                <w:sz w:val="20"/>
              </w:rPr>
              <w:t>0.013 (0.084)</w:t>
            </w:r>
          </w:p>
        </w:tc>
        <w:tc>
          <w:tcPr>
            <w:tcW w:type="dxa" w:w="1296"/>
          </w:tcPr>
          <w:p>
            <w:pPr>
              <w:spacing w:after="0" w:line="240" w:lineRule="auto"/>
              <w:jc w:val="center"/>
            </w:pPr>
            <w:r/>
            <w:r>
              <w:rPr>
                <w:sz w:val="20"/>
              </w:rPr>
              <w:t>46</w:t>
            </w:r>
          </w:p>
        </w:tc>
      </w:tr>
      <w:tr>
        <w:tc>
          <w:tcPr>
            <w:tcW w:type="dxa" w:w="1728"/>
            <w:tcBorders>
              <w:bottom w:val="single" w:sz="6" w:color="000000"/>
            </w:tcBorders>
          </w:tcPr>
          <w:p>
            <w:pPr>
              <w:spacing w:after="0" w:line="240" w:lineRule="auto"/>
            </w:pPr>
            <w:r/>
            <w:r>
              <w:rPr>
                <w:sz w:val="20"/>
              </w:rPr>
              <w:t>Thailand</w:t>
            </w:r>
          </w:p>
        </w:tc>
        <w:tc>
          <w:tcPr>
            <w:tcW w:type="dxa" w:w="1584"/>
            <w:tcBorders>
              <w:bottom w:val="single" w:sz="6" w:color="000000"/>
            </w:tcBorders>
          </w:tcPr>
          <w:p>
            <w:pPr>
              <w:spacing w:after="0" w:line="240" w:lineRule="auto"/>
              <w:jc w:val="center"/>
            </w:pPr>
            <w:r/>
            <w:r>
              <w:rPr>
                <w:sz w:val="20"/>
              </w:rPr>
              <w:t>0.027 (0.047)</w:t>
            </w:r>
          </w:p>
        </w:tc>
        <w:tc>
          <w:tcPr>
            <w:tcW w:type="dxa" w:w="1584"/>
            <w:tcBorders>
              <w:bottom w:val="single" w:sz="6" w:color="000000"/>
            </w:tcBorders>
          </w:tcPr>
          <w:p>
            <w:pPr>
              <w:spacing w:after="0" w:line="240" w:lineRule="auto"/>
              <w:jc w:val="center"/>
            </w:pPr>
            <w:r/>
            <w:r>
              <w:rPr>
                <w:sz w:val="20"/>
              </w:rPr>
              <w:t>0.059 (0.059)</w:t>
            </w:r>
          </w:p>
        </w:tc>
        <w:tc>
          <w:tcPr>
            <w:tcW w:type="dxa" w:w="1584"/>
            <w:tcBorders>
              <w:bottom w:val="single" w:sz="6" w:color="000000"/>
            </w:tcBorders>
          </w:tcPr>
          <w:p>
            <w:pPr>
              <w:spacing w:after="0" w:line="240" w:lineRule="auto"/>
              <w:jc w:val="center"/>
            </w:pPr>
            <w:r/>
            <w:r>
              <w:rPr>
                <w:sz w:val="20"/>
              </w:rPr>
              <w:t>0.025* (0.013)</w:t>
            </w:r>
          </w:p>
        </w:tc>
        <w:tc>
          <w:tcPr>
            <w:tcW w:type="dxa" w:w="1584"/>
            <w:tcBorders>
              <w:bottom w:val="single" w:sz="6" w:color="000000"/>
            </w:tcBorders>
          </w:tcPr>
          <w:p>
            <w:pPr>
              <w:spacing w:after="0" w:line="240" w:lineRule="auto"/>
              <w:jc w:val="center"/>
            </w:pPr>
            <w:r/>
            <w:r>
              <w:rPr>
                <w:sz w:val="20"/>
              </w:rPr>
              <w:t>0.017 (0.040)</w:t>
            </w:r>
          </w:p>
        </w:tc>
        <w:tc>
          <w:tcPr>
            <w:tcW w:type="dxa" w:w="1296"/>
            <w:tcBorders>
              <w:bottom w:val="single" w:sz="6" w:color="000000"/>
            </w:tcBorders>
          </w:tcPr>
          <w:p>
            <w:pPr>
              <w:spacing w:after="0" w:line="240" w:lineRule="auto"/>
              <w:jc w:val="center"/>
            </w:pPr>
            <w:r/>
            <w:r>
              <w:rPr>
                <w:sz w:val="20"/>
              </w:rPr>
              <w:t>157</w:t>
            </w:r>
          </w:p>
        </w:tc>
      </w:tr>
    </w:tbl>
    <w:p>
      <w:pPr>
        <w:spacing w:line="240" w:lineRule="auto" w:after="40" w:before="80"/>
        <w:jc w:val="both"/>
      </w:pPr>
      <w:r>
        <w:rPr>
          <w:sz w:val="18"/>
        </w:rPr>
        <w:t>Note: Cells show the average effect over event years 0 to 3 estimated within each market, with bootstrap standard errors in parentheses. *, **, and *** denote significance at 10%, 5%, and 1% (unadjusted p-values).</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S4. Firm-years and firms available for each outcome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440"/>
        <w:gridCol w:w="1296"/>
        <w:gridCol w:w="1440"/>
        <w:gridCol w:w="1296"/>
        <w:gridCol w:w="1440"/>
      </w:tblGrid>
      <w:tr>
        <w:tc>
          <w:tcPr>
            <w:tcW w:type="dxa" w:w="2448"/>
            <w:tcBorders>
              <w:top w:val="single" w:sz="6" w:color="000000"/>
              <w:bottom w:val="single" w:sz="6" w:color="000000"/>
            </w:tcBorders>
          </w:tcPr>
          <w:p>
            <w:pPr>
              <w:spacing w:after="0" w:line="240" w:lineRule="auto"/>
            </w:pPr>
            <w:r/>
            <w:r>
              <w:rPr>
                <w:b/>
                <w:sz w:val="20"/>
              </w:rPr>
              <w:t>Outcome</w:t>
            </w:r>
          </w:p>
        </w:tc>
        <w:tc>
          <w:tcPr>
            <w:tcW w:type="dxa" w:w="1440"/>
            <w:tcBorders>
              <w:top w:val="single" w:sz="6" w:color="000000"/>
              <w:bottom w:val="single" w:sz="6" w:color="000000"/>
            </w:tcBorders>
          </w:tcPr>
          <w:p>
            <w:pPr>
              <w:spacing w:after="0" w:line="240" w:lineRule="auto"/>
              <w:jc w:val="center"/>
            </w:pPr>
            <w:r/>
            <w:r>
              <w:rPr>
                <w:b/>
                <w:sz w:val="20"/>
              </w:rPr>
              <w:t>Scored firm-years</w:t>
            </w:r>
          </w:p>
        </w:tc>
        <w:tc>
          <w:tcPr>
            <w:tcW w:type="dxa" w:w="1296"/>
            <w:tcBorders>
              <w:top w:val="single" w:sz="6" w:color="000000"/>
              <w:bottom w:val="single" w:sz="6" w:color="000000"/>
            </w:tcBorders>
          </w:tcPr>
          <w:p>
            <w:pPr>
              <w:spacing w:after="0" w:line="240" w:lineRule="auto"/>
              <w:jc w:val="center"/>
            </w:pPr>
            <w:r/>
            <w:r>
              <w:rPr>
                <w:b/>
                <w:sz w:val="20"/>
              </w:rPr>
              <w:t>Scored firms</w:t>
            </w:r>
          </w:p>
        </w:tc>
        <w:tc>
          <w:tcPr>
            <w:tcW w:type="dxa" w:w="1440"/>
            <w:tcBorders>
              <w:top w:val="single" w:sz="6" w:color="000000"/>
              <w:bottom w:val="single" w:sz="6" w:color="000000"/>
            </w:tcBorders>
          </w:tcPr>
          <w:p>
            <w:pPr>
              <w:spacing w:after="0" w:line="240" w:lineRule="auto"/>
              <w:jc w:val="center"/>
            </w:pPr>
            <w:r/>
            <w:r>
              <w:rPr>
                <w:b/>
                <w:sz w:val="20"/>
              </w:rPr>
              <w:t>Never-scored firm-years</w:t>
            </w:r>
          </w:p>
        </w:tc>
        <w:tc>
          <w:tcPr>
            <w:tcW w:type="dxa" w:w="1296"/>
            <w:tcBorders>
              <w:top w:val="single" w:sz="6" w:color="000000"/>
              <w:bottom w:val="single" w:sz="6" w:color="000000"/>
            </w:tcBorders>
          </w:tcPr>
          <w:p>
            <w:pPr>
              <w:spacing w:after="0" w:line="240" w:lineRule="auto"/>
              <w:jc w:val="center"/>
            </w:pPr>
            <w:r/>
            <w:r>
              <w:rPr>
                <w:b/>
                <w:sz w:val="20"/>
              </w:rPr>
              <w:t>Never-scored firms</w:t>
            </w:r>
          </w:p>
        </w:tc>
        <w:tc>
          <w:tcPr>
            <w:tcW w:type="dxa" w:w="1440"/>
            <w:tcBorders>
              <w:top w:val="single" w:sz="6" w:color="000000"/>
              <w:bottom w:val="single" w:sz="6" w:color="000000"/>
            </w:tcBorders>
          </w:tcPr>
          <w:p>
            <w:pPr>
              <w:spacing w:after="0" w:line="240" w:lineRule="auto"/>
              <w:jc w:val="center"/>
            </w:pPr>
            <w:r/>
            <w:r>
              <w:rPr>
                <w:b/>
                <w:sz w:val="20"/>
              </w:rPr>
              <w:t>Share missing</w:t>
            </w:r>
          </w:p>
        </w:tc>
      </w:tr>
      <w:tr>
        <w:tc>
          <w:tcPr>
            <w:tcW w:type="dxa" w:w="2448"/>
          </w:tcPr>
          <w:p>
            <w:pPr>
              <w:spacing w:after="0" w:line="240" w:lineRule="auto"/>
            </w:pPr>
            <w:r/>
            <w:r>
              <w:rPr>
                <w:sz w:val="20"/>
              </w:rPr>
              <w:t>ln(MTB)</w:t>
            </w:r>
          </w:p>
        </w:tc>
        <w:tc>
          <w:tcPr>
            <w:tcW w:type="dxa" w:w="1440"/>
          </w:tcPr>
          <w:p>
            <w:pPr>
              <w:spacing w:after="0" w:line="240" w:lineRule="auto"/>
              <w:jc w:val="center"/>
            </w:pPr>
            <w:r/>
            <w:r>
              <w:rPr>
                <w:sz w:val="20"/>
              </w:rPr>
              <w:t>6,482</w:t>
            </w:r>
          </w:p>
        </w:tc>
        <w:tc>
          <w:tcPr>
            <w:tcW w:type="dxa" w:w="1296"/>
          </w:tcPr>
          <w:p>
            <w:pPr>
              <w:spacing w:after="0" w:line="240" w:lineRule="auto"/>
              <w:jc w:val="center"/>
            </w:pPr>
            <w:r/>
            <w:r>
              <w:rPr>
                <w:sz w:val="20"/>
              </w:rPr>
              <w:t>674</w:t>
            </w:r>
          </w:p>
        </w:tc>
        <w:tc>
          <w:tcPr>
            <w:tcW w:type="dxa" w:w="1440"/>
          </w:tcPr>
          <w:p>
            <w:pPr>
              <w:spacing w:after="0" w:line="240" w:lineRule="auto"/>
              <w:jc w:val="center"/>
            </w:pPr>
            <w:r/>
            <w:r>
              <w:rPr>
                <w:sz w:val="20"/>
              </w:rPr>
              <w:t>20,706</w:t>
            </w:r>
          </w:p>
        </w:tc>
        <w:tc>
          <w:tcPr>
            <w:tcW w:type="dxa" w:w="1296"/>
          </w:tcPr>
          <w:p>
            <w:pPr>
              <w:spacing w:after="0" w:line="240" w:lineRule="auto"/>
              <w:jc w:val="center"/>
            </w:pPr>
            <w:r/>
            <w:r>
              <w:rPr>
                <w:sz w:val="20"/>
              </w:rPr>
              <w:t>2,552</w:t>
            </w:r>
          </w:p>
        </w:tc>
        <w:tc>
          <w:tcPr>
            <w:tcW w:type="dxa" w:w="1440"/>
          </w:tcPr>
          <w:p>
            <w:pPr>
              <w:spacing w:after="0" w:line="240" w:lineRule="auto"/>
              <w:jc w:val="center"/>
            </w:pPr>
            <w:r/>
            <w:r>
              <w:rPr>
                <w:sz w:val="20"/>
              </w:rPr>
              <w:t>0.248</w:t>
            </w:r>
          </w:p>
        </w:tc>
      </w:tr>
      <w:tr>
        <w:tc>
          <w:tcPr>
            <w:tcW w:type="dxa" w:w="2448"/>
          </w:tcPr>
          <w:p>
            <w:pPr>
              <w:spacing w:after="0" w:line="240" w:lineRule="auto"/>
            </w:pPr>
            <w:r/>
            <w:r>
              <w:rPr>
                <w:sz w:val="20"/>
              </w:rPr>
              <w:t>ln(market cap)</w:t>
            </w:r>
          </w:p>
        </w:tc>
        <w:tc>
          <w:tcPr>
            <w:tcW w:type="dxa" w:w="1440"/>
          </w:tcPr>
          <w:p>
            <w:pPr>
              <w:spacing w:after="0" w:line="240" w:lineRule="auto"/>
              <w:jc w:val="center"/>
            </w:pPr>
            <w:r/>
            <w:r>
              <w:rPr>
                <w:sz w:val="20"/>
              </w:rPr>
              <w:t>6,710</w:t>
            </w:r>
          </w:p>
        </w:tc>
        <w:tc>
          <w:tcPr>
            <w:tcW w:type="dxa" w:w="1296"/>
          </w:tcPr>
          <w:p>
            <w:pPr>
              <w:spacing w:after="0" w:line="240" w:lineRule="auto"/>
              <w:jc w:val="center"/>
            </w:pPr>
            <w:r/>
            <w:r>
              <w:rPr>
                <w:sz w:val="20"/>
              </w:rPr>
              <w:t>675</w:t>
            </w:r>
          </w:p>
        </w:tc>
        <w:tc>
          <w:tcPr>
            <w:tcW w:type="dxa" w:w="1440"/>
          </w:tcPr>
          <w:p>
            <w:pPr>
              <w:spacing w:after="0" w:line="240" w:lineRule="auto"/>
              <w:jc w:val="center"/>
            </w:pPr>
            <w:r/>
            <w:r>
              <w:rPr>
                <w:sz w:val="20"/>
              </w:rPr>
              <w:t>22,417</w:t>
            </w:r>
          </w:p>
        </w:tc>
        <w:tc>
          <w:tcPr>
            <w:tcW w:type="dxa" w:w="1296"/>
          </w:tcPr>
          <w:p>
            <w:pPr>
              <w:spacing w:after="0" w:line="240" w:lineRule="auto"/>
              <w:jc w:val="center"/>
            </w:pPr>
            <w:r/>
            <w:r>
              <w:rPr>
                <w:sz w:val="20"/>
              </w:rPr>
              <w:t>2,576</w:t>
            </w:r>
          </w:p>
        </w:tc>
        <w:tc>
          <w:tcPr>
            <w:tcW w:type="dxa" w:w="1440"/>
          </w:tcPr>
          <w:p>
            <w:pPr>
              <w:spacing w:after="0" w:line="240" w:lineRule="auto"/>
              <w:jc w:val="center"/>
            </w:pPr>
            <w:r/>
            <w:r>
              <w:rPr>
                <w:sz w:val="20"/>
              </w:rPr>
              <w:t>0.195</w:t>
            </w:r>
          </w:p>
        </w:tc>
      </w:tr>
      <w:tr>
        <w:tc>
          <w:tcPr>
            <w:tcW w:type="dxa" w:w="2448"/>
          </w:tcPr>
          <w:p>
            <w:pPr>
              <w:spacing w:after="0" w:line="240" w:lineRule="auto"/>
            </w:pPr>
            <w:r/>
            <w:r>
              <w:rPr>
                <w:sz w:val="20"/>
              </w:rPr>
              <w:t>Leverage (ratio)</w:t>
            </w:r>
          </w:p>
        </w:tc>
        <w:tc>
          <w:tcPr>
            <w:tcW w:type="dxa" w:w="1440"/>
          </w:tcPr>
          <w:p>
            <w:pPr>
              <w:spacing w:after="0" w:line="240" w:lineRule="auto"/>
              <w:jc w:val="center"/>
            </w:pPr>
            <w:r/>
            <w:r>
              <w:rPr>
                <w:sz w:val="20"/>
              </w:rPr>
              <w:t>6,524</w:t>
            </w:r>
          </w:p>
        </w:tc>
        <w:tc>
          <w:tcPr>
            <w:tcW w:type="dxa" w:w="1296"/>
          </w:tcPr>
          <w:p>
            <w:pPr>
              <w:spacing w:after="0" w:line="240" w:lineRule="auto"/>
              <w:jc w:val="center"/>
            </w:pPr>
            <w:r/>
            <w:r>
              <w:rPr>
                <w:sz w:val="20"/>
              </w:rPr>
              <w:t>672</w:t>
            </w:r>
          </w:p>
        </w:tc>
        <w:tc>
          <w:tcPr>
            <w:tcW w:type="dxa" w:w="1440"/>
          </w:tcPr>
          <w:p>
            <w:pPr>
              <w:spacing w:after="0" w:line="240" w:lineRule="auto"/>
              <w:jc w:val="center"/>
            </w:pPr>
            <w:r/>
            <w:r>
              <w:rPr>
                <w:sz w:val="20"/>
              </w:rPr>
              <w:t>22,333</w:t>
            </w:r>
          </w:p>
        </w:tc>
        <w:tc>
          <w:tcPr>
            <w:tcW w:type="dxa" w:w="1296"/>
          </w:tcPr>
          <w:p>
            <w:pPr>
              <w:spacing w:after="0" w:line="240" w:lineRule="auto"/>
              <w:jc w:val="center"/>
            </w:pPr>
            <w:r/>
            <w:r>
              <w:rPr>
                <w:sz w:val="20"/>
              </w:rPr>
              <w:t>2,547</w:t>
            </w:r>
          </w:p>
        </w:tc>
        <w:tc>
          <w:tcPr>
            <w:tcW w:type="dxa" w:w="1440"/>
          </w:tcPr>
          <w:p>
            <w:pPr>
              <w:spacing w:after="0" w:line="240" w:lineRule="auto"/>
              <w:jc w:val="center"/>
            </w:pPr>
            <w:r/>
            <w:r>
              <w:rPr>
                <w:sz w:val="20"/>
              </w:rPr>
              <w:t>0.202</w:t>
            </w:r>
          </w:p>
        </w:tc>
      </w:tr>
      <w:tr>
        <w:tc>
          <w:tcPr>
            <w:tcW w:type="dxa" w:w="2448"/>
            <w:tcBorders>
              <w:bottom w:val="single" w:sz="6" w:color="000000"/>
            </w:tcBorders>
          </w:tcPr>
          <w:p>
            <w:pPr>
              <w:spacing w:after="0" w:line="240" w:lineRule="auto"/>
            </w:pPr>
            <w:r/>
            <w:r>
              <w:rPr>
                <w:sz w:val="20"/>
              </w:rPr>
              <w:t>ln(assets)</w:t>
            </w:r>
          </w:p>
        </w:tc>
        <w:tc>
          <w:tcPr>
            <w:tcW w:type="dxa" w:w="1440"/>
            <w:tcBorders>
              <w:bottom w:val="single" w:sz="6" w:color="000000"/>
            </w:tcBorders>
          </w:tcPr>
          <w:p>
            <w:pPr>
              <w:spacing w:after="0" w:line="240" w:lineRule="auto"/>
              <w:jc w:val="center"/>
            </w:pPr>
            <w:r/>
            <w:r>
              <w:rPr>
                <w:sz w:val="20"/>
              </w:rPr>
              <w:t>6,916</w:t>
            </w:r>
          </w:p>
        </w:tc>
        <w:tc>
          <w:tcPr>
            <w:tcW w:type="dxa" w:w="1296"/>
            <w:tcBorders>
              <w:bottom w:val="single" w:sz="6" w:color="000000"/>
            </w:tcBorders>
          </w:tcPr>
          <w:p>
            <w:pPr>
              <w:spacing w:after="0" w:line="240" w:lineRule="auto"/>
              <w:jc w:val="center"/>
            </w:pPr>
            <w:r/>
            <w:r>
              <w:rPr>
                <w:sz w:val="20"/>
              </w:rPr>
              <w:t>675</w:t>
            </w:r>
          </w:p>
        </w:tc>
        <w:tc>
          <w:tcPr>
            <w:tcW w:type="dxa" w:w="1440"/>
            <w:tcBorders>
              <w:bottom w:val="single" w:sz="6" w:color="000000"/>
            </w:tcBorders>
          </w:tcPr>
          <w:p>
            <w:pPr>
              <w:spacing w:after="0" w:line="240" w:lineRule="auto"/>
              <w:jc w:val="center"/>
            </w:pPr>
            <w:r/>
            <w:r>
              <w:rPr>
                <w:sz w:val="20"/>
              </w:rPr>
              <w:t>24,814</w:t>
            </w:r>
          </w:p>
        </w:tc>
        <w:tc>
          <w:tcPr>
            <w:tcW w:type="dxa" w:w="1296"/>
            <w:tcBorders>
              <w:bottom w:val="single" w:sz="6" w:color="000000"/>
            </w:tcBorders>
          </w:tcPr>
          <w:p>
            <w:pPr>
              <w:spacing w:after="0" w:line="240" w:lineRule="auto"/>
              <w:jc w:val="center"/>
            </w:pPr>
            <w:r/>
            <w:r>
              <w:rPr>
                <w:sz w:val="20"/>
              </w:rPr>
              <w:t>2,611</w:t>
            </w:r>
          </w:p>
        </w:tc>
        <w:tc>
          <w:tcPr>
            <w:tcW w:type="dxa" w:w="1440"/>
            <w:tcBorders>
              <w:bottom w:val="single" w:sz="6" w:color="000000"/>
            </w:tcBorders>
          </w:tcPr>
          <w:p>
            <w:pPr>
              <w:spacing w:after="0" w:line="240" w:lineRule="auto"/>
              <w:jc w:val="center"/>
            </w:pPr>
            <w:r/>
            <w:r>
              <w:rPr>
                <w:sz w:val="20"/>
              </w:rPr>
              <w:t>0.123</w:t>
            </w:r>
          </w:p>
        </w:tc>
      </w:tr>
    </w:tbl>
    <w:p>
      <w:pPr>
        <w:spacing w:line="240" w:lineRule="auto" w:after="40" w:before="80"/>
        <w:jc w:val="both"/>
      </w:pPr>
      <w:r>
        <w:rPr>
          <w:sz w:val="18"/>
        </w:rPr>
        <w:t>Note: Counts refer to the estimation sample; the last column is the share of firm-years with a missing outcome.</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S5. Relative-magnitude bounds for the average effect of the first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864"/>
        <w:gridCol w:w="1728"/>
        <w:gridCol w:w="1296"/>
        <w:gridCol w:w="2304"/>
      </w:tblGrid>
      <w:tr>
        <w:tc>
          <w:tcPr>
            <w:tcW w:type="dxa" w:w="2448"/>
            <w:tcBorders>
              <w:top w:val="single" w:sz="6" w:color="000000"/>
              <w:bottom w:val="single" w:sz="6" w:color="000000"/>
            </w:tcBorders>
          </w:tcPr>
          <w:p>
            <w:pPr>
              <w:spacing w:after="0" w:line="240" w:lineRule="auto"/>
            </w:pPr>
            <w:r/>
            <w:r>
              <w:rPr>
                <w:b/>
                <w:sz w:val="20"/>
              </w:rPr>
              <w:t>Outcome</w:t>
            </w:r>
          </w:p>
        </w:tc>
        <w:tc>
          <w:tcPr>
            <w:tcW w:type="dxa" w:w="864"/>
            <w:tcBorders>
              <w:top w:val="single" w:sz="6" w:color="000000"/>
              <w:bottom w:val="single" w:sz="6" w:color="000000"/>
            </w:tcBorders>
          </w:tcPr>
          <w:p>
            <w:pPr>
              <w:spacing w:after="0" w:line="240" w:lineRule="auto"/>
              <w:jc w:val="center"/>
            </w:pPr>
            <w:r/>
            <w:r>
              <w:rPr>
                <w:b/>
                <w:sz w:val="20"/>
              </w:rPr>
              <w:t>M̄</w:t>
            </w:r>
          </w:p>
        </w:tc>
        <w:tc>
          <w:tcPr>
            <w:tcW w:type="dxa" w:w="1728"/>
            <w:tcBorders>
              <w:top w:val="single" w:sz="6" w:color="000000"/>
              <w:bottom w:val="single" w:sz="6" w:color="000000"/>
            </w:tcBorders>
          </w:tcPr>
          <w:p>
            <w:pPr>
              <w:spacing w:after="0" w:line="240" w:lineRule="auto"/>
              <w:jc w:val="center"/>
            </w:pPr>
            <w:r/>
            <w:r>
              <w:rPr>
                <w:b/>
                <w:sz w:val="20"/>
              </w:rPr>
              <w:t>Max pre-period change</w:t>
            </w:r>
          </w:p>
        </w:tc>
        <w:tc>
          <w:tcPr>
            <w:tcW w:type="dxa" w:w="1296"/>
            <w:tcBorders>
              <w:top w:val="single" w:sz="6" w:color="000000"/>
              <w:bottom w:val="single" w:sz="6" w:color="000000"/>
            </w:tcBorders>
          </w:tcPr>
          <w:p>
            <w:pPr>
              <w:spacing w:after="0" w:line="240" w:lineRule="auto"/>
              <w:jc w:val="center"/>
            </w:pPr>
            <w:r/>
            <w:r>
              <w:rPr>
                <w:b/>
                <w:sz w:val="20"/>
              </w:rPr>
              <w:t>Bias bound</w:t>
            </w:r>
          </w:p>
        </w:tc>
        <w:tc>
          <w:tcPr>
            <w:tcW w:type="dxa" w:w="2304"/>
            <w:tcBorders>
              <w:top w:val="single" w:sz="6" w:color="000000"/>
              <w:bottom w:val="single" w:sz="6" w:color="000000"/>
            </w:tcBorders>
          </w:tcPr>
          <w:p>
            <w:pPr>
              <w:spacing w:after="0" w:line="240" w:lineRule="auto"/>
              <w:jc w:val="center"/>
            </w:pPr>
            <w:r/>
            <w:r>
              <w:rPr>
                <w:b/>
                <w:sz w:val="20"/>
              </w:rPr>
              <w:t>Robust 95% interval</w:t>
            </w:r>
          </w:p>
        </w:tc>
      </w:tr>
      <w:tr>
        <w:tc>
          <w:tcPr>
            <w:tcW w:type="dxa" w:w="2448"/>
          </w:tcPr>
          <w:p>
            <w:pPr>
              <w:spacing w:after="0" w:line="240" w:lineRule="auto"/>
            </w:pPr>
            <w:r/>
            <w:r>
              <w:rPr>
                <w:sz w:val="20"/>
              </w:rPr>
              <w:t>ln(MTB)</w:t>
            </w:r>
          </w:p>
        </w:tc>
        <w:tc>
          <w:tcPr>
            <w:tcW w:type="dxa" w:w="864"/>
          </w:tcPr>
          <w:p>
            <w:pPr>
              <w:spacing w:after="0" w:line="240" w:lineRule="auto"/>
              <w:jc w:val="center"/>
            </w:pPr>
            <w:r/>
            <w:r>
              <w:rPr>
                <w:sz w:val="20"/>
              </w:rPr>
              <w:t>0.00</w:t>
            </w:r>
          </w:p>
        </w:tc>
        <w:tc>
          <w:tcPr>
            <w:tcW w:type="dxa" w:w="1728"/>
          </w:tcPr>
          <w:p>
            <w:pPr>
              <w:spacing w:after="0" w:line="240" w:lineRule="auto"/>
              <w:jc w:val="center"/>
            </w:pPr>
            <w:r/>
            <w:r>
              <w:rPr>
                <w:sz w:val="20"/>
              </w:rPr>
              <w:t>0.046</w:t>
            </w:r>
          </w:p>
        </w:tc>
        <w:tc>
          <w:tcPr>
            <w:tcW w:type="dxa" w:w="1296"/>
          </w:tcPr>
          <w:p>
            <w:pPr>
              <w:spacing w:after="0" w:line="240" w:lineRule="auto"/>
              <w:jc w:val="center"/>
            </w:pPr>
            <w:r/>
            <w:r>
              <w:rPr>
                <w:sz w:val="20"/>
              </w:rPr>
              <w:t>0.000</w:t>
            </w:r>
          </w:p>
        </w:tc>
        <w:tc>
          <w:tcPr>
            <w:tcW w:type="dxa" w:w="2304"/>
          </w:tcPr>
          <w:p>
            <w:pPr>
              <w:spacing w:after="0" w:line="240" w:lineRule="auto"/>
              <w:jc w:val="center"/>
            </w:pPr>
            <w:r/>
            <w:r>
              <w:rPr>
                <w:sz w:val="20"/>
              </w:rPr>
              <w:t>[−0.046, 0.048]</w:t>
            </w:r>
          </w:p>
        </w:tc>
      </w:tr>
      <w:tr>
        <w:tc>
          <w:tcPr>
            <w:tcW w:type="dxa" w:w="2448"/>
          </w:tcPr>
          <w:p>
            <w:pPr>
              <w:spacing w:after="0" w:line="240" w:lineRule="auto"/>
            </w:pPr>
            <w:r/>
            <w:r>
              <w:rPr>
                <w:sz w:val="20"/>
              </w:rPr>
              <w:t>ln(MTB)</w:t>
            </w:r>
          </w:p>
        </w:tc>
        <w:tc>
          <w:tcPr>
            <w:tcW w:type="dxa" w:w="864"/>
          </w:tcPr>
          <w:p>
            <w:pPr>
              <w:spacing w:after="0" w:line="240" w:lineRule="auto"/>
              <w:jc w:val="center"/>
            </w:pPr>
            <w:r/>
            <w:r>
              <w:rPr>
                <w:sz w:val="20"/>
              </w:rPr>
              <w:t>0.25</w:t>
            </w:r>
          </w:p>
        </w:tc>
        <w:tc>
          <w:tcPr>
            <w:tcW w:type="dxa" w:w="1728"/>
          </w:tcPr>
          <w:p>
            <w:pPr>
              <w:spacing w:after="0" w:line="240" w:lineRule="auto"/>
              <w:jc w:val="center"/>
            </w:pPr>
            <w:r/>
            <w:r>
              <w:rPr>
                <w:sz w:val="20"/>
              </w:rPr>
              <w:t>0.046</w:t>
            </w:r>
          </w:p>
        </w:tc>
        <w:tc>
          <w:tcPr>
            <w:tcW w:type="dxa" w:w="1296"/>
          </w:tcPr>
          <w:p>
            <w:pPr>
              <w:spacing w:after="0" w:line="240" w:lineRule="auto"/>
              <w:jc w:val="center"/>
            </w:pPr>
            <w:r/>
            <w:r>
              <w:rPr>
                <w:sz w:val="20"/>
              </w:rPr>
              <w:t>0.025</w:t>
            </w:r>
          </w:p>
        </w:tc>
        <w:tc>
          <w:tcPr>
            <w:tcW w:type="dxa" w:w="2304"/>
          </w:tcPr>
          <w:p>
            <w:pPr>
              <w:spacing w:after="0" w:line="240" w:lineRule="auto"/>
              <w:jc w:val="center"/>
            </w:pPr>
            <w:r/>
            <w:r>
              <w:rPr>
                <w:sz w:val="20"/>
              </w:rPr>
              <w:t>[−0.071, 0.073]</w:t>
            </w:r>
          </w:p>
        </w:tc>
      </w:tr>
      <w:tr>
        <w:tc>
          <w:tcPr>
            <w:tcW w:type="dxa" w:w="2448"/>
          </w:tcPr>
          <w:p>
            <w:pPr>
              <w:spacing w:after="0" w:line="240" w:lineRule="auto"/>
            </w:pPr>
            <w:r/>
            <w:r>
              <w:rPr>
                <w:sz w:val="20"/>
              </w:rPr>
              <w:t>ln(MTB)</w:t>
            </w:r>
          </w:p>
        </w:tc>
        <w:tc>
          <w:tcPr>
            <w:tcW w:type="dxa" w:w="864"/>
          </w:tcPr>
          <w:p>
            <w:pPr>
              <w:spacing w:after="0" w:line="240" w:lineRule="auto"/>
              <w:jc w:val="center"/>
            </w:pPr>
            <w:r/>
            <w:r>
              <w:rPr>
                <w:sz w:val="20"/>
              </w:rPr>
              <w:t>0.50</w:t>
            </w:r>
          </w:p>
        </w:tc>
        <w:tc>
          <w:tcPr>
            <w:tcW w:type="dxa" w:w="1728"/>
          </w:tcPr>
          <w:p>
            <w:pPr>
              <w:spacing w:after="0" w:line="240" w:lineRule="auto"/>
              <w:jc w:val="center"/>
            </w:pPr>
            <w:r/>
            <w:r>
              <w:rPr>
                <w:sz w:val="20"/>
              </w:rPr>
              <w:t>0.046</w:t>
            </w:r>
          </w:p>
        </w:tc>
        <w:tc>
          <w:tcPr>
            <w:tcW w:type="dxa" w:w="1296"/>
          </w:tcPr>
          <w:p>
            <w:pPr>
              <w:spacing w:after="0" w:line="240" w:lineRule="auto"/>
              <w:jc w:val="center"/>
            </w:pPr>
            <w:r/>
            <w:r>
              <w:rPr>
                <w:sz w:val="20"/>
              </w:rPr>
              <w:t>0.050</w:t>
            </w:r>
          </w:p>
        </w:tc>
        <w:tc>
          <w:tcPr>
            <w:tcW w:type="dxa" w:w="2304"/>
          </w:tcPr>
          <w:p>
            <w:pPr>
              <w:spacing w:after="0" w:line="240" w:lineRule="auto"/>
              <w:jc w:val="center"/>
            </w:pPr>
            <w:r/>
            <w:r>
              <w:rPr>
                <w:sz w:val="20"/>
              </w:rPr>
              <w:t>[−0.096, 0.098]</w:t>
            </w:r>
          </w:p>
        </w:tc>
      </w:tr>
      <w:tr>
        <w:tc>
          <w:tcPr>
            <w:tcW w:type="dxa" w:w="2448"/>
          </w:tcPr>
          <w:p>
            <w:pPr>
              <w:spacing w:after="0" w:line="240" w:lineRule="auto"/>
            </w:pPr>
            <w:r/>
            <w:r>
              <w:rPr>
                <w:sz w:val="20"/>
              </w:rPr>
              <w:t>ln(MTB)</w:t>
            </w:r>
          </w:p>
        </w:tc>
        <w:tc>
          <w:tcPr>
            <w:tcW w:type="dxa" w:w="864"/>
          </w:tcPr>
          <w:p>
            <w:pPr>
              <w:spacing w:after="0" w:line="240" w:lineRule="auto"/>
              <w:jc w:val="center"/>
            </w:pPr>
            <w:r/>
            <w:r>
              <w:rPr>
                <w:sz w:val="20"/>
              </w:rPr>
              <w:t>1.00</w:t>
            </w:r>
          </w:p>
        </w:tc>
        <w:tc>
          <w:tcPr>
            <w:tcW w:type="dxa" w:w="1728"/>
          </w:tcPr>
          <w:p>
            <w:pPr>
              <w:spacing w:after="0" w:line="240" w:lineRule="auto"/>
              <w:jc w:val="center"/>
            </w:pPr>
            <w:r/>
            <w:r>
              <w:rPr>
                <w:sz w:val="20"/>
              </w:rPr>
              <w:t>0.046</w:t>
            </w:r>
          </w:p>
        </w:tc>
        <w:tc>
          <w:tcPr>
            <w:tcW w:type="dxa" w:w="1296"/>
          </w:tcPr>
          <w:p>
            <w:pPr>
              <w:spacing w:after="0" w:line="240" w:lineRule="auto"/>
              <w:jc w:val="center"/>
            </w:pPr>
            <w:r/>
            <w:r>
              <w:rPr>
                <w:sz w:val="20"/>
              </w:rPr>
              <w:t>0.101</w:t>
            </w:r>
          </w:p>
        </w:tc>
        <w:tc>
          <w:tcPr>
            <w:tcW w:type="dxa" w:w="2304"/>
          </w:tcPr>
          <w:p>
            <w:pPr>
              <w:spacing w:after="0" w:line="240" w:lineRule="auto"/>
              <w:jc w:val="center"/>
            </w:pPr>
            <w:r/>
            <w:r>
              <w:rPr>
                <w:sz w:val="20"/>
              </w:rPr>
              <w:t>[−0.147, 0.148]</w:t>
            </w:r>
          </w:p>
        </w:tc>
      </w:tr>
      <w:tr>
        <w:tc>
          <w:tcPr>
            <w:tcW w:type="dxa" w:w="2448"/>
          </w:tcPr>
          <w:p>
            <w:pPr>
              <w:spacing w:after="0" w:line="240" w:lineRule="auto"/>
            </w:pPr>
            <w:r/>
            <w:r>
              <w:rPr>
                <w:sz w:val="20"/>
              </w:rPr>
              <w:t>ln(market cap)</w:t>
            </w:r>
          </w:p>
        </w:tc>
        <w:tc>
          <w:tcPr>
            <w:tcW w:type="dxa" w:w="864"/>
          </w:tcPr>
          <w:p>
            <w:pPr>
              <w:spacing w:after="0" w:line="240" w:lineRule="auto"/>
              <w:jc w:val="center"/>
            </w:pPr>
            <w:r/>
            <w:r>
              <w:rPr>
                <w:sz w:val="20"/>
              </w:rPr>
              <w:t>0.00</w:t>
            </w:r>
          </w:p>
        </w:tc>
        <w:tc>
          <w:tcPr>
            <w:tcW w:type="dxa" w:w="1728"/>
          </w:tcPr>
          <w:p>
            <w:pPr>
              <w:spacing w:after="0" w:line="240" w:lineRule="auto"/>
              <w:jc w:val="center"/>
            </w:pPr>
            <w:r/>
            <w:r>
              <w:rPr>
                <w:sz w:val="20"/>
              </w:rPr>
              <w:t>0.063</w:t>
            </w:r>
          </w:p>
        </w:tc>
        <w:tc>
          <w:tcPr>
            <w:tcW w:type="dxa" w:w="1296"/>
          </w:tcPr>
          <w:p>
            <w:pPr>
              <w:spacing w:after="0" w:line="240" w:lineRule="auto"/>
              <w:jc w:val="center"/>
            </w:pPr>
            <w:r/>
            <w:r>
              <w:rPr>
                <w:sz w:val="20"/>
              </w:rPr>
              <w:t>0.000</w:t>
            </w:r>
          </w:p>
        </w:tc>
        <w:tc>
          <w:tcPr>
            <w:tcW w:type="dxa" w:w="2304"/>
          </w:tcPr>
          <w:p>
            <w:pPr>
              <w:spacing w:after="0" w:line="240" w:lineRule="auto"/>
              <w:jc w:val="center"/>
            </w:pPr>
            <w:r/>
            <w:r>
              <w:rPr>
                <w:sz w:val="20"/>
              </w:rPr>
              <w:t>[−0.109, 0.003]</w:t>
            </w:r>
          </w:p>
        </w:tc>
      </w:tr>
      <w:tr>
        <w:tc>
          <w:tcPr>
            <w:tcW w:type="dxa" w:w="2448"/>
          </w:tcPr>
          <w:p>
            <w:pPr>
              <w:spacing w:after="0" w:line="240" w:lineRule="auto"/>
            </w:pPr>
            <w:r/>
            <w:r>
              <w:rPr>
                <w:sz w:val="20"/>
              </w:rPr>
              <w:t>ln(market cap)</w:t>
            </w:r>
          </w:p>
        </w:tc>
        <w:tc>
          <w:tcPr>
            <w:tcW w:type="dxa" w:w="864"/>
          </w:tcPr>
          <w:p>
            <w:pPr>
              <w:spacing w:after="0" w:line="240" w:lineRule="auto"/>
              <w:jc w:val="center"/>
            </w:pPr>
            <w:r/>
            <w:r>
              <w:rPr>
                <w:sz w:val="20"/>
              </w:rPr>
              <w:t>0.25</w:t>
            </w:r>
          </w:p>
        </w:tc>
        <w:tc>
          <w:tcPr>
            <w:tcW w:type="dxa" w:w="1728"/>
          </w:tcPr>
          <w:p>
            <w:pPr>
              <w:spacing w:after="0" w:line="240" w:lineRule="auto"/>
              <w:jc w:val="center"/>
            </w:pPr>
            <w:r/>
            <w:r>
              <w:rPr>
                <w:sz w:val="20"/>
              </w:rPr>
              <w:t>0.063</w:t>
            </w:r>
          </w:p>
        </w:tc>
        <w:tc>
          <w:tcPr>
            <w:tcW w:type="dxa" w:w="1296"/>
          </w:tcPr>
          <w:p>
            <w:pPr>
              <w:spacing w:after="0" w:line="240" w:lineRule="auto"/>
              <w:jc w:val="center"/>
            </w:pPr>
            <w:r/>
            <w:r>
              <w:rPr>
                <w:sz w:val="20"/>
              </w:rPr>
              <w:t>0.035</w:t>
            </w:r>
          </w:p>
        </w:tc>
        <w:tc>
          <w:tcPr>
            <w:tcW w:type="dxa" w:w="2304"/>
          </w:tcPr>
          <w:p>
            <w:pPr>
              <w:spacing w:after="0" w:line="240" w:lineRule="auto"/>
              <w:jc w:val="center"/>
            </w:pPr>
            <w:r/>
            <w:r>
              <w:rPr>
                <w:sz w:val="20"/>
              </w:rPr>
              <w:t>[−0.144, 0.038]</w:t>
            </w:r>
          </w:p>
        </w:tc>
      </w:tr>
      <w:tr>
        <w:tc>
          <w:tcPr>
            <w:tcW w:type="dxa" w:w="2448"/>
          </w:tcPr>
          <w:p>
            <w:pPr>
              <w:spacing w:after="0" w:line="240" w:lineRule="auto"/>
            </w:pPr>
            <w:r/>
            <w:r>
              <w:rPr>
                <w:sz w:val="20"/>
              </w:rPr>
              <w:t>ln(market cap)</w:t>
            </w:r>
          </w:p>
        </w:tc>
        <w:tc>
          <w:tcPr>
            <w:tcW w:type="dxa" w:w="864"/>
          </w:tcPr>
          <w:p>
            <w:pPr>
              <w:spacing w:after="0" w:line="240" w:lineRule="auto"/>
              <w:jc w:val="center"/>
            </w:pPr>
            <w:r/>
            <w:r>
              <w:rPr>
                <w:sz w:val="20"/>
              </w:rPr>
              <w:t>0.50</w:t>
            </w:r>
          </w:p>
        </w:tc>
        <w:tc>
          <w:tcPr>
            <w:tcW w:type="dxa" w:w="1728"/>
          </w:tcPr>
          <w:p>
            <w:pPr>
              <w:spacing w:after="0" w:line="240" w:lineRule="auto"/>
              <w:jc w:val="center"/>
            </w:pPr>
            <w:r/>
            <w:r>
              <w:rPr>
                <w:sz w:val="20"/>
              </w:rPr>
              <w:t>0.063</w:t>
            </w:r>
          </w:p>
        </w:tc>
        <w:tc>
          <w:tcPr>
            <w:tcW w:type="dxa" w:w="1296"/>
          </w:tcPr>
          <w:p>
            <w:pPr>
              <w:spacing w:after="0" w:line="240" w:lineRule="auto"/>
              <w:jc w:val="center"/>
            </w:pPr>
            <w:r/>
            <w:r>
              <w:rPr>
                <w:sz w:val="20"/>
              </w:rPr>
              <w:t>0.070</w:t>
            </w:r>
          </w:p>
        </w:tc>
        <w:tc>
          <w:tcPr>
            <w:tcW w:type="dxa" w:w="2304"/>
          </w:tcPr>
          <w:p>
            <w:pPr>
              <w:spacing w:after="0" w:line="240" w:lineRule="auto"/>
              <w:jc w:val="center"/>
            </w:pPr>
            <w:r/>
            <w:r>
              <w:rPr>
                <w:sz w:val="20"/>
              </w:rPr>
              <w:t>[−0.179, 0.073]</w:t>
            </w:r>
          </w:p>
        </w:tc>
      </w:tr>
      <w:tr>
        <w:tc>
          <w:tcPr>
            <w:tcW w:type="dxa" w:w="2448"/>
          </w:tcPr>
          <w:p>
            <w:pPr>
              <w:spacing w:after="0" w:line="240" w:lineRule="auto"/>
            </w:pPr>
            <w:r/>
            <w:r>
              <w:rPr>
                <w:sz w:val="20"/>
              </w:rPr>
              <w:t>ln(market cap)</w:t>
            </w:r>
          </w:p>
        </w:tc>
        <w:tc>
          <w:tcPr>
            <w:tcW w:type="dxa" w:w="864"/>
          </w:tcPr>
          <w:p>
            <w:pPr>
              <w:spacing w:after="0" w:line="240" w:lineRule="auto"/>
              <w:jc w:val="center"/>
            </w:pPr>
            <w:r/>
            <w:r>
              <w:rPr>
                <w:sz w:val="20"/>
              </w:rPr>
              <w:t>1.00</w:t>
            </w:r>
          </w:p>
        </w:tc>
        <w:tc>
          <w:tcPr>
            <w:tcW w:type="dxa" w:w="1728"/>
          </w:tcPr>
          <w:p>
            <w:pPr>
              <w:spacing w:after="0" w:line="240" w:lineRule="auto"/>
              <w:jc w:val="center"/>
            </w:pPr>
            <w:r/>
            <w:r>
              <w:rPr>
                <w:sz w:val="20"/>
              </w:rPr>
              <w:t>0.063</w:t>
            </w:r>
          </w:p>
        </w:tc>
        <w:tc>
          <w:tcPr>
            <w:tcW w:type="dxa" w:w="1296"/>
          </w:tcPr>
          <w:p>
            <w:pPr>
              <w:spacing w:after="0" w:line="240" w:lineRule="auto"/>
              <w:jc w:val="center"/>
            </w:pPr>
            <w:r/>
            <w:r>
              <w:rPr>
                <w:sz w:val="20"/>
              </w:rPr>
              <w:t>0.140</w:t>
            </w:r>
          </w:p>
        </w:tc>
        <w:tc>
          <w:tcPr>
            <w:tcW w:type="dxa" w:w="2304"/>
          </w:tcPr>
          <w:p>
            <w:pPr>
              <w:spacing w:after="0" w:line="240" w:lineRule="auto"/>
              <w:jc w:val="center"/>
            </w:pPr>
            <w:r/>
            <w:r>
              <w:rPr>
                <w:sz w:val="20"/>
              </w:rPr>
              <w:t>[−0.249, 0.143]</w:t>
            </w:r>
          </w:p>
        </w:tc>
      </w:tr>
      <w:tr>
        <w:tc>
          <w:tcPr>
            <w:tcW w:type="dxa" w:w="2448"/>
          </w:tcPr>
          <w:p>
            <w:pPr>
              <w:spacing w:after="0" w:line="240" w:lineRule="auto"/>
            </w:pPr>
            <w:r/>
            <w:r>
              <w:rPr>
                <w:sz w:val="20"/>
              </w:rPr>
              <w:t>Leverage (ratio)</w:t>
            </w:r>
          </w:p>
        </w:tc>
        <w:tc>
          <w:tcPr>
            <w:tcW w:type="dxa" w:w="864"/>
          </w:tcPr>
          <w:p>
            <w:pPr>
              <w:spacing w:after="0" w:line="240" w:lineRule="auto"/>
              <w:jc w:val="center"/>
            </w:pPr>
            <w:r/>
            <w:r>
              <w:rPr>
                <w:sz w:val="20"/>
              </w:rPr>
              <w:t>0.00</w:t>
            </w:r>
          </w:p>
        </w:tc>
        <w:tc>
          <w:tcPr>
            <w:tcW w:type="dxa" w:w="1728"/>
          </w:tcPr>
          <w:p>
            <w:pPr>
              <w:spacing w:after="0" w:line="240" w:lineRule="auto"/>
              <w:jc w:val="center"/>
            </w:pPr>
            <w:r/>
            <w:r>
              <w:rPr>
                <w:sz w:val="20"/>
              </w:rPr>
              <w:t>0.012</w:t>
            </w:r>
          </w:p>
        </w:tc>
        <w:tc>
          <w:tcPr>
            <w:tcW w:type="dxa" w:w="1296"/>
          </w:tcPr>
          <w:p>
            <w:pPr>
              <w:spacing w:after="0" w:line="240" w:lineRule="auto"/>
              <w:jc w:val="center"/>
            </w:pPr>
            <w:r/>
            <w:r>
              <w:rPr>
                <w:sz w:val="20"/>
              </w:rPr>
              <w:t>0.000</w:t>
            </w:r>
          </w:p>
        </w:tc>
        <w:tc>
          <w:tcPr>
            <w:tcW w:type="dxa" w:w="2304"/>
          </w:tcPr>
          <w:p>
            <w:pPr>
              <w:spacing w:after="0" w:line="240" w:lineRule="auto"/>
              <w:jc w:val="center"/>
            </w:pPr>
            <w:r/>
            <w:r>
              <w:rPr>
                <w:sz w:val="20"/>
              </w:rPr>
              <w:t>[−0.001, 0.018]</w:t>
            </w:r>
          </w:p>
        </w:tc>
      </w:tr>
      <w:tr>
        <w:tc>
          <w:tcPr>
            <w:tcW w:type="dxa" w:w="2448"/>
          </w:tcPr>
          <w:p>
            <w:pPr>
              <w:spacing w:after="0" w:line="240" w:lineRule="auto"/>
            </w:pPr>
            <w:r/>
            <w:r>
              <w:rPr>
                <w:sz w:val="20"/>
              </w:rPr>
              <w:t>Leverage (ratio)</w:t>
            </w:r>
          </w:p>
        </w:tc>
        <w:tc>
          <w:tcPr>
            <w:tcW w:type="dxa" w:w="864"/>
          </w:tcPr>
          <w:p>
            <w:pPr>
              <w:spacing w:after="0" w:line="240" w:lineRule="auto"/>
              <w:jc w:val="center"/>
            </w:pPr>
            <w:r/>
            <w:r>
              <w:rPr>
                <w:sz w:val="20"/>
              </w:rPr>
              <w:t>0.25</w:t>
            </w:r>
          </w:p>
        </w:tc>
        <w:tc>
          <w:tcPr>
            <w:tcW w:type="dxa" w:w="1728"/>
          </w:tcPr>
          <w:p>
            <w:pPr>
              <w:spacing w:after="0" w:line="240" w:lineRule="auto"/>
              <w:jc w:val="center"/>
            </w:pPr>
            <w:r/>
            <w:r>
              <w:rPr>
                <w:sz w:val="20"/>
              </w:rPr>
              <w:t>0.012</w:t>
            </w:r>
          </w:p>
        </w:tc>
        <w:tc>
          <w:tcPr>
            <w:tcW w:type="dxa" w:w="1296"/>
          </w:tcPr>
          <w:p>
            <w:pPr>
              <w:spacing w:after="0" w:line="240" w:lineRule="auto"/>
              <w:jc w:val="center"/>
            </w:pPr>
            <w:r/>
            <w:r>
              <w:rPr>
                <w:sz w:val="20"/>
              </w:rPr>
              <w:t>0.007</w:t>
            </w:r>
          </w:p>
        </w:tc>
        <w:tc>
          <w:tcPr>
            <w:tcW w:type="dxa" w:w="2304"/>
          </w:tcPr>
          <w:p>
            <w:pPr>
              <w:spacing w:after="0" w:line="240" w:lineRule="auto"/>
              <w:jc w:val="center"/>
            </w:pPr>
            <w:r/>
            <w:r>
              <w:rPr>
                <w:sz w:val="20"/>
              </w:rPr>
              <w:t>[−0.007, 0.025]</w:t>
            </w:r>
          </w:p>
        </w:tc>
      </w:tr>
      <w:tr>
        <w:tc>
          <w:tcPr>
            <w:tcW w:type="dxa" w:w="2448"/>
          </w:tcPr>
          <w:p>
            <w:pPr>
              <w:spacing w:after="0" w:line="240" w:lineRule="auto"/>
            </w:pPr>
            <w:r/>
            <w:r>
              <w:rPr>
                <w:sz w:val="20"/>
              </w:rPr>
              <w:t>Leverage (ratio)</w:t>
            </w:r>
          </w:p>
        </w:tc>
        <w:tc>
          <w:tcPr>
            <w:tcW w:type="dxa" w:w="864"/>
          </w:tcPr>
          <w:p>
            <w:pPr>
              <w:spacing w:after="0" w:line="240" w:lineRule="auto"/>
              <w:jc w:val="center"/>
            </w:pPr>
            <w:r/>
            <w:r>
              <w:rPr>
                <w:sz w:val="20"/>
              </w:rPr>
              <w:t>0.50</w:t>
            </w:r>
          </w:p>
        </w:tc>
        <w:tc>
          <w:tcPr>
            <w:tcW w:type="dxa" w:w="1728"/>
          </w:tcPr>
          <w:p>
            <w:pPr>
              <w:spacing w:after="0" w:line="240" w:lineRule="auto"/>
              <w:jc w:val="center"/>
            </w:pPr>
            <w:r/>
            <w:r>
              <w:rPr>
                <w:sz w:val="20"/>
              </w:rPr>
              <w:t>0.012</w:t>
            </w:r>
          </w:p>
        </w:tc>
        <w:tc>
          <w:tcPr>
            <w:tcW w:type="dxa" w:w="1296"/>
          </w:tcPr>
          <w:p>
            <w:pPr>
              <w:spacing w:after="0" w:line="240" w:lineRule="auto"/>
              <w:jc w:val="center"/>
            </w:pPr>
            <w:r/>
            <w:r>
              <w:rPr>
                <w:sz w:val="20"/>
              </w:rPr>
              <w:t>0.013</w:t>
            </w:r>
          </w:p>
        </w:tc>
        <w:tc>
          <w:tcPr>
            <w:tcW w:type="dxa" w:w="2304"/>
          </w:tcPr>
          <w:p>
            <w:pPr>
              <w:spacing w:after="0" w:line="240" w:lineRule="auto"/>
              <w:jc w:val="center"/>
            </w:pPr>
            <w:r/>
            <w:r>
              <w:rPr>
                <w:sz w:val="20"/>
              </w:rPr>
              <w:t>[−0.014, 0.031]</w:t>
            </w:r>
          </w:p>
        </w:tc>
      </w:tr>
      <w:tr>
        <w:tc>
          <w:tcPr>
            <w:tcW w:type="dxa" w:w="2448"/>
          </w:tcPr>
          <w:p>
            <w:pPr>
              <w:spacing w:after="0" w:line="240" w:lineRule="auto"/>
            </w:pPr>
            <w:r/>
            <w:r>
              <w:rPr>
                <w:sz w:val="20"/>
              </w:rPr>
              <w:t>Leverage (ratio)</w:t>
            </w:r>
          </w:p>
        </w:tc>
        <w:tc>
          <w:tcPr>
            <w:tcW w:type="dxa" w:w="864"/>
          </w:tcPr>
          <w:p>
            <w:pPr>
              <w:spacing w:after="0" w:line="240" w:lineRule="auto"/>
              <w:jc w:val="center"/>
            </w:pPr>
            <w:r/>
            <w:r>
              <w:rPr>
                <w:sz w:val="20"/>
              </w:rPr>
              <w:t>1.00</w:t>
            </w:r>
          </w:p>
        </w:tc>
        <w:tc>
          <w:tcPr>
            <w:tcW w:type="dxa" w:w="1728"/>
          </w:tcPr>
          <w:p>
            <w:pPr>
              <w:spacing w:after="0" w:line="240" w:lineRule="auto"/>
              <w:jc w:val="center"/>
            </w:pPr>
            <w:r/>
            <w:r>
              <w:rPr>
                <w:sz w:val="20"/>
              </w:rPr>
              <w:t>0.012</w:t>
            </w:r>
          </w:p>
        </w:tc>
        <w:tc>
          <w:tcPr>
            <w:tcW w:type="dxa" w:w="1296"/>
          </w:tcPr>
          <w:p>
            <w:pPr>
              <w:spacing w:after="0" w:line="240" w:lineRule="auto"/>
              <w:jc w:val="center"/>
            </w:pPr>
            <w:r/>
            <w:r>
              <w:rPr>
                <w:sz w:val="20"/>
              </w:rPr>
              <w:t>0.026</w:t>
            </w:r>
          </w:p>
        </w:tc>
        <w:tc>
          <w:tcPr>
            <w:tcW w:type="dxa" w:w="2304"/>
          </w:tcPr>
          <w:p>
            <w:pPr>
              <w:spacing w:after="0" w:line="240" w:lineRule="auto"/>
              <w:jc w:val="center"/>
            </w:pPr>
            <w:r/>
            <w:r>
              <w:rPr>
                <w:sz w:val="20"/>
              </w:rPr>
              <w:t>[−0.027, 0.044]</w:t>
            </w:r>
          </w:p>
        </w:tc>
      </w:tr>
      <w:tr>
        <w:tc>
          <w:tcPr>
            <w:tcW w:type="dxa" w:w="2448"/>
          </w:tcPr>
          <w:p>
            <w:pPr>
              <w:spacing w:after="0" w:line="240" w:lineRule="auto"/>
            </w:pPr>
            <w:r/>
            <w:r>
              <w:rPr>
                <w:sz w:val="20"/>
              </w:rPr>
              <w:t>ln(assets)</w:t>
            </w:r>
          </w:p>
        </w:tc>
        <w:tc>
          <w:tcPr>
            <w:tcW w:type="dxa" w:w="864"/>
          </w:tcPr>
          <w:p>
            <w:pPr>
              <w:spacing w:after="0" w:line="240" w:lineRule="auto"/>
              <w:jc w:val="center"/>
            </w:pPr>
            <w:r/>
            <w:r>
              <w:rPr>
                <w:sz w:val="20"/>
              </w:rPr>
              <w:t>0.00</w:t>
            </w:r>
          </w:p>
        </w:tc>
        <w:tc>
          <w:tcPr>
            <w:tcW w:type="dxa" w:w="1728"/>
          </w:tcPr>
          <w:p>
            <w:pPr>
              <w:spacing w:after="0" w:line="240" w:lineRule="auto"/>
              <w:jc w:val="center"/>
            </w:pPr>
            <w:r/>
            <w:r>
              <w:rPr>
                <w:sz w:val="20"/>
              </w:rPr>
              <w:t>0.035</w:t>
            </w:r>
          </w:p>
        </w:tc>
        <w:tc>
          <w:tcPr>
            <w:tcW w:type="dxa" w:w="1296"/>
          </w:tcPr>
          <w:p>
            <w:pPr>
              <w:spacing w:after="0" w:line="240" w:lineRule="auto"/>
              <w:jc w:val="center"/>
            </w:pPr>
            <w:r/>
            <w:r>
              <w:rPr>
                <w:sz w:val="20"/>
              </w:rPr>
              <w:t>0.000</w:t>
            </w:r>
          </w:p>
        </w:tc>
        <w:tc>
          <w:tcPr>
            <w:tcW w:type="dxa" w:w="2304"/>
          </w:tcPr>
          <w:p>
            <w:pPr>
              <w:spacing w:after="0" w:line="240" w:lineRule="auto"/>
              <w:jc w:val="center"/>
            </w:pPr>
            <w:r/>
            <w:r>
              <w:rPr>
                <w:sz w:val="20"/>
              </w:rPr>
              <w:t>[0.007, 0.081]</w:t>
            </w:r>
          </w:p>
        </w:tc>
      </w:tr>
      <w:tr>
        <w:tc>
          <w:tcPr>
            <w:tcW w:type="dxa" w:w="2448"/>
          </w:tcPr>
          <w:p>
            <w:pPr>
              <w:spacing w:after="0" w:line="240" w:lineRule="auto"/>
            </w:pPr>
            <w:r/>
            <w:r>
              <w:rPr>
                <w:sz w:val="20"/>
              </w:rPr>
              <w:t>ln(assets)</w:t>
            </w:r>
          </w:p>
        </w:tc>
        <w:tc>
          <w:tcPr>
            <w:tcW w:type="dxa" w:w="864"/>
          </w:tcPr>
          <w:p>
            <w:pPr>
              <w:spacing w:after="0" w:line="240" w:lineRule="auto"/>
              <w:jc w:val="center"/>
            </w:pPr>
            <w:r/>
            <w:r>
              <w:rPr>
                <w:sz w:val="20"/>
              </w:rPr>
              <w:t>0.25</w:t>
            </w:r>
          </w:p>
        </w:tc>
        <w:tc>
          <w:tcPr>
            <w:tcW w:type="dxa" w:w="1728"/>
          </w:tcPr>
          <w:p>
            <w:pPr>
              <w:spacing w:after="0" w:line="240" w:lineRule="auto"/>
              <w:jc w:val="center"/>
            </w:pPr>
            <w:r/>
            <w:r>
              <w:rPr>
                <w:sz w:val="20"/>
              </w:rPr>
              <w:t>0.035</w:t>
            </w:r>
          </w:p>
        </w:tc>
        <w:tc>
          <w:tcPr>
            <w:tcW w:type="dxa" w:w="1296"/>
          </w:tcPr>
          <w:p>
            <w:pPr>
              <w:spacing w:after="0" w:line="240" w:lineRule="auto"/>
              <w:jc w:val="center"/>
            </w:pPr>
            <w:r/>
            <w:r>
              <w:rPr>
                <w:sz w:val="20"/>
              </w:rPr>
              <w:t>0.020</w:t>
            </w:r>
          </w:p>
        </w:tc>
        <w:tc>
          <w:tcPr>
            <w:tcW w:type="dxa" w:w="2304"/>
          </w:tcPr>
          <w:p>
            <w:pPr>
              <w:spacing w:after="0" w:line="240" w:lineRule="auto"/>
              <w:jc w:val="center"/>
            </w:pPr>
            <w:r/>
            <w:r>
              <w:rPr>
                <w:sz w:val="20"/>
              </w:rPr>
              <w:t>[−0.012, 0.101]</w:t>
            </w:r>
          </w:p>
        </w:tc>
      </w:tr>
      <w:tr>
        <w:tc>
          <w:tcPr>
            <w:tcW w:type="dxa" w:w="2448"/>
          </w:tcPr>
          <w:p>
            <w:pPr>
              <w:spacing w:after="0" w:line="240" w:lineRule="auto"/>
            </w:pPr>
            <w:r/>
            <w:r>
              <w:rPr>
                <w:sz w:val="20"/>
              </w:rPr>
              <w:t>ln(assets)</w:t>
            </w:r>
          </w:p>
        </w:tc>
        <w:tc>
          <w:tcPr>
            <w:tcW w:type="dxa" w:w="864"/>
          </w:tcPr>
          <w:p>
            <w:pPr>
              <w:spacing w:after="0" w:line="240" w:lineRule="auto"/>
              <w:jc w:val="center"/>
            </w:pPr>
            <w:r/>
            <w:r>
              <w:rPr>
                <w:sz w:val="20"/>
              </w:rPr>
              <w:t>0.50</w:t>
            </w:r>
          </w:p>
        </w:tc>
        <w:tc>
          <w:tcPr>
            <w:tcW w:type="dxa" w:w="1728"/>
          </w:tcPr>
          <w:p>
            <w:pPr>
              <w:spacing w:after="0" w:line="240" w:lineRule="auto"/>
              <w:jc w:val="center"/>
            </w:pPr>
            <w:r/>
            <w:r>
              <w:rPr>
                <w:sz w:val="20"/>
              </w:rPr>
              <w:t>0.035</w:t>
            </w:r>
          </w:p>
        </w:tc>
        <w:tc>
          <w:tcPr>
            <w:tcW w:type="dxa" w:w="1296"/>
          </w:tcPr>
          <w:p>
            <w:pPr>
              <w:spacing w:after="0" w:line="240" w:lineRule="auto"/>
              <w:jc w:val="center"/>
            </w:pPr>
            <w:r/>
            <w:r>
              <w:rPr>
                <w:sz w:val="20"/>
              </w:rPr>
              <w:t>0.039</w:t>
            </w:r>
          </w:p>
        </w:tc>
        <w:tc>
          <w:tcPr>
            <w:tcW w:type="dxa" w:w="2304"/>
          </w:tcPr>
          <w:p>
            <w:pPr>
              <w:spacing w:after="0" w:line="240" w:lineRule="auto"/>
              <w:jc w:val="center"/>
            </w:pPr>
            <w:r/>
            <w:r>
              <w:rPr>
                <w:sz w:val="20"/>
              </w:rPr>
              <w:t>[−0.032, 0.120]</w:t>
            </w:r>
          </w:p>
        </w:tc>
      </w:tr>
      <w:tr>
        <w:tc>
          <w:tcPr>
            <w:tcW w:type="dxa" w:w="2448"/>
            <w:tcBorders>
              <w:bottom w:val="single" w:sz="6" w:color="000000"/>
            </w:tcBorders>
          </w:tcPr>
          <w:p>
            <w:pPr>
              <w:spacing w:after="0" w:line="240" w:lineRule="auto"/>
            </w:pPr>
            <w:r/>
            <w:r>
              <w:rPr>
                <w:sz w:val="20"/>
              </w:rPr>
              <w:t>ln(assets)</w:t>
            </w:r>
          </w:p>
        </w:tc>
        <w:tc>
          <w:tcPr>
            <w:tcW w:type="dxa" w:w="864"/>
            <w:tcBorders>
              <w:bottom w:val="single" w:sz="6" w:color="000000"/>
            </w:tcBorders>
          </w:tcPr>
          <w:p>
            <w:pPr>
              <w:spacing w:after="0" w:line="240" w:lineRule="auto"/>
              <w:jc w:val="center"/>
            </w:pPr>
            <w:r/>
            <w:r>
              <w:rPr>
                <w:sz w:val="20"/>
              </w:rPr>
              <w:t>1.00</w:t>
            </w:r>
          </w:p>
        </w:tc>
        <w:tc>
          <w:tcPr>
            <w:tcW w:type="dxa" w:w="1728"/>
            <w:tcBorders>
              <w:bottom w:val="single" w:sz="6" w:color="000000"/>
            </w:tcBorders>
          </w:tcPr>
          <w:p>
            <w:pPr>
              <w:spacing w:after="0" w:line="240" w:lineRule="auto"/>
              <w:jc w:val="center"/>
            </w:pPr>
            <w:r/>
            <w:r>
              <w:rPr>
                <w:sz w:val="20"/>
              </w:rPr>
              <w:t>0.035</w:t>
            </w:r>
          </w:p>
        </w:tc>
        <w:tc>
          <w:tcPr>
            <w:tcW w:type="dxa" w:w="1296"/>
            <w:tcBorders>
              <w:bottom w:val="single" w:sz="6" w:color="000000"/>
            </w:tcBorders>
          </w:tcPr>
          <w:p>
            <w:pPr>
              <w:spacing w:after="0" w:line="240" w:lineRule="auto"/>
              <w:jc w:val="center"/>
            </w:pPr>
            <w:r/>
            <w:r>
              <w:rPr>
                <w:sz w:val="20"/>
              </w:rPr>
              <w:t>0.078</w:t>
            </w:r>
          </w:p>
        </w:tc>
        <w:tc>
          <w:tcPr>
            <w:tcW w:type="dxa" w:w="2304"/>
            <w:tcBorders>
              <w:bottom w:val="single" w:sz="6" w:color="000000"/>
            </w:tcBorders>
          </w:tcPr>
          <w:p>
            <w:pPr>
              <w:spacing w:after="0" w:line="240" w:lineRule="auto"/>
              <w:jc w:val="center"/>
            </w:pPr>
            <w:r/>
            <w:r>
              <w:rPr>
                <w:sz w:val="20"/>
              </w:rPr>
              <w:t>[−0.071, 0.159]</w:t>
            </w:r>
          </w:p>
        </w:tc>
      </w:tr>
    </w:tbl>
    <w:p>
      <w:pPr>
        <w:spacing w:line="240" w:lineRule="auto" w:after="40" w:before="80"/>
        <w:jc w:val="both"/>
      </w:pPr>
      <w:r>
        <w:rPr>
          <w:sz w:val="18"/>
        </w:rPr>
        <w:t>Note: The bias bound is M̄ times the largest change between consecutive pre-coverage estimates times the weighted mean of (e + 1) over event years 0 to 3 (Eq. 10). The robust interval widens the bootstrap 95% interval by this bound.</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S6. Scored firms and control firms by event year for ln(MTB)</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872"/>
        <w:gridCol w:w="1584"/>
        <w:gridCol w:w="3168"/>
      </w:tblGrid>
      <w:tr>
        <w:tc>
          <w:tcPr>
            <w:tcW w:type="dxa" w:w="1728"/>
            <w:tcBorders>
              <w:top w:val="single" w:sz="6" w:color="000000"/>
              <w:bottom w:val="single" w:sz="6" w:color="000000"/>
            </w:tcBorders>
          </w:tcPr>
          <w:p>
            <w:pPr>
              <w:spacing w:after="0" w:line="240" w:lineRule="auto"/>
            </w:pPr>
            <w:r/>
            <w:r>
              <w:rPr>
                <w:b/>
                <w:sz w:val="20"/>
              </w:rPr>
              <w:t>Event year</w:t>
            </w:r>
          </w:p>
        </w:tc>
        <w:tc>
          <w:tcPr>
            <w:tcW w:type="dxa" w:w="1872"/>
            <w:tcBorders>
              <w:top w:val="single" w:sz="6" w:color="000000"/>
              <w:bottom w:val="single" w:sz="6" w:color="000000"/>
            </w:tcBorders>
          </w:tcPr>
          <w:p>
            <w:pPr>
              <w:spacing w:after="0" w:line="240" w:lineRule="auto"/>
              <w:jc w:val="center"/>
            </w:pPr>
            <w:r/>
            <w:r>
              <w:rPr>
                <w:b/>
                <w:sz w:val="20"/>
              </w:rPr>
              <w:t>Scored firms</w:t>
            </w:r>
          </w:p>
        </w:tc>
        <w:tc>
          <w:tcPr>
            <w:tcW w:type="dxa" w:w="1584"/>
            <w:tcBorders>
              <w:top w:val="single" w:sz="6" w:color="000000"/>
              <w:bottom w:val="single" w:sz="6" w:color="000000"/>
            </w:tcBorders>
          </w:tcPr>
          <w:p>
            <w:pPr>
              <w:spacing w:after="0" w:line="240" w:lineRule="auto"/>
              <w:jc w:val="center"/>
            </w:pPr>
            <w:r/>
            <w:r>
              <w:rPr>
                <w:b/>
                <w:sz w:val="20"/>
              </w:rPr>
              <w:t>Cohorts</w:t>
            </w:r>
          </w:p>
        </w:tc>
        <w:tc>
          <w:tcPr>
            <w:tcW w:type="dxa" w:w="3168"/>
            <w:tcBorders>
              <w:top w:val="single" w:sz="6" w:color="000000"/>
              <w:bottom w:val="single" w:sz="6" w:color="000000"/>
            </w:tcBorders>
          </w:tcPr>
          <w:p>
            <w:pPr>
              <w:spacing w:after="0" w:line="240" w:lineRule="auto"/>
              <w:jc w:val="center"/>
            </w:pPr>
            <w:r/>
            <w:r>
              <w:rPr>
                <w:b/>
                <w:sz w:val="20"/>
              </w:rPr>
              <w:t>Control firms (range)</w:t>
            </w:r>
          </w:p>
        </w:tc>
      </w:tr>
      <w:tr>
        <w:tc>
          <w:tcPr>
            <w:tcW w:type="dxa" w:w="1728"/>
          </w:tcPr>
          <w:p>
            <w:pPr>
              <w:spacing w:after="0" w:line="240" w:lineRule="auto"/>
            </w:pPr>
            <w:r/>
            <w:r>
              <w:rPr>
                <w:sz w:val="20"/>
              </w:rPr>
              <w:t>−5</w:t>
            </w:r>
          </w:p>
        </w:tc>
        <w:tc>
          <w:tcPr>
            <w:tcW w:type="dxa" w:w="1872"/>
          </w:tcPr>
          <w:p>
            <w:pPr>
              <w:spacing w:after="0" w:line="240" w:lineRule="auto"/>
              <w:jc w:val="center"/>
            </w:pPr>
            <w:r/>
            <w:r>
              <w:rPr>
                <w:sz w:val="20"/>
              </w:rPr>
              <w:t>497</w:t>
            </w:r>
          </w:p>
        </w:tc>
        <w:tc>
          <w:tcPr>
            <w:tcW w:type="dxa" w:w="1584"/>
          </w:tcPr>
          <w:p>
            <w:pPr>
              <w:spacing w:after="0" w:line="240" w:lineRule="auto"/>
              <w:jc w:val="center"/>
            </w:pPr>
            <w:r/>
            <w:r>
              <w:rPr>
                <w:sz w:val="20"/>
              </w:rPr>
              <w:t>6</w:t>
            </w:r>
          </w:p>
        </w:tc>
        <w:tc>
          <w:tcPr>
            <w:tcW w:type="dxa" w:w="3168"/>
          </w:tcPr>
          <w:p>
            <w:pPr>
              <w:spacing w:after="0" w:line="240" w:lineRule="auto"/>
              <w:jc w:val="center"/>
            </w:pPr>
            <w:r/>
            <w:r>
              <w:rPr>
                <w:sz w:val="20"/>
              </w:rPr>
              <w:t>1,420–1,732</w:t>
            </w:r>
          </w:p>
        </w:tc>
      </w:tr>
      <w:tr>
        <w:tc>
          <w:tcPr>
            <w:tcW w:type="dxa" w:w="1728"/>
          </w:tcPr>
          <w:p>
            <w:pPr>
              <w:spacing w:after="0" w:line="240" w:lineRule="auto"/>
            </w:pPr>
            <w:r/>
            <w:r>
              <w:rPr>
                <w:sz w:val="20"/>
              </w:rPr>
              <w:t>−4</w:t>
            </w:r>
          </w:p>
        </w:tc>
        <w:tc>
          <w:tcPr>
            <w:tcW w:type="dxa" w:w="1872"/>
          </w:tcPr>
          <w:p>
            <w:pPr>
              <w:spacing w:after="0" w:line="240" w:lineRule="auto"/>
              <w:jc w:val="center"/>
            </w:pPr>
            <w:r/>
            <w:r>
              <w:rPr>
                <w:sz w:val="20"/>
              </w:rPr>
              <w:t>521</w:t>
            </w:r>
          </w:p>
        </w:tc>
        <w:tc>
          <w:tcPr>
            <w:tcW w:type="dxa" w:w="1584"/>
          </w:tcPr>
          <w:p>
            <w:pPr>
              <w:spacing w:after="0" w:line="240" w:lineRule="auto"/>
              <w:jc w:val="center"/>
            </w:pPr>
            <w:r/>
            <w:r>
              <w:rPr>
                <w:sz w:val="20"/>
              </w:rPr>
              <w:t>7</w:t>
            </w:r>
          </w:p>
        </w:tc>
        <w:tc>
          <w:tcPr>
            <w:tcW w:type="dxa" w:w="3168"/>
          </w:tcPr>
          <w:p>
            <w:pPr>
              <w:spacing w:after="0" w:line="240" w:lineRule="auto"/>
              <w:jc w:val="center"/>
            </w:pPr>
            <w:r/>
            <w:r>
              <w:rPr>
                <w:sz w:val="20"/>
              </w:rPr>
              <w:t>1,431–1,800</w:t>
            </w:r>
          </w:p>
        </w:tc>
      </w:tr>
      <w:tr>
        <w:tc>
          <w:tcPr>
            <w:tcW w:type="dxa" w:w="1728"/>
          </w:tcPr>
          <w:p>
            <w:pPr>
              <w:spacing w:after="0" w:line="240" w:lineRule="auto"/>
            </w:pPr>
            <w:r/>
            <w:r>
              <w:rPr>
                <w:sz w:val="20"/>
              </w:rPr>
              <w:t>−3</w:t>
            </w:r>
          </w:p>
        </w:tc>
        <w:tc>
          <w:tcPr>
            <w:tcW w:type="dxa" w:w="1872"/>
          </w:tcPr>
          <w:p>
            <w:pPr>
              <w:spacing w:after="0" w:line="240" w:lineRule="auto"/>
              <w:jc w:val="center"/>
            </w:pPr>
            <w:r/>
            <w:r>
              <w:rPr>
                <w:sz w:val="20"/>
              </w:rPr>
              <w:t>549</w:t>
            </w:r>
          </w:p>
        </w:tc>
        <w:tc>
          <w:tcPr>
            <w:tcW w:type="dxa" w:w="1584"/>
          </w:tcPr>
          <w:p>
            <w:pPr>
              <w:spacing w:after="0" w:line="240" w:lineRule="auto"/>
              <w:jc w:val="center"/>
            </w:pPr>
            <w:r/>
            <w:r>
              <w:rPr>
                <w:sz w:val="20"/>
              </w:rPr>
              <w:t>8</w:t>
            </w:r>
          </w:p>
        </w:tc>
        <w:tc>
          <w:tcPr>
            <w:tcW w:type="dxa" w:w="3168"/>
          </w:tcPr>
          <w:p>
            <w:pPr>
              <w:spacing w:after="0" w:line="240" w:lineRule="auto"/>
              <w:jc w:val="center"/>
            </w:pPr>
            <w:r/>
            <w:r>
              <w:rPr>
                <w:sz w:val="20"/>
              </w:rPr>
              <w:t>1,444–1,899</w:t>
            </w:r>
          </w:p>
        </w:tc>
      </w:tr>
      <w:tr>
        <w:tc>
          <w:tcPr>
            <w:tcW w:type="dxa" w:w="1728"/>
          </w:tcPr>
          <w:p>
            <w:pPr>
              <w:spacing w:after="0" w:line="240" w:lineRule="auto"/>
            </w:pPr>
            <w:r/>
            <w:r>
              <w:rPr>
                <w:sz w:val="20"/>
              </w:rPr>
              <w:t>−2</w:t>
            </w:r>
          </w:p>
        </w:tc>
        <w:tc>
          <w:tcPr>
            <w:tcW w:type="dxa" w:w="1872"/>
          </w:tcPr>
          <w:p>
            <w:pPr>
              <w:spacing w:after="0" w:line="240" w:lineRule="auto"/>
              <w:jc w:val="center"/>
            </w:pPr>
            <w:r/>
            <w:r>
              <w:rPr>
                <w:sz w:val="20"/>
              </w:rPr>
              <w:t>581</w:t>
            </w:r>
          </w:p>
        </w:tc>
        <w:tc>
          <w:tcPr>
            <w:tcW w:type="dxa" w:w="1584"/>
          </w:tcPr>
          <w:p>
            <w:pPr>
              <w:spacing w:after="0" w:line="240" w:lineRule="auto"/>
              <w:jc w:val="center"/>
            </w:pPr>
            <w:r/>
            <w:r>
              <w:rPr>
                <w:sz w:val="20"/>
              </w:rPr>
              <w:t>9</w:t>
            </w:r>
          </w:p>
        </w:tc>
        <w:tc>
          <w:tcPr>
            <w:tcW w:type="dxa" w:w="3168"/>
          </w:tcPr>
          <w:p>
            <w:pPr>
              <w:spacing w:after="0" w:line="240" w:lineRule="auto"/>
              <w:jc w:val="center"/>
            </w:pPr>
            <w:r/>
            <w:r>
              <w:rPr>
                <w:sz w:val="20"/>
              </w:rPr>
              <w:t>1,455–2,065</w:t>
            </w:r>
          </w:p>
        </w:tc>
      </w:tr>
      <w:tr>
        <w:tc>
          <w:tcPr>
            <w:tcW w:type="dxa" w:w="1728"/>
          </w:tcPr>
          <w:p>
            <w:pPr>
              <w:spacing w:after="0" w:line="240" w:lineRule="auto"/>
            </w:pPr>
            <w:r/>
            <w:r>
              <w:rPr>
                <w:sz w:val="20"/>
              </w:rPr>
              <w:t>0</w:t>
            </w:r>
          </w:p>
        </w:tc>
        <w:tc>
          <w:tcPr>
            <w:tcW w:type="dxa" w:w="1872"/>
          </w:tcPr>
          <w:p>
            <w:pPr>
              <w:spacing w:after="0" w:line="240" w:lineRule="auto"/>
              <w:jc w:val="center"/>
            </w:pPr>
            <w:r/>
            <w:r>
              <w:rPr>
                <w:sz w:val="20"/>
              </w:rPr>
              <w:t>615</w:t>
            </w:r>
          </w:p>
        </w:tc>
        <w:tc>
          <w:tcPr>
            <w:tcW w:type="dxa" w:w="1584"/>
          </w:tcPr>
          <w:p>
            <w:pPr>
              <w:spacing w:after="0" w:line="240" w:lineRule="auto"/>
              <w:jc w:val="center"/>
            </w:pPr>
            <w:r/>
            <w:r>
              <w:rPr>
                <w:sz w:val="20"/>
              </w:rPr>
              <w:t>10</w:t>
            </w:r>
          </w:p>
        </w:tc>
        <w:tc>
          <w:tcPr>
            <w:tcW w:type="dxa" w:w="3168"/>
          </w:tcPr>
          <w:p>
            <w:pPr>
              <w:spacing w:after="0" w:line="240" w:lineRule="auto"/>
              <w:jc w:val="center"/>
            </w:pPr>
            <w:r/>
            <w:r>
              <w:rPr>
                <w:sz w:val="20"/>
              </w:rPr>
              <w:t>1,453–2,189</w:t>
            </w:r>
          </w:p>
        </w:tc>
      </w:tr>
      <w:tr>
        <w:tc>
          <w:tcPr>
            <w:tcW w:type="dxa" w:w="1728"/>
          </w:tcPr>
          <w:p>
            <w:pPr>
              <w:spacing w:after="0" w:line="240" w:lineRule="auto"/>
            </w:pPr>
            <w:r/>
            <w:r>
              <w:rPr>
                <w:sz w:val="20"/>
              </w:rPr>
              <w:t>1</w:t>
            </w:r>
          </w:p>
        </w:tc>
        <w:tc>
          <w:tcPr>
            <w:tcW w:type="dxa" w:w="1872"/>
          </w:tcPr>
          <w:p>
            <w:pPr>
              <w:spacing w:after="0" w:line="240" w:lineRule="auto"/>
              <w:jc w:val="center"/>
            </w:pPr>
            <w:r/>
            <w:r>
              <w:rPr>
                <w:sz w:val="20"/>
              </w:rPr>
              <w:t>578</w:t>
            </w:r>
          </w:p>
        </w:tc>
        <w:tc>
          <w:tcPr>
            <w:tcW w:type="dxa" w:w="1584"/>
          </w:tcPr>
          <w:p>
            <w:pPr>
              <w:spacing w:after="0" w:line="240" w:lineRule="auto"/>
              <w:jc w:val="center"/>
            </w:pPr>
            <w:r/>
            <w:r>
              <w:rPr>
                <w:sz w:val="20"/>
              </w:rPr>
              <w:t>9</w:t>
            </w:r>
          </w:p>
        </w:tc>
        <w:tc>
          <w:tcPr>
            <w:tcW w:type="dxa" w:w="3168"/>
          </w:tcPr>
          <w:p>
            <w:pPr>
              <w:spacing w:after="0" w:line="240" w:lineRule="auto"/>
              <w:jc w:val="center"/>
            </w:pPr>
            <w:r/>
            <w:r>
              <w:rPr>
                <w:sz w:val="20"/>
              </w:rPr>
              <w:t>1,442–2,034</w:t>
            </w:r>
          </w:p>
        </w:tc>
      </w:tr>
      <w:tr>
        <w:tc>
          <w:tcPr>
            <w:tcW w:type="dxa" w:w="1728"/>
          </w:tcPr>
          <w:p>
            <w:pPr>
              <w:spacing w:after="0" w:line="240" w:lineRule="auto"/>
            </w:pPr>
            <w:r/>
            <w:r>
              <w:rPr>
                <w:sz w:val="20"/>
              </w:rPr>
              <w:t>2</w:t>
            </w:r>
          </w:p>
        </w:tc>
        <w:tc>
          <w:tcPr>
            <w:tcW w:type="dxa" w:w="1872"/>
          </w:tcPr>
          <w:p>
            <w:pPr>
              <w:spacing w:after="0" w:line="240" w:lineRule="auto"/>
              <w:jc w:val="center"/>
            </w:pPr>
            <w:r/>
            <w:r>
              <w:rPr>
                <w:sz w:val="20"/>
              </w:rPr>
              <w:t>483</w:t>
            </w:r>
          </w:p>
        </w:tc>
        <w:tc>
          <w:tcPr>
            <w:tcW w:type="dxa" w:w="1584"/>
          </w:tcPr>
          <w:p>
            <w:pPr>
              <w:spacing w:after="0" w:line="240" w:lineRule="auto"/>
              <w:jc w:val="center"/>
            </w:pPr>
            <w:r/>
            <w:r>
              <w:rPr>
                <w:sz w:val="20"/>
              </w:rPr>
              <w:t>8</w:t>
            </w:r>
          </w:p>
        </w:tc>
        <w:tc>
          <w:tcPr>
            <w:tcW w:type="dxa" w:w="3168"/>
          </w:tcPr>
          <w:p>
            <w:pPr>
              <w:spacing w:after="0" w:line="240" w:lineRule="auto"/>
              <w:jc w:val="center"/>
            </w:pPr>
            <w:r/>
            <w:r>
              <w:rPr>
                <w:sz w:val="20"/>
              </w:rPr>
              <w:t>1,430–1,895</w:t>
            </w:r>
          </w:p>
        </w:tc>
      </w:tr>
      <w:tr>
        <w:tc>
          <w:tcPr>
            <w:tcW w:type="dxa" w:w="1728"/>
          </w:tcPr>
          <w:p>
            <w:pPr>
              <w:spacing w:after="0" w:line="240" w:lineRule="auto"/>
            </w:pPr>
            <w:r/>
            <w:r>
              <w:rPr>
                <w:sz w:val="20"/>
              </w:rPr>
              <w:t>3</w:t>
            </w:r>
          </w:p>
        </w:tc>
        <w:tc>
          <w:tcPr>
            <w:tcW w:type="dxa" w:w="1872"/>
          </w:tcPr>
          <w:p>
            <w:pPr>
              <w:spacing w:after="0" w:line="240" w:lineRule="auto"/>
              <w:jc w:val="center"/>
            </w:pPr>
            <w:r/>
            <w:r>
              <w:rPr>
                <w:sz w:val="20"/>
              </w:rPr>
              <w:t>270</w:t>
            </w:r>
          </w:p>
        </w:tc>
        <w:tc>
          <w:tcPr>
            <w:tcW w:type="dxa" w:w="1584"/>
          </w:tcPr>
          <w:p>
            <w:pPr>
              <w:spacing w:after="0" w:line="240" w:lineRule="auto"/>
              <w:jc w:val="center"/>
            </w:pPr>
            <w:r/>
            <w:r>
              <w:rPr>
                <w:sz w:val="20"/>
              </w:rPr>
              <w:t>7</w:t>
            </w:r>
          </w:p>
        </w:tc>
        <w:tc>
          <w:tcPr>
            <w:tcW w:type="dxa" w:w="3168"/>
          </w:tcPr>
          <w:p>
            <w:pPr>
              <w:spacing w:after="0" w:line="240" w:lineRule="auto"/>
              <w:jc w:val="center"/>
            </w:pPr>
            <w:r/>
            <w:r>
              <w:rPr>
                <w:sz w:val="20"/>
              </w:rPr>
              <w:t>1,418–1,796</w:t>
            </w:r>
          </w:p>
        </w:tc>
      </w:tr>
      <w:tr>
        <w:tc>
          <w:tcPr>
            <w:tcW w:type="dxa" w:w="1728"/>
            <w:tcBorders>
              <w:bottom w:val="single" w:sz="6" w:color="000000"/>
            </w:tcBorders>
          </w:tcPr>
          <w:p>
            <w:pPr>
              <w:spacing w:after="0" w:line="240" w:lineRule="auto"/>
            </w:pPr>
            <w:r/>
            <w:r>
              <w:rPr>
                <w:sz w:val="20"/>
              </w:rPr>
              <w:t>4</w:t>
            </w:r>
          </w:p>
        </w:tc>
        <w:tc>
          <w:tcPr>
            <w:tcW w:type="dxa" w:w="1872"/>
            <w:tcBorders>
              <w:bottom w:val="single" w:sz="6" w:color="000000"/>
            </w:tcBorders>
          </w:tcPr>
          <w:p>
            <w:pPr>
              <w:spacing w:after="0" w:line="240" w:lineRule="auto"/>
              <w:jc w:val="center"/>
            </w:pPr>
            <w:r/>
            <w:r>
              <w:rPr>
                <w:sz w:val="20"/>
              </w:rPr>
              <w:t>141</w:t>
            </w:r>
          </w:p>
        </w:tc>
        <w:tc>
          <w:tcPr>
            <w:tcW w:type="dxa" w:w="1584"/>
            <w:tcBorders>
              <w:bottom w:val="single" w:sz="6" w:color="000000"/>
            </w:tcBorders>
          </w:tcPr>
          <w:p>
            <w:pPr>
              <w:spacing w:after="0" w:line="240" w:lineRule="auto"/>
              <w:jc w:val="center"/>
            </w:pPr>
            <w:r/>
            <w:r>
              <w:rPr>
                <w:sz w:val="20"/>
              </w:rPr>
              <w:t>6</w:t>
            </w:r>
          </w:p>
        </w:tc>
        <w:tc>
          <w:tcPr>
            <w:tcW w:type="dxa" w:w="3168"/>
            <w:tcBorders>
              <w:bottom w:val="single" w:sz="6" w:color="000000"/>
            </w:tcBorders>
          </w:tcPr>
          <w:p>
            <w:pPr>
              <w:spacing w:after="0" w:line="240" w:lineRule="auto"/>
              <w:jc w:val="center"/>
            </w:pPr>
            <w:r/>
            <w:r>
              <w:rPr>
                <w:sz w:val="20"/>
              </w:rPr>
              <w:t>1,407–1,732</w:t>
            </w:r>
          </w:p>
        </w:tc>
      </w:tr>
    </w:tbl>
    <w:p>
      <w:pPr>
        <w:spacing w:line="240" w:lineRule="auto" w:after="40" w:before="80"/>
        <w:jc w:val="both"/>
      </w:pPr>
      <w:r>
        <w:rPr>
          <w:sz w:val="18"/>
        </w:rPr>
        <w:t>Note: Scored firms are summed over cohorts; control firms are the smallest and largest number of never-scored firms across cohort cells.</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S7. Alternative specifications, inference, and initial-score splits for the average effect of the first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311"/>
        <w:gridCol w:w="1584"/>
        <w:gridCol w:w="1080"/>
        <w:gridCol w:w="1584"/>
        <w:gridCol w:w="1080"/>
      </w:tblGrid>
      <w:tr>
        <w:tc>
          <w:tcPr>
            <w:tcW w:type="dxa" w:w="3312"/>
            <w:tcBorders>
              <w:top w:val="single" w:sz="6" w:color="000000"/>
              <w:bottom w:val="single" w:sz="6" w:color="000000"/>
            </w:tcBorders>
          </w:tcPr>
          <w:p>
            <w:pPr>
              <w:spacing w:after="0" w:line="240" w:lineRule="auto"/>
            </w:pPr>
            <w:r/>
            <w:r>
              <w:rPr>
                <w:b/>
                <w:sz w:val="20"/>
              </w:rPr>
              <w:t>Specification</w:t>
            </w:r>
          </w:p>
        </w:tc>
        <w:tc>
          <w:tcPr>
            <w:tcW w:type="dxa" w:w="1584"/>
            <w:tcBorders>
              <w:top w:val="single" w:sz="6" w:color="000000"/>
              <w:bottom w:val="single" w:sz="6" w:color="000000"/>
            </w:tcBorders>
          </w:tcPr>
          <w:p>
            <w:pPr>
              <w:spacing w:after="0" w:line="240" w:lineRule="auto"/>
              <w:jc w:val="center"/>
            </w:pPr>
            <w:r/>
            <w:r>
              <w:rPr>
                <w:b/>
                <w:sz w:val="20"/>
              </w:rPr>
              <w:t>ln(MTB)</w:t>
            </w:r>
          </w:p>
        </w:tc>
        <w:tc>
          <w:tcPr>
            <w:tcW w:type="dxa" w:w="1080"/>
            <w:tcBorders>
              <w:top w:val="single" w:sz="6" w:color="000000"/>
              <w:bottom w:val="single" w:sz="6" w:color="000000"/>
            </w:tcBorders>
          </w:tcPr>
          <w:p>
            <w:pPr>
              <w:spacing w:after="0" w:line="240" w:lineRule="auto"/>
              <w:jc w:val="center"/>
            </w:pPr>
            <w:r/>
            <w:r>
              <w:rPr>
                <w:b/>
                <w:sz w:val="20"/>
              </w:rPr>
              <w:t>Pre-trend p</w:t>
            </w:r>
          </w:p>
        </w:tc>
        <w:tc>
          <w:tcPr>
            <w:tcW w:type="dxa" w:w="1584"/>
            <w:tcBorders>
              <w:top w:val="single" w:sz="6" w:color="000000"/>
              <w:bottom w:val="single" w:sz="6" w:color="000000"/>
            </w:tcBorders>
          </w:tcPr>
          <w:p>
            <w:pPr>
              <w:spacing w:after="0" w:line="240" w:lineRule="auto"/>
              <w:jc w:val="center"/>
            </w:pPr>
            <w:r/>
            <w:r>
              <w:rPr>
                <w:b/>
                <w:sz w:val="20"/>
              </w:rPr>
              <w:t>ln(market cap)</w:t>
            </w:r>
          </w:p>
        </w:tc>
        <w:tc>
          <w:tcPr>
            <w:tcW w:type="dxa" w:w="1080"/>
            <w:tcBorders>
              <w:top w:val="single" w:sz="6" w:color="000000"/>
              <w:bottom w:val="single" w:sz="6" w:color="000000"/>
            </w:tcBorders>
          </w:tcPr>
          <w:p>
            <w:pPr>
              <w:spacing w:after="0" w:line="240" w:lineRule="auto"/>
              <w:jc w:val="center"/>
            </w:pPr>
            <w:r/>
            <w:r>
              <w:rPr>
                <w:b/>
                <w:sz w:val="20"/>
              </w:rPr>
              <w:t xml:space="preserve">Pre-trend p </w:t>
            </w:r>
          </w:p>
        </w:tc>
      </w:tr>
      <w:tr>
        <w:tc>
          <w:tcPr>
            <w:tcW w:type="dxa" w:w="3312"/>
          </w:tcPr>
          <w:p>
            <w:pPr>
              <w:spacing w:after="0" w:line="240" w:lineRule="auto"/>
            </w:pPr>
            <w:r/>
            <w:r>
              <w:rPr>
                <w:sz w:val="20"/>
              </w:rPr>
              <w:t>Baseline</w:t>
            </w:r>
          </w:p>
        </w:tc>
        <w:tc>
          <w:tcPr>
            <w:tcW w:type="dxa" w:w="1584"/>
          </w:tcPr>
          <w:p>
            <w:pPr>
              <w:spacing w:after="0" w:line="240" w:lineRule="auto"/>
              <w:jc w:val="center"/>
            </w:pPr>
            <w:r/>
            <w:r>
              <w:rPr>
                <w:sz w:val="20"/>
              </w:rPr>
              <w:t>0.002 (0.024)</w:t>
            </w:r>
          </w:p>
        </w:tc>
        <w:tc>
          <w:tcPr>
            <w:tcW w:type="dxa" w:w="1080"/>
          </w:tcPr>
          <w:p>
            <w:pPr>
              <w:spacing w:after="0" w:line="240" w:lineRule="auto"/>
              <w:jc w:val="center"/>
            </w:pPr>
            <w:r/>
            <w:r>
              <w:rPr>
                <w:sz w:val="20"/>
              </w:rPr>
              <w:t>0.074</w:t>
            </w:r>
          </w:p>
        </w:tc>
        <w:tc>
          <w:tcPr>
            <w:tcW w:type="dxa" w:w="1584"/>
          </w:tcPr>
          <w:p>
            <w:pPr>
              <w:spacing w:after="0" w:line="240" w:lineRule="auto"/>
              <w:jc w:val="center"/>
            </w:pPr>
            <w:r/>
            <w:r>
              <w:rPr>
                <w:sz w:val="20"/>
              </w:rPr>
              <w:t>−0.055* (0.030)</w:t>
            </w:r>
          </w:p>
        </w:tc>
        <w:tc>
          <w:tcPr>
            <w:tcW w:type="dxa" w:w="1080"/>
          </w:tcPr>
          <w:p>
            <w:pPr>
              <w:spacing w:after="0" w:line="240" w:lineRule="auto"/>
              <w:jc w:val="center"/>
            </w:pPr>
            <w:r/>
            <w:r>
              <w:rPr>
                <w:sz w:val="20"/>
              </w:rPr>
              <w:t>0.022</w:t>
            </w:r>
          </w:p>
        </w:tc>
      </w:tr>
      <w:tr>
        <w:tc>
          <w:tcPr>
            <w:tcW w:type="dxa" w:w="3312"/>
          </w:tcPr>
          <w:p>
            <w:pPr>
              <w:spacing w:after="0" w:line="240" w:lineRule="auto"/>
            </w:pPr>
            <w:r/>
            <w:r>
              <w:rPr>
                <w:sz w:val="20"/>
              </w:rPr>
              <w:t>Baseline, market-by-industry cluster bootstrap</w:t>
            </w:r>
          </w:p>
        </w:tc>
        <w:tc>
          <w:tcPr>
            <w:tcW w:type="dxa" w:w="1584"/>
          </w:tcPr>
          <w:p>
            <w:pPr>
              <w:spacing w:after="0" w:line="240" w:lineRule="auto"/>
              <w:jc w:val="center"/>
            </w:pPr>
            <w:r/>
            <w:r>
              <w:rPr>
                <w:sz w:val="20"/>
              </w:rPr>
              <w:t>0.002 (0.027)</w:t>
            </w:r>
          </w:p>
        </w:tc>
        <w:tc>
          <w:tcPr>
            <w:tcW w:type="dxa" w:w="1080"/>
          </w:tcPr>
          <w:p>
            <w:pPr>
              <w:spacing w:after="0" w:line="240" w:lineRule="auto"/>
              <w:jc w:val="center"/>
            </w:pPr>
            <w:r/>
            <w:r>
              <w:rPr>
                <w:sz w:val="20"/>
              </w:rPr>
              <w:t>0.225</w:t>
            </w:r>
          </w:p>
        </w:tc>
        <w:tc>
          <w:tcPr>
            <w:tcW w:type="dxa" w:w="1584"/>
          </w:tcPr>
          <w:p>
            <w:pPr>
              <w:spacing w:after="0" w:line="240" w:lineRule="auto"/>
              <w:jc w:val="center"/>
            </w:pPr>
            <w:r/>
            <w:r>
              <w:rPr>
                <w:sz w:val="20"/>
              </w:rPr>
              <w:t>−0.055 (0.037)</w:t>
            </w:r>
          </w:p>
        </w:tc>
        <w:tc>
          <w:tcPr>
            <w:tcW w:type="dxa" w:w="1080"/>
          </w:tcPr>
          <w:p>
            <w:pPr>
              <w:spacing w:after="0" w:line="240" w:lineRule="auto"/>
              <w:jc w:val="center"/>
            </w:pPr>
            <w:r/>
            <w:r>
              <w:rPr>
                <w:sz w:val="20"/>
              </w:rPr>
              <w:t>0.001</w:t>
            </w:r>
          </w:p>
        </w:tc>
      </w:tr>
      <w:tr>
        <w:tc>
          <w:tcPr>
            <w:tcW w:type="dxa" w:w="3312"/>
          </w:tcPr>
          <w:p>
            <w:pPr>
              <w:spacing w:after="0" w:line="240" w:lineRule="auto"/>
            </w:pPr>
            <w:r/>
            <w:r>
              <w:rPr>
                <w:sz w:val="20"/>
              </w:rPr>
              <w:t>R10, market-by-industry cluster bootstrap</w:t>
            </w:r>
          </w:p>
        </w:tc>
        <w:tc>
          <w:tcPr>
            <w:tcW w:type="dxa" w:w="1584"/>
          </w:tcPr>
          <w:p>
            <w:pPr>
              <w:spacing w:after="0" w:line="240" w:lineRule="auto"/>
              <w:jc w:val="center"/>
            </w:pPr>
            <w:r/>
            <w:r>
              <w:rPr>
                <w:sz w:val="20"/>
              </w:rPr>
              <w:t>−0.068*** (0.026)</w:t>
            </w:r>
          </w:p>
        </w:tc>
        <w:tc>
          <w:tcPr>
            <w:tcW w:type="dxa" w:w="1080"/>
          </w:tcPr>
          <w:p>
            <w:pPr>
              <w:spacing w:after="0" w:line="240" w:lineRule="auto"/>
              <w:jc w:val="center"/>
            </w:pPr>
            <w:r/>
            <w:r>
              <w:rPr>
                <w:sz w:val="20"/>
              </w:rPr>
              <w:t>0.237</w:t>
            </w:r>
          </w:p>
        </w:tc>
        <w:tc>
          <w:tcPr>
            <w:tcW w:type="dxa" w:w="1584"/>
          </w:tcPr>
          <w:p>
            <w:pPr>
              <w:spacing w:after="0" w:line="240" w:lineRule="auto"/>
              <w:jc w:val="center"/>
            </w:pPr>
            <w:r/>
            <w:r>
              <w:rPr>
                <w:sz w:val="20"/>
              </w:rPr>
              <w:t>−0.073** (0.031)</w:t>
            </w:r>
          </w:p>
        </w:tc>
        <w:tc>
          <w:tcPr>
            <w:tcW w:type="dxa" w:w="1080"/>
          </w:tcPr>
          <w:p>
            <w:pPr>
              <w:spacing w:after="0" w:line="240" w:lineRule="auto"/>
              <w:jc w:val="center"/>
            </w:pPr>
            <w:r/>
            <w:r>
              <w:rPr>
                <w:sz w:val="20"/>
              </w:rPr>
              <w:t>0.002</w:t>
            </w:r>
          </w:p>
        </w:tc>
      </w:tr>
      <w:tr>
        <w:tc>
          <w:tcPr>
            <w:tcW w:type="dxa" w:w="3312"/>
          </w:tcPr>
          <w:p>
            <w:pPr>
              <w:spacing w:after="0" w:line="240" w:lineRule="auto"/>
            </w:pPr>
            <w:r/>
            <w:r>
              <w:rPr>
                <w:sz w:val="20"/>
              </w:rPr>
              <w:t>No covariates</w:t>
            </w:r>
          </w:p>
        </w:tc>
        <w:tc>
          <w:tcPr>
            <w:tcW w:type="dxa" w:w="1584"/>
          </w:tcPr>
          <w:p>
            <w:pPr>
              <w:spacing w:after="0" w:line="240" w:lineRule="auto"/>
              <w:jc w:val="center"/>
            </w:pPr>
            <w:r/>
            <w:r>
              <w:rPr>
                <w:sz w:val="20"/>
              </w:rPr>
              <w:t>0.025 (0.022)</w:t>
            </w:r>
          </w:p>
        </w:tc>
        <w:tc>
          <w:tcPr>
            <w:tcW w:type="dxa" w:w="1080"/>
          </w:tcPr>
          <w:p>
            <w:pPr>
              <w:spacing w:after="0" w:line="240" w:lineRule="auto"/>
              <w:jc w:val="center"/>
            </w:pPr>
            <w:r/>
            <w:r>
              <w:rPr>
                <w:sz w:val="20"/>
              </w:rPr>
              <w:t>0.028</w:t>
            </w:r>
          </w:p>
        </w:tc>
        <w:tc>
          <w:tcPr>
            <w:tcW w:type="dxa" w:w="1584"/>
          </w:tcPr>
          <w:p>
            <w:pPr>
              <w:spacing w:after="0" w:line="240" w:lineRule="auto"/>
              <w:jc w:val="center"/>
            </w:pPr>
            <w:r/>
            <w:r>
              <w:rPr>
                <w:sz w:val="20"/>
              </w:rPr>
              <w:t>0.016 (0.025)</w:t>
            </w:r>
          </w:p>
        </w:tc>
        <w:tc>
          <w:tcPr>
            <w:tcW w:type="dxa" w:w="1080"/>
          </w:tcPr>
          <w:p>
            <w:pPr>
              <w:spacing w:after="0" w:line="240" w:lineRule="auto"/>
              <w:jc w:val="center"/>
            </w:pPr>
            <w:r/>
            <w:r>
              <w:rPr>
                <w:sz w:val="20"/>
              </w:rPr>
              <w:t>&lt;0.001</w:t>
            </w:r>
          </w:p>
        </w:tc>
      </w:tr>
      <w:tr>
        <w:tc>
          <w:tcPr>
            <w:tcW w:type="dxa" w:w="3312"/>
          </w:tcPr>
          <w:p>
            <w:pPr>
              <w:spacing w:after="0" w:line="240" w:lineRule="auto"/>
            </w:pPr>
            <w:r/>
            <w:r>
              <w:rPr>
                <w:sz w:val="20"/>
              </w:rPr>
              <w:t>Size measured at g − 3</w:t>
            </w:r>
          </w:p>
        </w:tc>
        <w:tc>
          <w:tcPr>
            <w:tcW w:type="dxa" w:w="1584"/>
          </w:tcPr>
          <w:p>
            <w:pPr>
              <w:spacing w:after="0" w:line="240" w:lineRule="auto"/>
              <w:jc w:val="center"/>
            </w:pPr>
            <w:r/>
            <w:r>
              <w:rPr>
                <w:sz w:val="20"/>
              </w:rPr>
              <w:t>−0.008 (0.025)</w:t>
            </w:r>
          </w:p>
        </w:tc>
        <w:tc>
          <w:tcPr>
            <w:tcW w:type="dxa" w:w="1080"/>
          </w:tcPr>
          <w:p>
            <w:pPr>
              <w:spacing w:after="0" w:line="240" w:lineRule="auto"/>
              <w:jc w:val="center"/>
            </w:pPr>
            <w:r/>
            <w:r>
              <w:rPr>
                <w:sz w:val="20"/>
              </w:rPr>
              <w:t>0.176</w:t>
            </w:r>
          </w:p>
        </w:tc>
        <w:tc>
          <w:tcPr>
            <w:tcW w:type="dxa" w:w="1584"/>
          </w:tcPr>
          <w:p>
            <w:pPr>
              <w:spacing w:after="0" w:line="240" w:lineRule="auto"/>
              <w:jc w:val="center"/>
            </w:pPr>
            <w:r/>
            <w:r>
              <w:rPr>
                <w:sz w:val="20"/>
              </w:rPr>
              <w:t>−0.059* (0.032)</w:t>
            </w:r>
          </w:p>
        </w:tc>
        <w:tc>
          <w:tcPr>
            <w:tcW w:type="dxa" w:w="1080"/>
          </w:tcPr>
          <w:p>
            <w:pPr>
              <w:spacing w:after="0" w:line="240" w:lineRule="auto"/>
              <w:jc w:val="center"/>
            </w:pPr>
            <w:r/>
            <w:r>
              <w:rPr>
                <w:sz w:val="20"/>
              </w:rPr>
              <w:t>&lt;0.001</w:t>
            </w:r>
          </w:p>
        </w:tc>
      </w:tr>
      <w:tr>
        <w:tc>
          <w:tcPr>
            <w:tcW w:type="dxa" w:w="3312"/>
          </w:tcPr>
          <w:p>
            <w:pPr>
              <w:spacing w:after="0" w:line="240" w:lineRule="auto"/>
            </w:pPr>
            <w:r/>
            <w:r>
              <w:rPr>
                <w:sz w:val="20"/>
              </w:rPr>
              <w:t>Size quintile indicators</w:t>
            </w:r>
          </w:p>
        </w:tc>
        <w:tc>
          <w:tcPr>
            <w:tcW w:type="dxa" w:w="1584"/>
          </w:tcPr>
          <w:p>
            <w:pPr>
              <w:spacing w:after="0" w:line="240" w:lineRule="auto"/>
              <w:jc w:val="center"/>
            </w:pPr>
            <w:r/>
            <w:r>
              <w:rPr>
                <w:sz w:val="20"/>
              </w:rPr>
              <w:t>−0.010 (0.023)</w:t>
            </w:r>
          </w:p>
        </w:tc>
        <w:tc>
          <w:tcPr>
            <w:tcW w:type="dxa" w:w="1080"/>
          </w:tcPr>
          <w:p>
            <w:pPr>
              <w:spacing w:after="0" w:line="240" w:lineRule="auto"/>
              <w:jc w:val="center"/>
            </w:pPr>
            <w:r/>
            <w:r>
              <w:rPr>
                <w:sz w:val="20"/>
              </w:rPr>
              <w:t>0.072</w:t>
            </w:r>
          </w:p>
        </w:tc>
        <w:tc>
          <w:tcPr>
            <w:tcW w:type="dxa" w:w="1584"/>
          </w:tcPr>
          <w:p>
            <w:pPr>
              <w:spacing w:after="0" w:line="240" w:lineRule="auto"/>
              <w:jc w:val="center"/>
            </w:pPr>
            <w:r/>
            <w:r>
              <w:rPr>
                <w:sz w:val="20"/>
              </w:rPr>
              <w:t>−0.053* (0.029)</w:t>
            </w:r>
          </w:p>
        </w:tc>
        <w:tc>
          <w:tcPr>
            <w:tcW w:type="dxa" w:w="1080"/>
          </w:tcPr>
          <w:p>
            <w:pPr>
              <w:spacing w:after="0" w:line="240" w:lineRule="auto"/>
              <w:jc w:val="center"/>
            </w:pPr>
            <w:r/>
            <w:r>
              <w:rPr>
                <w:sz w:val="20"/>
              </w:rPr>
              <w:t>0.016</w:t>
            </w:r>
          </w:p>
        </w:tc>
      </w:tr>
      <w:tr>
        <w:tc>
          <w:tcPr>
            <w:tcW w:type="dxa" w:w="3312"/>
          </w:tcPr>
          <w:p>
            <w:pPr>
              <w:spacing w:after="0" w:line="240" w:lineRule="auto"/>
            </w:pPr>
            <w:r/>
            <w:r>
              <w:rPr>
                <w:sz w:val="20"/>
              </w:rPr>
              <w:t>Scored firms within control size range</w:t>
            </w:r>
          </w:p>
        </w:tc>
        <w:tc>
          <w:tcPr>
            <w:tcW w:type="dxa" w:w="1584"/>
          </w:tcPr>
          <w:p>
            <w:pPr>
              <w:spacing w:after="0" w:line="240" w:lineRule="auto"/>
              <w:jc w:val="center"/>
            </w:pPr>
            <w:r/>
            <w:r>
              <w:rPr>
                <w:sz w:val="20"/>
              </w:rPr>
              <w:t>−0.021 (0.026)</w:t>
            </w:r>
          </w:p>
        </w:tc>
        <w:tc>
          <w:tcPr>
            <w:tcW w:type="dxa" w:w="1080"/>
          </w:tcPr>
          <w:p>
            <w:pPr>
              <w:spacing w:after="0" w:line="240" w:lineRule="auto"/>
              <w:jc w:val="center"/>
            </w:pPr>
            <w:r/>
            <w:r>
              <w:rPr>
                <w:sz w:val="20"/>
              </w:rPr>
              <w:t>0.212</w:t>
            </w:r>
          </w:p>
        </w:tc>
        <w:tc>
          <w:tcPr>
            <w:tcW w:type="dxa" w:w="1584"/>
          </w:tcPr>
          <w:p>
            <w:pPr>
              <w:spacing w:after="0" w:line="240" w:lineRule="auto"/>
              <w:jc w:val="center"/>
            </w:pPr>
            <w:r/>
            <w:r>
              <w:rPr>
                <w:sz w:val="20"/>
              </w:rPr>
              <w:t>−0.096*** (0.035)</w:t>
            </w:r>
          </w:p>
        </w:tc>
        <w:tc>
          <w:tcPr>
            <w:tcW w:type="dxa" w:w="1080"/>
          </w:tcPr>
          <w:p>
            <w:pPr>
              <w:spacing w:after="0" w:line="240" w:lineRule="auto"/>
              <w:jc w:val="center"/>
            </w:pPr>
            <w:r/>
            <w:r>
              <w:rPr>
                <w:sz w:val="20"/>
              </w:rPr>
              <w:t>0.133</w:t>
            </w:r>
          </w:p>
        </w:tc>
      </w:tr>
      <w:tr>
        <w:tc>
          <w:tcPr>
            <w:tcW w:type="dxa" w:w="3312"/>
          </w:tcPr>
          <w:p>
            <w:pPr>
              <w:spacing w:after="0" w:line="240" w:lineRule="auto"/>
            </w:pPr>
            <w:r/>
            <w:r>
              <w:rPr>
                <w:sz w:val="20"/>
              </w:rPr>
              <w:t>Dated one year later (R10)</w:t>
            </w:r>
          </w:p>
        </w:tc>
        <w:tc>
          <w:tcPr>
            <w:tcW w:type="dxa" w:w="1584"/>
          </w:tcPr>
          <w:p>
            <w:pPr>
              <w:spacing w:after="0" w:line="240" w:lineRule="auto"/>
              <w:jc w:val="center"/>
            </w:pPr>
            <w:r/>
            <w:r>
              <w:rPr>
                <w:sz w:val="20"/>
              </w:rPr>
              <w:t>−0.068*** (0.024)</w:t>
            </w:r>
          </w:p>
        </w:tc>
        <w:tc>
          <w:tcPr>
            <w:tcW w:type="dxa" w:w="1080"/>
          </w:tcPr>
          <w:p>
            <w:pPr>
              <w:spacing w:after="0" w:line="240" w:lineRule="auto"/>
              <w:jc w:val="center"/>
            </w:pPr>
            <w:r/>
            <w:r>
              <w:rPr>
                <w:sz w:val="20"/>
              </w:rPr>
              <w:t>0.072</w:t>
            </w:r>
          </w:p>
        </w:tc>
        <w:tc>
          <w:tcPr>
            <w:tcW w:type="dxa" w:w="1584"/>
          </w:tcPr>
          <w:p>
            <w:pPr>
              <w:spacing w:after="0" w:line="240" w:lineRule="auto"/>
              <w:jc w:val="center"/>
            </w:pPr>
            <w:r/>
            <w:r>
              <w:rPr>
                <w:sz w:val="20"/>
              </w:rPr>
              <w:t>−0.073** (0.030)</w:t>
            </w:r>
          </w:p>
        </w:tc>
        <w:tc>
          <w:tcPr>
            <w:tcW w:type="dxa" w:w="1080"/>
          </w:tcPr>
          <w:p>
            <w:pPr>
              <w:spacing w:after="0" w:line="240" w:lineRule="auto"/>
              <w:jc w:val="center"/>
            </w:pPr>
            <w:r/>
            <w:r>
              <w:rPr>
                <w:sz w:val="20"/>
              </w:rPr>
              <w:t>0.002</w:t>
            </w:r>
          </w:p>
        </w:tc>
      </w:tr>
      <w:tr>
        <w:tc>
          <w:tcPr>
            <w:tcW w:type="dxa" w:w="3312"/>
          </w:tcPr>
          <w:p>
            <w:pPr>
              <w:spacing w:after="0" w:line="240" w:lineRule="auto"/>
            </w:pPr>
            <w:r/>
            <w:r>
              <w:rPr>
                <w:sz w:val="20"/>
              </w:rPr>
              <w:t>R10, size at original g − 1</w:t>
            </w:r>
          </w:p>
        </w:tc>
        <w:tc>
          <w:tcPr>
            <w:tcW w:type="dxa" w:w="1584"/>
          </w:tcPr>
          <w:p>
            <w:pPr>
              <w:spacing w:after="0" w:line="240" w:lineRule="auto"/>
              <w:jc w:val="center"/>
            </w:pPr>
            <w:r/>
            <w:r>
              <w:rPr>
                <w:sz w:val="20"/>
              </w:rPr>
              <w:t>−0.074*** (0.024)</w:t>
            </w:r>
          </w:p>
        </w:tc>
        <w:tc>
          <w:tcPr>
            <w:tcW w:type="dxa" w:w="1080"/>
          </w:tcPr>
          <w:p>
            <w:pPr>
              <w:spacing w:after="0" w:line="240" w:lineRule="auto"/>
              <w:jc w:val="center"/>
            </w:pPr>
            <w:r/>
            <w:r>
              <w:rPr>
                <w:sz w:val="20"/>
              </w:rPr>
              <w:t>0.066</w:t>
            </w:r>
          </w:p>
        </w:tc>
        <w:tc>
          <w:tcPr>
            <w:tcW w:type="dxa" w:w="1584"/>
          </w:tcPr>
          <w:p>
            <w:pPr>
              <w:spacing w:after="0" w:line="240" w:lineRule="auto"/>
              <w:jc w:val="center"/>
            </w:pPr>
            <w:r/>
            <w:r>
              <w:rPr>
                <w:sz w:val="20"/>
              </w:rPr>
              <w:t>−0.060** (0.029)</w:t>
            </w:r>
          </w:p>
        </w:tc>
        <w:tc>
          <w:tcPr>
            <w:tcW w:type="dxa" w:w="1080"/>
          </w:tcPr>
          <w:p>
            <w:pPr>
              <w:spacing w:after="0" w:line="240" w:lineRule="auto"/>
              <w:jc w:val="center"/>
            </w:pPr>
            <w:r/>
            <w:r>
              <w:rPr>
                <w:sz w:val="20"/>
              </w:rPr>
              <w:t>0.005</w:t>
            </w:r>
          </w:p>
        </w:tc>
      </w:tr>
      <w:tr>
        <w:tc>
          <w:tcPr>
            <w:tcW w:type="dxa" w:w="3312"/>
          </w:tcPr>
          <w:p>
            <w:pPr>
              <w:spacing w:after="0" w:line="240" w:lineRule="auto"/>
            </w:pPr>
            <w:r/>
            <w:r>
              <w:rPr>
                <w:sz w:val="20"/>
              </w:rPr>
              <w:t>Dated two years later</w:t>
            </w:r>
          </w:p>
        </w:tc>
        <w:tc>
          <w:tcPr>
            <w:tcW w:type="dxa" w:w="1584"/>
          </w:tcPr>
          <w:p>
            <w:pPr>
              <w:spacing w:after="0" w:line="240" w:lineRule="auto"/>
              <w:jc w:val="center"/>
            </w:pPr>
            <w:r/>
            <w:r>
              <w:rPr>
                <w:sz w:val="20"/>
              </w:rPr>
              <w:t>−0.048* (0.025)</w:t>
            </w:r>
          </w:p>
        </w:tc>
        <w:tc>
          <w:tcPr>
            <w:tcW w:type="dxa" w:w="1080"/>
          </w:tcPr>
          <w:p>
            <w:pPr>
              <w:spacing w:after="0" w:line="240" w:lineRule="auto"/>
              <w:jc w:val="center"/>
            </w:pPr>
            <w:r/>
            <w:r>
              <w:rPr>
                <w:sz w:val="20"/>
              </w:rPr>
              <w:t>0.023</w:t>
            </w:r>
          </w:p>
        </w:tc>
        <w:tc>
          <w:tcPr>
            <w:tcW w:type="dxa" w:w="1584"/>
          </w:tcPr>
          <w:p>
            <w:pPr>
              <w:spacing w:after="0" w:line="240" w:lineRule="auto"/>
              <w:jc w:val="center"/>
            </w:pPr>
            <w:r/>
            <w:r>
              <w:rPr>
                <w:sz w:val="20"/>
              </w:rPr>
              <w:t>−0.022 (0.028)</w:t>
            </w:r>
          </w:p>
        </w:tc>
        <w:tc>
          <w:tcPr>
            <w:tcW w:type="dxa" w:w="1080"/>
          </w:tcPr>
          <w:p>
            <w:pPr>
              <w:spacing w:after="0" w:line="240" w:lineRule="auto"/>
              <w:jc w:val="center"/>
            </w:pPr>
            <w:r/>
            <w:r>
              <w:rPr>
                <w:sz w:val="20"/>
              </w:rPr>
              <w:t>0.076</w:t>
            </w:r>
          </w:p>
        </w:tc>
      </w:tr>
      <w:tr>
        <w:tc>
          <w:tcPr>
            <w:tcW w:type="dxa" w:w="3312"/>
          </w:tcPr>
          <w:p>
            <w:pPr>
              <w:spacing w:after="0" w:line="240" w:lineRule="auto"/>
            </w:pPr>
            <w:r/>
            <w:r>
              <w:rPr>
                <w:sz w:val="20"/>
              </w:rPr>
              <w:t>Malaysia, first scored 2021–2022</w:t>
            </w:r>
          </w:p>
        </w:tc>
        <w:tc>
          <w:tcPr>
            <w:tcW w:type="dxa" w:w="1584"/>
          </w:tcPr>
          <w:p>
            <w:pPr>
              <w:spacing w:after="0" w:line="240" w:lineRule="auto"/>
              <w:jc w:val="center"/>
            </w:pPr>
            <w:r/>
            <w:r>
              <w:rPr>
                <w:sz w:val="20"/>
              </w:rPr>
              <w:t>0.021 (0.037)</w:t>
            </w:r>
          </w:p>
        </w:tc>
        <w:tc>
          <w:tcPr>
            <w:tcW w:type="dxa" w:w="1080"/>
          </w:tcPr>
          <w:p>
            <w:pPr>
              <w:spacing w:after="0" w:line="240" w:lineRule="auto"/>
              <w:jc w:val="center"/>
            </w:pPr>
            <w:r/>
            <w:r>
              <w:rPr>
                <w:sz w:val="20"/>
              </w:rPr>
              <w:t>0.549</w:t>
            </w:r>
          </w:p>
        </w:tc>
        <w:tc>
          <w:tcPr>
            <w:tcW w:type="dxa" w:w="1584"/>
          </w:tcPr>
          <w:p>
            <w:pPr>
              <w:spacing w:after="0" w:line="240" w:lineRule="auto"/>
              <w:jc w:val="center"/>
            </w:pPr>
            <w:r/>
            <w:r>
              <w:rPr>
                <w:sz w:val="20"/>
              </w:rPr>
              <w:t>−0.146*** (0.051)</w:t>
            </w:r>
          </w:p>
        </w:tc>
        <w:tc>
          <w:tcPr>
            <w:tcW w:type="dxa" w:w="1080"/>
          </w:tcPr>
          <w:p>
            <w:pPr>
              <w:spacing w:after="0" w:line="240" w:lineRule="auto"/>
              <w:jc w:val="center"/>
            </w:pPr>
            <w:r/>
            <w:r>
              <w:rPr>
                <w:sz w:val="20"/>
              </w:rPr>
              <w:t>0.491</w:t>
            </w:r>
          </w:p>
        </w:tc>
      </w:tr>
      <w:tr>
        <w:tc>
          <w:tcPr>
            <w:tcW w:type="dxa" w:w="3312"/>
          </w:tcPr>
          <w:p>
            <w:pPr>
              <w:spacing w:after="0" w:line="240" w:lineRule="auto"/>
            </w:pPr>
            <w:r/>
            <w:r>
              <w:rPr>
                <w:sz w:val="20"/>
              </w:rPr>
              <w:t>Thailand and Singapore, 2019–2020</w:t>
            </w:r>
          </w:p>
        </w:tc>
        <w:tc>
          <w:tcPr>
            <w:tcW w:type="dxa" w:w="1584"/>
          </w:tcPr>
          <w:p>
            <w:pPr>
              <w:spacing w:after="0" w:line="240" w:lineRule="auto"/>
              <w:jc w:val="center"/>
            </w:pPr>
            <w:r/>
            <w:r>
              <w:rPr>
                <w:sz w:val="20"/>
              </w:rPr>
              <w:t>−0.009 (0.048)</w:t>
            </w:r>
          </w:p>
        </w:tc>
        <w:tc>
          <w:tcPr>
            <w:tcW w:type="dxa" w:w="1080"/>
          </w:tcPr>
          <w:p>
            <w:pPr>
              <w:spacing w:after="0" w:line="240" w:lineRule="auto"/>
              <w:jc w:val="center"/>
            </w:pPr>
            <w:r/>
            <w:r>
              <w:rPr>
                <w:sz w:val="20"/>
              </w:rPr>
              <w:t>0.006</w:t>
            </w:r>
          </w:p>
        </w:tc>
        <w:tc>
          <w:tcPr>
            <w:tcW w:type="dxa" w:w="1584"/>
          </w:tcPr>
          <w:p>
            <w:pPr>
              <w:spacing w:after="0" w:line="240" w:lineRule="auto"/>
              <w:jc w:val="center"/>
            </w:pPr>
            <w:r/>
            <w:r>
              <w:rPr>
                <w:sz w:val="20"/>
              </w:rPr>
              <w:t>0.041 (0.052)</w:t>
            </w:r>
          </w:p>
        </w:tc>
        <w:tc>
          <w:tcPr>
            <w:tcW w:type="dxa" w:w="1080"/>
          </w:tcPr>
          <w:p>
            <w:pPr>
              <w:spacing w:after="0" w:line="240" w:lineRule="auto"/>
              <w:jc w:val="center"/>
            </w:pPr>
            <w:r/>
            <w:r>
              <w:rPr>
                <w:sz w:val="20"/>
              </w:rPr>
              <w:t>&lt;0.001</w:t>
            </w:r>
          </w:p>
        </w:tc>
      </w:tr>
      <w:tr>
        <w:tc>
          <w:tcPr>
            <w:tcW w:type="dxa" w:w="3312"/>
          </w:tcPr>
          <w:p>
            <w:pPr>
              <w:spacing w:after="0" w:line="240" w:lineRule="auto"/>
            </w:pPr>
            <w:r/>
            <w:r>
              <w:rPr>
                <w:sz w:val="20"/>
              </w:rPr>
              <w:t>All other cohorts</w:t>
            </w:r>
          </w:p>
        </w:tc>
        <w:tc>
          <w:tcPr>
            <w:tcW w:type="dxa" w:w="1584"/>
          </w:tcPr>
          <w:p>
            <w:pPr>
              <w:spacing w:after="0" w:line="240" w:lineRule="auto"/>
              <w:jc w:val="center"/>
            </w:pPr>
            <w:r/>
            <w:r>
              <w:rPr>
                <w:sz w:val="20"/>
              </w:rPr>
              <w:t>−0.016 (0.034)</w:t>
            </w:r>
          </w:p>
        </w:tc>
        <w:tc>
          <w:tcPr>
            <w:tcW w:type="dxa" w:w="1080"/>
          </w:tcPr>
          <w:p>
            <w:pPr>
              <w:spacing w:after="0" w:line="240" w:lineRule="auto"/>
              <w:jc w:val="center"/>
            </w:pPr>
            <w:r/>
            <w:r>
              <w:rPr>
                <w:sz w:val="20"/>
              </w:rPr>
              <w:t>0.006</w:t>
            </w:r>
          </w:p>
        </w:tc>
        <w:tc>
          <w:tcPr>
            <w:tcW w:type="dxa" w:w="1584"/>
          </w:tcPr>
          <w:p>
            <w:pPr>
              <w:spacing w:after="0" w:line="240" w:lineRule="auto"/>
              <w:jc w:val="center"/>
            </w:pPr>
            <w:r/>
            <w:r>
              <w:rPr>
                <w:sz w:val="20"/>
              </w:rPr>
              <w:t>0.005 (0.037)</w:t>
            </w:r>
          </w:p>
        </w:tc>
        <w:tc>
          <w:tcPr>
            <w:tcW w:type="dxa" w:w="1080"/>
          </w:tcPr>
          <w:p>
            <w:pPr>
              <w:spacing w:after="0" w:line="240" w:lineRule="auto"/>
              <w:jc w:val="center"/>
            </w:pPr>
            <w:r/>
            <w:r>
              <w:rPr>
                <w:sz w:val="20"/>
              </w:rPr>
              <w:t>0.652</w:t>
            </w:r>
          </w:p>
        </w:tc>
      </w:tr>
      <w:tr>
        <w:tc>
          <w:tcPr>
            <w:tcW w:type="dxa" w:w="3312"/>
          </w:tcPr>
          <w:p>
            <w:pPr>
              <w:spacing w:after="0" w:line="240" w:lineRule="auto"/>
            </w:pPr>
            <w:r/>
            <w:r>
              <w:rPr>
                <w:sz w:val="20"/>
              </w:rPr>
              <w:t>Cohorts first scored by 2019</w:t>
            </w:r>
          </w:p>
        </w:tc>
        <w:tc>
          <w:tcPr>
            <w:tcW w:type="dxa" w:w="1584"/>
          </w:tcPr>
          <w:p>
            <w:pPr>
              <w:spacing w:after="0" w:line="240" w:lineRule="auto"/>
              <w:jc w:val="center"/>
            </w:pPr>
            <w:r/>
            <w:r>
              <w:rPr>
                <w:sz w:val="20"/>
              </w:rPr>
              <w:t>0.094** (0.047)</w:t>
            </w:r>
          </w:p>
        </w:tc>
        <w:tc>
          <w:tcPr>
            <w:tcW w:type="dxa" w:w="1080"/>
          </w:tcPr>
          <w:p>
            <w:pPr>
              <w:spacing w:after="0" w:line="240" w:lineRule="auto"/>
              <w:jc w:val="center"/>
            </w:pPr>
            <w:r/>
            <w:r>
              <w:rPr>
                <w:sz w:val="20"/>
              </w:rPr>
              <w:t>0.003</w:t>
            </w:r>
          </w:p>
        </w:tc>
        <w:tc>
          <w:tcPr>
            <w:tcW w:type="dxa" w:w="1584"/>
          </w:tcPr>
          <w:p>
            <w:pPr>
              <w:spacing w:after="0" w:line="240" w:lineRule="auto"/>
              <w:jc w:val="center"/>
            </w:pPr>
            <w:r/>
            <w:r>
              <w:rPr>
                <w:sz w:val="20"/>
              </w:rPr>
              <w:t>0.185*** (0.052)</w:t>
            </w:r>
          </w:p>
        </w:tc>
        <w:tc>
          <w:tcPr>
            <w:tcW w:type="dxa" w:w="1080"/>
          </w:tcPr>
          <w:p>
            <w:pPr>
              <w:spacing w:after="0" w:line="240" w:lineRule="auto"/>
              <w:jc w:val="center"/>
            </w:pPr>
            <w:r/>
            <w:r>
              <w:rPr>
                <w:sz w:val="20"/>
              </w:rPr>
              <w:t>&lt;0.001</w:t>
            </w:r>
          </w:p>
        </w:tc>
      </w:tr>
      <w:tr>
        <w:tc>
          <w:tcPr>
            <w:tcW w:type="dxa" w:w="3312"/>
          </w:tcPr>
          <w:p>
            <w:pPr>
              <w:spacing w:after="0" w:line="240" w:lineRule="auto"/>
            </w:pPr>
            <w:r/>
            <w:r>
              <w:rPr>
                <w:sz w:val="20"/>
              </w:rPr>
              <w:t>Cohorts first scored from 2020</w:t>
            </w:r>
          </w:p>
        </w:tc>
        <w:tc>
          <w:tcPr>
            <w:tcW w:type="dxa" w:w="1584"/>
          </w:tcPr>
          <w:p>
            <w:pPr>
              <w:spacing w:after="0" w:line="240" w:lineRule="auto"/>
              <w:jc w:val="center"/>
            </w:pPr>
            <w:r/>
            <w:r>
              <w:rPr>
                <w:sz w:val="20"/>
              </w:rPr>
              <w:t>−0.010 (0.026)</w:t>
            </w:r>
          </w:p>
        </w:tc>
        <w:tc>
          <w:tcPr>
            <w:tcW w:type="dxa" w:w="1080"/>
          </w:tcPr>
          <w:p>
            <w:pPr>
              <w:spacing w:after="0" w:line="240" w:lineRule="auto"/>
              <w:jc w:val="center"/>
            </w:pPr>
            <w:r/>
            <w:r>
              <w:rPr>
                <w:sz w:val="20"/>
              </w:rPr>
              <w:t>0.199</w:t>
            </w:r>
          </w:p>
        </w:tc>
        <w:tc>
          <w:tcPr>
            <w:tcW w:type="dxa" w:w="1584"/>
          </w:tcPr>
          <w:p>
            <w:pPr>
              <w:spacing w:after="0" w:line="240" w:lineRule="auto"/>
              <w:jc w:val="center"/>
            </w:pPr>
            <w:r/>
            <w:r>
              <w:rPr>
                <w:sz w:val="20"/>
              </w:rPr>
              <w:t>−0.087*** (0.033)</w:t>
            </w:r>
          </w:p>
        </w:tc>
        <w:tc>
          <w:tcPr>
            <w:tcW w:type="dxa" w:w="1080"/>
          </w:tcPr>
          <w:p>
            <w:pPr>
              <w:spacing w:after="0" w:line="240" w:lineRule="auto"/>
              <w:jc w:val="center"/>
            </w:pPr>
            <w:r/>
            <w:r>
              <w:rPr>
                <w:sz w:val="20"/>
              </w:rPr>
              <w:t>0.106</w:t>
            </w:r>
          </w:p>
        </w:tc>
      </w:tr>
      <w:tr>
        <w:tc>
          <w:tcPr>
            <w:tcW w:type="dxa" w:w="3312"/>
          </w:tcPr>
          <w:p>
            <w:pPr>
              <w:spacing w:after="0" w:line="240" w:lineRule="auto"/>
            </w:pPr>
            <w:r/>
            <w:r>
              <w:rPr>
                <w:sz w:val="20"/>
              </w:rPr>
              <w:t>High residual initial score</w:t>
            </w:r>
          </w:p>
        </w:tc>
        <w:tc>
          <w:tcPr>
            <w:tcW w:type="dxa" w:w="1584"/>
          </w:tcPr>
          <w:p>
            <w:pPr>
              <w:spacing w:after="0" w:line="240" w:lineRule="auto"/>
              <w:jc w:val="center"/>
            </w:pPr>
            <w:r/>
            <w:r>
              <w:rPr>
                <w:sz w:val="20"/>
              </w:rPr>
              <w:t>−0.012 (0.029)</w:t>
            </w:r>
          </w:p>
        </w:tc>
        <w:tc>
          <w:tcPr>
            <w:tcW w:type="dxa" w:w="1080"/>
          </w:tcPr>
          <w:p>
            <w:pPr>
              <w:spacing w:after="0" w:line="240" w:lineRule="auto"/>
              <w:jc w:val="center"/>
            </w:pPr>
            <w:r/>
          </w:p>
        </w:tc>
        <w:tc>
          <w:tcPr>
            <w:tcW w:type="dxa" w:w="1584"/>
          </w:tcPr>
          <w:p>
            <w:pPr>
              <w:spacing w:after="0" w:line="240" w:lineRule="auto"/>
              <w:jc w:val="center"/>
            </w:pPr>
            <w:r/>
            <w:r>
              <w:rPr>
                <w:sz w:val="20"/>
              </w:rPr>
              <w:t>−0.051 (0.035)</w:t>
            </w:r>
          </w:p>
        </w:tc>
        <w:tc>
          <w:tcPr>
            <w:tcW w:type="dxa" w:w="1080"/>
          </w:tcPr>
          <w:p>
            <w:pPr>
              <w:spacing w:after="0" w:line="240" w:lineRule="auto"/>
              <w:jc w:val="center"/>
            </w:pPr>
            <w:r/>
          </w:p>
        </w:tc>
      </w:tr>
      <w:tr>
        <w:tc>
          <w:tcPr>
            <w:tcW w:type="dxa" w:w="3312"/>
          </w:tcPr>
          <w:p>
            <w:pPr>
              <w:spacing w:after="0" w:line="240" w:lineRule="auto"/>
            </w:pPr>
            <w:r/>
            <w:r>
              <w:rPr>
                <w:sz w:val="20"/>
              </w:rPr>
              <w:t>Low residual initial score</w:t>
            </w:r>
          </w:p>
        </w:tc>
        <w:tc>
          <w:tcPr>
            <w:tcW w:type="dxa" w:w="1584"/>
          </w:tcPr>
          <w:p>
            <w:pPr>
              <w:spacing w:after="0" w:line="240" w:lineRule="auto"/>
              <w:jc w:val="center"/>
            </w:pPr>
            <w:r/>
            <w:r>
              <w:rPr>
                <w:sz w:val="20"/>
              </w:rPr>
              <w:t>0.016 (0.033)</w:t>
            </w:r>
          </w:p>
        </w:tc>
        <w:tc>
          <w:tcPr>
            <w:tcW w:type="dxa" w:w="1080"/>
          </w:tcPr>
          <w:p>
            <w:pPr>
              <w:spacing w:after="0" w:line="240" w:lineRule="auto"/>
              <w:jc w:val="center"/>
            </w:pPr>
            <w:r/>
          </w:p>
        </w:tc>
        <w:tc>
          <w:tcPr>
            <w:tcW w:type="dxa" w:w="1584"/>
          </w:tcPr>
          <w:p>
            <w:pPr>
              <w:spacing w:after="0" w:line="240" w:lineRule="auto"/>
              <w:jc w:val="center"/>
            </w:pPr>
            <w:r/>
            <w:r>
              <w:rPr>
                <w:sz w:val="20"/>
              </w:rPr>
              <w:t>−0.059 (0.041)</w:t>
            </w:r>
          </w:p>
        </w:tc>
        <w:tc>
          <w:tcPr>
            <w:tcW w:type="dxa" w:w="1080"/>
          </w:tcPr>
          <w:p>
            <w:pPr>
              <w:spacing w:after="0" w:line="240" w:lineRule="auto"/>
              <w:jc w:val="center"/>
            </w:pPr>
            <w:r/>
          </w:p>
        </w:tc>
      </w:tr>
      <w:tr>
        <w:tc>
          <w:tcPr>
            <w:tcW w:type="dxa" w:w="3312"/>
            <w:tcBorders>
              <w:bottom w:val="single" w:sz="6" w:color="000000"/>
            </w:tcBorders>
          </w:tcPr>
          <w:p>
            <w:pPr>
              <w:spacing w:after="0" w:line="240" w:lineRule="auto"/>
            </w:pPr>
            <w:r/>
            <w:r>
              <w:rPr>
                <w:sz w:val="20"/>
              </w:rPr>
              <w:t>High minus low</w:t>
            </w:r>
          </w:p>
        </w:tc>
        <w:tc>
          <w:tcPr>
            <w:tcW w:type="dxa" w:w="1584"/>
            <w:tcBorders>
              <w:bottom w:val="single" w:sz="6" w:color="000000"/>
            </w:tcBorders>
          </w:tcPr>
          <w:p>
            <w:pPr>
              <w:spacing w:after="0" w:line="240" w:lineRule="auto"/>
              <w:jc w:val="center"/>
            </w:pPr>
            <w:r/>
            <w:r>
              <w:rPr>
                <w:sz w:val="20"/>
              </w:rPr>
              <w:t>−0.027 (0.040)</w:t>
            </w:r>
          </w:p>
        </w:tc>
        <w:tc>
          <w:tcPr>
            <w:tcW w:type="dxa" w:w="1080"/>
            <w:tcBorders>
              <w:bottom w:val="single" w:sz="6" w:color="000000"/>
            </w:tcBorders>
          </w:tcPr>
          <w:p>
            <w:pPr>
              <w:spacing w:after="0" w:line="240" w:lineRule="auto"/>
              <w:jc w:val="center"/>
            </w:pPr>
            <w:r/>
          </w:p>
        </w:tc>
        <w:tc>
          <w:tcPr>
            <w:tcW w:type="dxa" w:w="1584"/>
            <w:tcBorders>
              <w:bottom w:val="single" w:sz="6" w:color="000000"/>
            </w:tcBorders>
          </w:tcPr>
          <w:p>
            <w:pPr>
              <w:spacing w:after="0" w:line="240" w:lineRule="auto"/>
              <w:jc w:val="center"/>
            </w:pPr>
            <w:r/>
            <w:r>
              <w:rPr>
                <w:sz w:val="20"/>
              </w:rPr>
              <w:t>0.008 (0.046)</w:t>
            </w:r>
          </w:p>
        </w:tc>
        <w:tc>
          <w:tcPr>
            <w:tcW w:type="dxa" w:w="1080"/>
            <w:tcBorders>
              <w:bottom w:val="single" w:sz="6" w:color="000000"/>
            </w:tcBorders>
          </w:tcPr>
          <w:p>
            <w:pPr>
              <w:spacing w:after="0" w:line="240" w:lineRule="auto"/>
              <w:jc w:val="center"/>
            </w:pPr>
            <w:r/>
          </w:p>
        </w:tc>
      </w:tr>
    </w:tbl>
    <w:p>
      <w:pPr>
        <w:spacing w:line="240" w:lineRule="auto" w:after="40" w:before="80"/>
        <w:jc w:val="both"/>
      </w:pPr>
      <w:r>
        <w:rPr>
          <w:sz w:val="18"/>
        </w:rPr>
        <w:t>Note: Cells show the average effect over event years 0 to 3 with bootstrap standard errors in parentheses and the joint pre-trend p-value of Eq. (8); all rows are exploratory. *, **, and *** denote significance at 10%, 5%, and 1% (unadjusted p-values).</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S8. Decomposition of the gap between the static two-way fixed effects estimate and the baseline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2015"/>
        <w:gridCol w:w="2015"/>
      </w:tblGrid>
      <w:tr>
        <w:tc>
          <w:tcPr>
            <w:tcW w:type="dxa" w:w="4320"/>
            <w:tcBorders>
              <w:top w:val="single" w:sz="6" w:color="000000"/>
              <w:bottom w:val="single" w:sz="6" w:color="000000"/>
            </w:tcBorders>
          </w:tcPr>
          <w:p>
            <w:pPr>
              <w:spacing w:after="0" w:line="240" w:lineRule="auto"/>
            </w:pPr>
            <w:r/>
            <w:r>
              <w:rPr>
                <w:b/>
                <w:sz w:val="20"/>
              </w:rPr>
              <w:t>Estimator</w:t>
            </w:r>
          </w:p>
        </w:tc>
        <w:tc>
          <w:tcPr>
            <w:tcW w:type="dxa" w:w="2016"/>
            <w:tcBorders>
              <w:top w:val="single" w:sz="6" w:color="000000"/>
              <w:bottom w:val="single" w:sz="6" w:color="000000"/>
            </w:tcBorders>
          </w:tcPr>
          <w:p>
            <w:pPr>
              <w:spacing w:after="0" w:line="240" w:lineRule="auto"/>
              <w:jc w:val="center"/>
            </w:pPr>
            <w:r/>
            <w:r>
              <w:rPr>
                <w:b/>
                <w:sz w:val="20"/>
              </w:rPr>
              <w:t>ln(MTB)</w:t>
            </w:r>
          </w:p>
        </w:tc>
        <w:tc>
          <w:tcPr>
            <w:tcW w:type="dxa" w:w="2016"/>
            <w:tcBorders>
              <w:top w:val="single" w:sz="6" w:color="000000"/>
              <w:bottom w:val="single" w:sz="6" w:color="000000"/>
            </w:tcBorders>
          </w:tcPr>
          <w:p>
            <w:pPr>
              <w:spacing w:after="0" w:line="240" w:lineRule="auto"/>
              <w:jc w:val="center"/>
            </w:pPr>
            <w:r/>
            <w:r>
              <w:rPr>
                <w:b/>
                <w:sz w:val="20"/>
              </w:rPr>
              <w:t>ln(market cap)</w:t>
            </w:r>
          </w:p>
        </w:tc>
      </w:tr>
      <w:tr>
        <w:tc>
          <w:tcPr>
            <w:tcW w:type="dxa" w:w="4320"/>
          </w:tcPr>
          <w:p>
            <w:pPr>
              <w:spacing w:after="0" w:line="240" w:lineRule="auto"/>
            </w:pPr>
            <w:r/>
            <w:r>
              <w:rPr>
                <w:sz w:val="20"/>
              </w:rPr>
              <w:t>Static TWFE, all firm-years (R6)</w:t>
            </w:r>
          </w:p>
        </w:tc>
        <w:tc>
          <w:tcPr>
            <w:tcW w:type="dxa" w:w="2016"/>
          </w:tcPr>
          <w:p>
            <w:pPr>
              <w:spacing w:after="0" w:line="240" w:lineRule="auto"/>
              <w:jc w:val="center"/>
            </w:pPr>
            <w:r/>
            <w:r>
              <w:rPr>
                <w:sz w:val="20"/>
              </w:rPr>
              <w:t>0.064** (0.026)</w:t>
            </w:r>
          </w:p>
        </w:tc>
        <w:tc>
          <w:tcPr>
            <w:tcW w:type="dxa" w:w="2016"/>
          </w:tcPr>
          <w:p>
            <w:pPr>
              <w:spacing w:after="0" w:line="240" w:lineRule="auto"/>
              <w:jc w:val="center"/>
            </w:pPr>
            <w:r/>
            <w:r>
              <w:rPr>
                <w:sz w:val="20"/>
              </w:rPr>
              <w:t>0.185*** (0.032)</w:t>
            </w:r>
          </w:p>
        </w:tc>
      </w:tr>
      <w:tr>
        <w:tc>
          <w:tcPr>
            <w:tcW w:type="dxa" w:w="4320"/>
          </w:tcPr>
          <w:p>
            <w:pPr>
              <w:spacing w:after="0" w:line="240" w:lineRule="auto"/>
            </w:pPr>
            <w:r/>
            <w:r>
              <w:rPr>
                <w:sz w:val="20"/>
              </w:rPr>
              <w:t>Static TWFE, never-scored controls, event years −5 to 3</w:t>
            </w:r>
          </w:p>
        </w:tc>
        <w:tc>
          <w:tcPr>
            <w:tcW w:type="dxa" w:w="2016"/>
          </w:tcPr>
          <w:p>
            <w:pPr>
              <w:spacing w:after="0" w:line="240" w:lineRule="auto"/>
              <w:jc w:val="center"/>
            </w:pPr>
            <w:r/>
            <w:r>
              <w:rPr>
                <w:sz w:val="20"/>
              </w:rPr>
              <w:t>0.058** (0.025)</w:t>
            </w:r>
          </w:p>
        </w:tc>
        <w:tc>
          <w:tcPr>
            <w:tcW w:type="dxa" w:w="2016"/>
          </w:tcPr>
          <w:p>
            <w:pPr>
              <w:spacing w:after="0" w:line="240" w:lineRule="auto"/>
              <w:jc w:val="center"/>
            </w:pPr>
            <w:r/>
            <w:r>
              <w:rPr>
                <w:sz w:val="20"/>
              </w:rPr>
              <w:t>0.149*** (0.030)</w:t>
            </w:r>
          </w:p>
        </w:tc>
      </w:tr>
      <w:tr>
        <w:tc>
          <w:tcPr>
            <w:tcW w:type="dxa" w:w="4320"/>
          </w:tcPr>
          <w:p>
            <w:pPr>
              <w:spacing w:after="0" w:line="240" w:lineRule="auto"/>
            </w:pPr>
            <w:r/>
            <w:r>
              <w:rPr>
                <w:sz w:val="20"/>
              </w:rPr>
              <w:t>Heterogeneity-robust, no covariates (R2)</w:t>
            </w:r>
          </w:p>
        </w:tc>
        <w:tc>
          <w:tcPr>
            <w:tcW w:type="dxa" w:w="2016"/>
          </w:tcPr>
          <w:p>
            <w:pPr>
              <w:spacing w:after="0" w:line="240" w:lineRule="auto"/>
              <w:jc w:val="center"/>
            </w:pPr>
            <w:r/>
            <w:r>
              <w:rPr>
                <w:sz w:val="20"/>
              </w:rPr>
              <w:t>0.025 (0.022)</w:t>
            </w:r>
          </w:p>
        </w:tc>
        <w:tc>
          <w:tcPr>
            <w:tcW w:type="dxa" w:w="2016"/>
          </w:tcPr>
          <w:p>
            <w:pPr>
              <w:spacing w:after="0" w:line="240" w:lineRule="auto"/>
              <w:jc w:val="center"/>
            </w:pPr>
            <w:r/>
            <w:r>
              <w:rPr>
                <w:sz w:val="20"/>
              </w:rPr>
              <w:t>0.016 (0.025)</w:t>
            </w:r>
          </w:p>
        </w:tc>
      </w:tr>
      <w:tr>
        <w:tc>
          <w:tcPr>
            <w:tcW w:type="dxa" w:w="4320"/>
            <w:tcBorders>
              <w:bottom w:val="single" w:sz="6" w:color="000000"/>
            </w:tcBorders>
          </w:tcPr>
          <w:p>
            <w:pPr>
              <w:spacing w:after="0" w:line="240" w:lineRule="auto"/>
            </w:pPr>
            <w:r/>
            <w:r>
              <w:rPr>
                <w:sz w:val="20"/>
              </w:rPr>
              <w:t>Heterogeneity-robust baseline</w:t>
            </w:r>
          </w:p>
        </w:tc>
        <w:tc>
          <w:tcPr>
            <w:tcW w:type="dxa" w:w="2016"/>
            <w:tcBorders>
              <w:bottom w:val="single" w:sz="6" w:color="000000"/>
            </w:tcBorders>
          </w:tcPr>
          <w:p>
            <w:pPr>
              <w:spacing w:after="0" w:line="240" w:lineRule="auto"/>
              <w:jc w:val="center"/>
            </w:pPr>
            <w:r/>
            <w:r>
              <w:rPr>
                <w:sz w:val="20"/>
              </w:rPr>
              <w:t>0.002 (0.024)</w:t>
            </w:r>
          </w:p>
        </w:tc>
        <w:tc>
          <w:tcPr>
            <w:tcW w:type="dxa" w:w="2016"/>
            <w:tcBorders>
              <w:bottom w:val="single" w:sz="6" w:color="000000"/>
            </w:tcBorders>
          </w:tcPr>
          <w:p>
            <w:pPr>
              <w:spacing w:after="0" w:line="240" w:lineRule="auto"/>
              <w:jc w:val="center"/>
            </w:pPr>
            <w:r/>
            <w:r>
              <w:rPr>
                <w:sz w:val="20"/>
              </w:rPr>
              <w:t>−0.055* (0.030)</w:t>
            </w:r>
          </w:p>
        </w:tc>
      </w:tr>
    </w:tbl>
    <w:p>
      <w:pPr>
        <w:spacing w:line="240" w:lineRule="auto" w:after="40" w:before="80"/>
        <w:jc w:val="both"/>
      </w:pPr>
      <w:r>
        <w:rPr>
          <w:sz w:val="18"/>
        </w:rPr>
        <w:t>Note: Rows move step by step from Eq. (11) on all firm-years to the baseline of Eq. (6), with standard errors in parentheses (firm-clustered for TWFE, bootstrap otherwise). *, **, and *** denote significance at 10%, 5%, and 1%.</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Figure S2. Event-time effects on ln(MTB) under alternative specifications and dating</w:t>
      </w:r>
    </w:p>
    <w:p>
      <w:pPr>
        <w:keepNext/>
        <w:jc w:val="center"/>
      </w:pPr>
      <w:r>
        <w:drawing>
          <wp:inline xmlns:a="http://schemas.openxmlformats.org/drawingml/2006/main" xmlns:pic="http://schemas.openxmlformats.org/drawingml/2006/picture">
            <wp:extent cx="5943600" cy="6400800"/>
            <wp:docPr id="2" name="Picture 2"/>
            <wp:cNvGraphicFramePr>
              <a:graphicFrameLocks noChangeAspect="1"/>
            </wp:cNvGraphicFramePr>
            <a:graphic>
              <a:graphicData uri="http://schemas.openxmlformats.org/drawingml/2006/picture">
                <pic:pic>
                  <pic:nvPicPr>
                    <pic:cNvPr id="0" name="FigIA2.png"/>
                    <pic:cNvPicPr/>
                  </pic:nvPicPr>
                  <pic:blipFill>
                    <a:blip r:embed="rId11"/>
                    <a:stretch>
                      <a:fillRect/>
                    </a:stretch>
                  </pic:blipFill>
                  <pic:spPr>
                    <a:xfrm>
                      <a:off x="0" y="0"/>
                      <a:ext cx="5943600" cy="6400800"/>
                    </a:xfrm>
                    <a:prstGeom prst="rect"/>
                  </pic:spPr>
                </pic:pic>
              </a:graphicData>
            </a:graphic>
          </wp:inline>
        </w:drawing>
      </w:r>
    </w:p>
    <w:p>
      <w:pPr>
        <w:spacing w:line="240" w:lineRule="auto" w:after="40" w:before="80"/>
        <w:jc w:val="both"/>
      </w:pPr>
      <w:r>
        <w:rPr>
          <w:sz w:val="18"/>
        </w:rPr>
        <w:t xml:space="preserve">Note: Panel A varies the size covariate and the support with the first </w:t>
      </w:r>
      <w:r>
        <w:rPr>
          <w:sz w:val="18"/>
        </w:rPr>
        <w:t>recorded</w:t>
      </w:r>
      <w:r>
        <w:rPr>
          <w:sz w:val="18"/>
        </w:rPr>
        <w:t xml:space="preserve"> fiscal year as event; panel B dates the event one year later. Marker shape and line type identify the specification, and bars are bootstrap 95% intervals.</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S9. Weight of each market and coverage wave in the pooled ln(MTB)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872"/>
        <w:gridCol w:w="2304"/>
      </w:tblGrid>
      <w:tr>
        <w:tc>
          <w:tcPr>
            <w:tcW w:type="dxa" w:w="4752"/>
            <w:tcBorders>
              <w:top w:val="single" w:sz="6" w:color="000000"/>
              <w:bottom w:val="single" w:sz="6" w:color="000000"/>
            </w:tcBorders>
          </w:tcPr>
          <w:p>
            <w:pPr>
              <w:spacing w:after="0" w:line="240" w:lineRule="auto"/>
            </w:pPr>
            <w:r/>
            <w:r>
              <w:rPr>
                <w:b/>
                <w:sz w:val="20"/>
              </w:rPr>
              <w:t>Group</w:t>
            </w:r>
          </w:p>
        </w:tc>
        <w:tc>
          <w:tcPr>
            <w:tcW w:type="dxa" w:w="1872"/>
            <w:tcBorders>
              <w:top w:val="single" w:sz="6" w:color="000000"/>
              <w:bottom w:val="single" w:sz="6" w:color="000000"/>
            </w:tcBorders>
          </w:tcPr>
          <w:p>
            <w:pPr>
              <w:spacing w:after="0" w:line="240" w:lineRule="auto"/>
              <w:jc w:val="center"/>
            </w:pPr>
            <w:r/>
            <w:r>
              <w:rPr>
                <w:b/>
                <w:sz w:val="20"/>
              </w:rPr>
              <w:t>Scored firm-cells</w:t>
            </w:r>
          </w:p>
        </w:tc>
        <w:tc>
          <w:tcPr>
            <w:tcW w:type="dxa" w:w="2304"/>
            <w:tcBorders>
              <w:top w:val="single" w:sz="6" w:color="000000"/>
              <w:bottom w:val="single" w:sz="6" w:color="000000"/>
            </w:tcBorders>
          </w:tcPr>
          <w:p>
            <w:pPr>
              <w:spacing w:after="0" w:line="240" w:lineRule="auto"/>
              <w:jc w:val="center"/>
            </w:pPr>
            <w:r/>
            <w:r>
              <w:rPr>
                <w:b/>
                <w:sz w:val="20"/>
              </w:rPr>
              <w:t>Weight in the pooled estimate</w:t>
            </w:r>
          </w:p>
        </w:tc>
      </w:tr>
      <w:tr>
        <w:tc>
          <w:tcPr>
            <w:tcW w:type="dxa" w:w="4752"/>
          </w:tcPr>
          <w:p>
            <w:pPr>
              <w:spacing w:after="0" w:line="240" w:lineRule="auto"/>
            </w:pPr>
            <w:r/>
            <w:r>
              <w:rPr>
                <w:sz w:val="20"/>
              </w:rPr>
              <w:t>Indonesia</w:t>
            </w:r>
          </w:p>
        </w:tc>
        <w:tc>
          <w:tcPr>
            <w:tcW w:type="dxa" w:w="1872"/>
          </w:tcPr>
          <w:p>
            <w:pPr>
              <w:spacing w:after="0" w:line="240" w:lineRule="auto"/>
              <w:jc w:val="center"/>
            </w:pPr>
            <w:r/>
            <w:r>
              <w:rPr>
                <w:sz w:val="20"/>
              </w:rPr>
              <w:t>123</w:t>
            </w:r>
          </w:p>
        </w:tc>
        <w:tc>
          <w:tcPr>
            <w:tcW w:type="dxa" w:w="2304"/>
          </w:tcPr>
          <w:p>
            <w:pPr>
              <w:spacing w:after="0" w:line="240" w:lineRule="auto"/>
              <w:jc w:val="center"/>
            </w:pPr>
            <w:r/>
            <w:r>
              <w:rPr>
                <w:sz w:val="20"/>
              </w:rPr>
              <w:t>0.063</w:t>
            </w:r>
          </w:p>
        </w:tc>
      </w:tr>
      <w:tr>
        <w:tc>
          <w:tcPr>
            <w:tcW w:type="dxa" w:w="4752"/>
          </w:tcPr>
          <w:p>
            <w:pPr>
              <w:spacing w:after="0" w:line="240" w:lineRule="auto"/>
            </w:pPr>
            <w:r/>
            <w:r>
              <w:rPr>
                <w:sz w:val="20"/>
              </w:rPr>
              <w:t>Malaysia</w:t>
            </w:r>
          </w:p>
        </w:tc>
        <w:tc>
          <w:tcPr>
            <w:tcW w:type="dxa" w:w="1872"/>
          </w:tcPr>
          <w:p>
            <w:pPr>
              <w:spacing w:after="0" w:line="240" w:lineRule="auto"/>
              <w:jc w:val="center"/>
            </w:pPr>
            <w:r/>
            <w:r>
              <w:rPr>
                <w:sz w:val="20"/>
              </w:rPr>
              <w:t>1,074</w:t>
            </w:r>
          </w:p>
        </w:tc>
        <w:tc>
          <w:tcPr>
            <w:tcW w:type="dxa" w:w="2304"/>
          </w:tcPr>
          <w:p>
            <w:pPr>
              <w:spacing w:after="0" w:line="240" w:lineRule="auto"/>
              <w:jc w:val="center"/>
            </w:pPr>
            <w:r/>
            <w:r>
              <w:rPr>
                <w:sz w:val="20"/>
              </w:rPr>
              <w:t>0.552</w:t>
            </w:r>
          </w:p>
        </w:tc>
      </w:tr>
      <w:tr>
        <w:tc>
          <w:tcPr>
            <w:tcW w:type="dxa" w:w="4752"/>
          </w:tcPr>
          <w:p>
            <w:pPr>
              <w:spacing w:after="0" w:line="240" w:lineRule="auto"/>
            </w:pPr>
            <w:r/>
            <w:r>
              <w:rPr>
                <w:sz w:val="20"/>
              </w:rPr>
              <w:t>Philippines</w:t>
            </w:r>
          </w:p>
        </w:tc>
        <w:tc>
          <w:tcPr>
            <w:tcW w:type="dxa" w:w="1872"/>
          </w:tcPr>
          <w:p>
            <w:pPr>
              <w:spacing w:after="0" w:line="240" w:lineRule="auto"/>
              <w:jc w:val="center"/>
            </w:pPr>
            <w:r/>
            <w:r>
              <w:rPr>
                <w:sz w:val="20"/>
              </w:rPr>
              <w:t>52</w:t>
            </w:r>
          </w:p>
        </w:tc>
        <w:tc>
          <w:tcPr>
            <w:tcW w:type="dxa" w:w="2304"/>
          </w:tcPr>
          <w:p>
            <w:pPr>
              <w:spacing w:after="0" w:line="240" w:lineRule="auto"/>
              <w:jc w:val="center"/>
            </w:pPr>
            <w:r/>
            <w:r>
              <w:rPr>
                <w:sz w:val="20"/>
              </w:rPr>
              <w:t>0.027</w:t>
            </w:r>
          </w:p>
        </w:tc>
      </w:tr>
      <w:tr>
        <w:tc>
          <w:tcPr>
            <w:tcW w:type="dxa" w:w="4752"/>
          </w:tcPr>
          <w:p>
            <w:pPr>
              <w:spacing w:after="0" w:line="240" w:lineRule="auto"/>
            </w:pPr>
            <w:r/>
            <w:r>
              <w:rPr>
                <w:sz w:val="20"/>
              </w:rPr>
              <w:t>Singapore</w:t>
            </w:r>
          </w:p>
        </w:tc>
        <w:tc>
          <w:tcPr>
            <w:tcW w:type="dxa" w:w="1872"/>
          </w:tcPr>
          <w:p>
            <w:pPr>
              <w:spacing w:after="0" w:line="240" w:lineRule="auto"/>
              <w:jc w:val="center"/>
            </w:pPr>
            <w:r/>
            <w:r>
              <w:rPr>
                <w:sz w:val="20"/>
              </w:rPr>
              <w:t>178</w:t>
            </w:r>
          </w:p>
        </w:tc>
        <w:tc>
          <w:tcPr>
            <w:tcW w:type="dxa" w:w="2304"/>
          </w:tcPr>
          <w:p>
            <w:pPr>
              <w:spacing w:after="0" w:line="240" w:lineRule="auto"/>
              <w:jc w:val="center"/>
            </w:pPr>
            <w:r/>
            <w:r>
              <w:rPr>
                <w:sz w:val="20"/>
              </w:rPr>
              <w:t>0.091</w:t>
            </w:r>
          </w:p>
        </w:tc>
      </w:tr>
      <w:tr>
        <w:tc>
          <w:tcPr>
            <w:tcW w:type="dxa" w:w="4752"/>
          </w:tcPr>
          <w:p>
            <w:pPr>
              <w:spacing w:after="0" w:line="240" w:lineRule="auto"/>
            </w:pPr>
            <w:r/>
            <w:r>
              <w:rPr>
                <w:sz w:val="20"/>
              </w:rPr>
              <w:t>Thailand</w:t>
            </w:r>
          </w:p>
        </w:tc>
        <w:tc>
          <w:tcPr>
            <w:tcW w:type="dxa" w:w="1872"/>
          </w:tcPr>
          <w:p>
            <w:pPr>
              <w:spacing w:after="0" w:line="240" w:lineRule="auto"/>
              <w:jc w:val="center"/>
            </w:pPr>
            <w:r/>
            <w:r>
              <w:rPr>
                <w:sz w:val="20"/>
              </w:rPr>
              <w:t>519</w:t>
            </w:r>
          </w:p>
        </w:tc>
        <w:tc>
          <w:tcPr>
            <w:tcW w:type="dxa" w:w="2304"/>
          </w:tcPr>
          <w:p>
            <w:pPr>
              <w:spacing w:after="0" w:line="240" w:lineRule="auto"/>
              <w:jc w:val="center"/>
            </w:pPr>
            <w:r/>
            <w:r>
              <w:rPr>
                <w:sz w:val="20"/>
              </w:rPr>
              <w:t>0.267</w:t>
            </w:r>
          </w:p>
        </w:tc>
      </w:tr>
      <w:tr>
        <w:tc>
          <w:tcPr>
            <w:tcW w:type="dxa" w:w="4752"/>
          </w:tcPr>
          <w:p>
            <w:pPr>
              <w:spacing w:after="0" w:line="240" w:lineRule="auto"/>
            </w:pPr>
            <w:r/>
            <w:r>
              <w:rPr>
                <w:sz w:val="20"/>
              </w:rPr>
              <w:t>Malaysian wave (first recorded 2021–2022)</w:t>
            </w:r>
          </w:p>
        </w:tc>
        <w:tc>
          <w:tcPr>
            <w:tcW w:type="dxa" w:w="1872"/>
          </w:tcPr>
          <w:p>
            <w:pPr>
              <w:spacing w:after="0" w:line="240" w:lineRule="auto"/>
              <w:jc w:val="center"/>
            </w:pPr>
            <w:r/>
            <w:r>
              <w:rPr>
                <w:sz w:val="20"/>
              </w:rPr>
              <w:t>858</w:t>
            </w:r>
          </w:p>
        </w:tc>
        <w:tc>
          <w:tcPr>
            <w:tcW w:type="dxa" w:w="2304"/>
          </w:tcPr>
          <w:p>
            <w:pPr>
              <w:spacing w:after="0" w:line="240" w:lineRule="auto"/>
              <w:jc w:val="center"/>
            </w:pPr>
            <w:r/>
            <w:r>
              <w:rPr>
                <w:sz w:val="20"/>
              </w:rPr>
              <w:t>0.441</w:t>
            </w:r>
          </w:p>
        </w:tc>
      </w:tr>
      <w:tr>
        <w:tc>
          <w:tcPr>
            <w:tcW w:type="dxa" w:w="4752"/>
          </w:tcPr>
          <w:p>
            <w:pPr>
              <w:spacing w:after="0" w:line="240" w:lineRule="auto"/>
            </w:pPr>
            <w:r/>
            <w:r>
              <w:rPr>
                <w:sz w:val="20"/>
              </w:rPr>
              <w:t>Thai and Singaporean wave (2019–2020)</w:t>
            </w:r>
          </w:p>
        </w:tc>
        <w:tc>
          <w:tcPr>
            <w:tcW w:type="dxa" w:w="1872"/>
          </w:tcPr>
          <w:p>
            <w:pPr>
              <w:spacing w:after="0" w:line="240" w:lineRule="auto"/>
              <w:jc w:val="center"/>
            </w:pPr>
            <w:r/>
            <w:r>
              <w:rPr>
                <w:sz w:val="20"/>
              </w:rPr>
              <w:t>401</w:t>
            </w:r>
          </w:p>
        </w:tc>
        <w:tc>
          <w:tcPr>
            <w:tcW w:type="dxa" w:w="2304"/>
          </w:tcPr>
          <w:p>
            <w:pPr>
              <w:spacing w:after="0" w:line="240" w:lineRule="auto"/>
              <w:jc w:val="center"/>
            </w:pPr>
            <w:r/>
            <w:r>
              <w:rPr>
                <w:sz w:val="20"/>
              </w:rPr>
              <w:t>0.206</w:t>
            </w:r>
          </w:p>
        </w:tc>
      </w:tr>
      <w:tr>
        <w:tc>
          <w:tcPr>
            <w:tcW w:type="dxa" w:w="4752"/>
            <w:tcBorders>
              <w:bottom w:val="single" w:sz="6" w:color="000000"/>
            </w:tcBorders>
          </w:tcPr>
          <w:p>
            <w:pPr>
              <w:spacing w:after="0" w:line="240" w:lineRule="auto"/>
            </w:pPr>
            <w:r/>
            <w:r>
              <w:rPr>
                <w:sz w:val="20"/>
              </w:rPr>
              <w:t>All other cohorts</w:t>
            </w:r>
          </w:p>
        </w:tc>
        <w:tc>
          <w:tcPr>
            <w:tcW w:type="dxa" w:w="1872"/>
            <w:tcBorders>
              <w:bottom w:val="single" w:sz="6" w:color="000000"/>
            </w:tcBorders>
          </w:tcPr>
          <w:p>
            <w:pPr>
              <w:spacing w:after="0" w:line="240" w:lineRule="auto"/>
              <w:jc w:val="center"/>
            </w:pPr>
            <w:r/>
            <w:r>
              <w:rPr>
                <w:sz w:val="20"/>
              </w:rPr>
              <w:t>687</w:t>
            </w:r>
          </w:p>
        </w:tc>
        <w:tc>
          <w:tcPr>
            <w:tcW w:type="dxa" w:w="2304"/>
            <w:tcBorders>
              <w:bottom w:val="single" w:sz="6" w:color="000000"/>
            </w:tcBorders>
          </w:tcPr>
          <w:p>
            <w:pPr>
              <w:spacing w:after="0" w:line="240" w:lineRule="auto"/>
              <w:jc w:val="center"/>
            </w:pPr>
            <w:r/>
            <w:r>
              <w:rPr>
                <w:sz w:val="20"/>
              </w:rPr>
              <w:t>0.353</w:t>
            </w:r>
          </w:p>
        </w:tc>
      </w:tr>
    </w:tbl>
    <w:p>
      <w:pPr>
        <w:spacing w:line="240" w:lineRule="auto" w:after="40" w:before="80"/>
        <w:jc w:val="both"/>
      </w:pPr>
      <w:r>
        <w:rPr>
          <w:sz w:val="18"/>
        </w:rPr>
        <w:t>Note: Scored firm-cells count each scored firm once in every post-coverage cell (event years 0 to 3) of the baseline ln(MTB) estimate; weights are their shares (Eq. 6).</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S10. Average change by coverage wave under the two datings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c>
          <w:tcPr>
            <w:tcW w:type="dxa" w:w="2736"/>
            <w:tcBorders>
              <w:top w:val="single" w:sz="6" w:color="000000"/>
              <w:bottom w:val="single" w:sz="6" w:color="000000"/>
            </w:tcBorders>
          </w:tcPr>
          <w:p>
            <w:pPr>
              <w:spacing w:after="0" w:line="240" w:lineRule="auto"/>
            </w:pPr>
            <w:r/>
            <w:r>
              <w:rPr>
                <w:b/>
                <w:sz w:val="18"/>
              </w:rPr>
              <w:t>Wave</w:t>
            </w:r>
          </w:p>
        </w:tc>
        <w:tc>
          <w:tcPr>
            <w:tcW w:type="dxa" w:w="1656"/>
            <w:tcBorders>
              <w:top w:val="single" w:sz="6" w:color="000000"/>
              <w:bottom w:val="single" w:sz="6" w:color="000000"/>
            </w:tcBorders>
          </w:tcPr>
          <w:p>
            <w:pPr>
              <w:spacing w:after="0" w:line="240" w:lineRule="auto"/>
              <w:jc w:val="center"/>
            </w:pPr>
            <w:r/>
            <w:r>
              <w:rPr>
                <w:b/>
                <w:sz w:val="18"/>
              </w:rPr>
              <w:t>First recorded year, ln(MTB)</w:t>
            </w:r>
          </w:p>
        </w:tc>
        <w:tc>
          <w:tcPr>
            <w:tcW w:type="dxa" w:w="1656"/>
            <w:tcBorders>
              <w:top w:val="single" w:sz="6" w:color="000000"/>
              <w:bottom w:val="single" w:sz="6" w:color="000000"/>
            </w:tcBorders>
          </w:tcPr>
          <w:p>
            <w:pPr>
              <w:spacing w:after="0" w:line="240" w:lineRule="auto"/>
              <w:jc w:val="center"/>
            </w:pPr>
            <w:r/>
            <w:r>
              <w:rPr>
                <w:b/>
                <w:sz w:val="18"/>
              </w:rPr>
              <w:t>One year later, ln(MTB)</w:t>
            </w:r>
          </w:p>
        </w:tc>
        <w:tc>
          <w:tcPr>
            <w:tcW w:type="dxa" w:w="1656"/>
            <w:tcBorders>
              <w:top w:val="single" w:sz="6" w:color="000000"/>
              <w:bottom w:val="single" w:sz="6" w:color="000000"/>
            </w:tcBorders>
          </w:tcPr>
          <w:p>
            <w:pPr>
              <w:spacing w:after="0" w:line="240" w:lineRule="auto"/>
              <w:jc w:val="center"/>
            </w:pPr>
            <w:r/>
            <w:r>
              <w:rPr>
                <w:b/>
                <w:sz w:val="18"/>
              </w:rPr>
              <w:t>First recorded year, ln(market cap)</w:t>
            </w:r>
          </w:p>
        </w:tc>
        <w:tc>
          <w:tcPr>
            <w:tcW w:type="dxa" w:w="1656"/>
            <w:tcBorders>
              <w:top w:val="single" w:sz="6" w:color="000000"/>
              <w:bottom w:val="single" w:sz="6" w:color="000000"/>
            </w:tcBorders>
          </w:tcPr>
          <w:p>
            <w:pPr>
              <w:spacing w:after="0" w:line="240" w:lineRule="auto"/>
              <w:jc w:val="center"/>
            </w:pPr>
            <w:r/>
            <w:r>
              <w:rPr>
                <w:b/>
                <w:sz w:val="18"/>
              </w:rPr>
              <w:t>One year later, ln(market cap)</w:t>
            </w:r>
          </w:p>
        </w:tc>
      </w:tr>
      <w:tr>
        <w:tc>
          <w:tcPr>
            <w:tcW w:type="dxa" w:w="2736"/>
          </w:tcPr>
          <w:p>
            <w:pPr>
              <w:spacing w:after="0" w:line="240" w:lineRule="auto"/>
            </w:pPr>
            <w:r/>
            <w:r>
              <w:rPr>
                <w:sz w:val="18"/>
              </w:rPr>
              <w:t>Malaysian wave (first recorded 2021–2022)</w:t>
            </w:r>
          </w:p>
        </w:tc>
        <w:tc>
          <w:tcPr>
            <w:tcW w:type="dxa" w:w="1656"/>
          </w:tcPr>
          <w:p>
            <w:pPr>
              <w:spacing w:after="0" w:line="240" w:lineRule="auto"/>
              <w:jc w:val="center"/>
            </w:pPr>
            <w:r/>
            <w:r>
              <w:rPr>
                <w:sz w:val="18"/>
              </w:rPr>
              <w:t>0.021 (0.037)</w:t>
            </w:r>
          </w:p>
        </w:tc>
        <w:tc>
          <w:tcPr>
            <w:tcW w:type="dxa" w:w="1656"/>
          </w:tcPr>
          <w:p>
            <w:pPr>
              <w:spacing w:after="0" w:line="240" w:lineRule="auto"/>
              <w:jc w:val="center"/>
            </w:pPr>
            <w:r/>
            <w:r>
              <w:rPr>
                <w:sz w:val="18"/>
              </w:rPr>
              <w:t>0.012 (0.033)</w:t>
            </w:r>
          </w:p>
        </w:tc>
        <w:tc>
          <w:tcPr>
            <w:tcW w:type="dxa" w:w="1656"/>
          </w:tcPr>
          <w:p>
            <w:pPr>
              <w:spacing w:after="0" w:line="240" w:lineRule="auto"/>
              <w:jc w:val="center"/>
            </w:pPr>
            <w:r/>
            <w:r>
              <w:rPr>
                <w:sz w:val="18"/>
              </w:rPr>
              <w:t>−0.146*** (0.051)</w:t>
            </w:r>
          </w:p>
        </w:tc>
        <w:tc>
          <w:tcPr>
            <w:tcW w:type="dxa" w:w="1656"/>
          </w:tcPr>
          <w:p>
            <w:pPr>
              <w:spacing w:after="0" w:line="240" w:lineRule="auto"/>
              <w:jc w:val="center"/>
            </w:pPr>
            <w:r/>
            <w:r>
              <w:rPr>
                <w:sz w:val="18"/>
              </w:rPr>
              <w:t>−0.094* (0.052)</w:t>
            </w:r>
          </w:p>
        </w:tc>
      </w:tr>
      <w:tr>
        <w:tc>
          <w:tcPr>
            <w:tcW w:type="dxa" w:w="2736"/>
          </w:tcPr>
          <w:p>
            <w:pPr>
              <w:spacing w:after="0" w:line="240" w:lineRule="auto"/>
            </w:pPr>
            <w:r/>
            <w:r>
              <w:rPr>
                <w:sz w:val="18"/>
              </w:rPr>
              <w:t>Thai and Singaporean wave (2019–2020)</w:t>
            </w:r>
          </w:p>
        </w:tc>
        <w:tc>
          <w:tcPr>
            <w:tcW w:type="dxa" w:w="1656"/>
          </w:tcPr>
          <w:p>
            <w:pPr>
              <w:spacing w:after="0" w:line="240" w:lineRule="auto"/>
              <w:jc w:val="center"/>
            </w:pPr>
            <w:r/>
            <w:r>
              <w:rPr>
                <w:sz w:val="18"/>
              </w:rPr>
              <w:t>−0.009 (0.048)</w:t>
            </w:r>
          </w:p>
        </w:tc>
        <w:tc>
          <w:tcPr>
            <w:tcW w:type="dxa" w:w="1656"/>
          </w:tcPr>
          <w:p>
            <w:pPr>
              <w:spacing w:after="0" w:line="240" w:lineRule="auto"/>
              <w:jc w:val="center"/>
            </w:pPr>
            <w:r/>
            <w:r>
              <w:rPr>
                <w:sz w:val="18"/>
              </w:rPr>
              <w:t>−0.136*** (0.046)</w:t>
            </w:r>
          </w:p>
        </w:tc>
        <w:tc>
          <w:tcPr>
            <w:tcW w:type="dxa" w:w="1656"/>
          </w:tcPr>
          <w:p>
            <w:pPr>
              <w:spacing w:after="0" w:line="240" w:lineRule="auto"/>
              <w:jc w:val="center"/>
            </w:pPr>
            <w:r/>
            <w:r>
              <w:rPr>
                <w:sz w:val="18"/>
              </w:rPr>
              <w:t>0.041 (0.052)</w:t>
            </w:r>
          </w:p>
        </w:tc>
        <w:tc>
          <w:tcPr>
            <w:tcW w:type="dxa" w:w="1656"/>
          </w:tcPr>
          <w:p>
            <w:pPr>
              <w:spacing w:after="0" w:line="240" w:lineRule="auto"/>
              <w:jc w:val="center"/>
            </w:pPr>
            <w:r/>
            <w:r>
              <w:rPr>
                <w:sz w:val="18"/>
              </w:rPr>
              <w:t>−0.038 (0.053)</w:t>
            </w:r>
          </w:p>
        </w:tc>
      </w:tr>
      <w:tr>
        <w:tc>
          <w:tcPr>
            <w:tcW w:type="dxa" w:w="2736"/>
            <w:tcBorders>
              <w:bottom w:val="single" w:sz="6" w:color="000000"/>
            </w:tcBorders>
          </w:tcPr>
          <w:p>
            <w:pPr>
              <w:spacing w:after="0" w:line="240" w:lineRule="auto"/>
            </w:pPr>
            <w:r/>
            <w:r>
              <w:rPr>
                <w:sz w:val="18"/>
              </w:rPr>
              <w:t>All other cohorts</w:t>
            </w:r>
          </w:p>
        </w:tc>
        <w:tc>
          <w:tcPr>
            <w:tcW w:type="dxa" w:w="1656"/>
            <w:tcBorders>
              <w:bottom w:val="single" w:sz="6" w:color="000000"/>
            </w:tcBorders>
          </w:tcPr>
          <w:p>
            <w:pPr>
              <w:spacing w:after="0" w:line="240" w:lineRule="auto"/>
              <w:jc w:val="center"/>
            </w:pPr>
            <w:r/>
            <w:r>
              <w:rPr>
                <w:sz w:val="18"/>
              </w:rPr>
              <w:t>−0.016 (0.034)</w:t>
            </w:r>
          </w:p>
        </w:tc>
        <w:tc>
          <w:tcPr>
            <w:tcW w:type="dxa" w:w="1656"/>
            <w:tcBorders>
              <w:bottom w:val="single" w:sz="6" w:color="000000"/>
            </w:tcBorders>
          </w:tcPr>
          <w:p>
            <w:pPr>
              <w:spacing w:after="0" w:line="240" w:lineRule="auto"/>
              <w:jc w:val="center"/>
            </w:pPr>
            <w:r/>
            <w:r>
              <w:rPr>
                <w:sz w:val="18"/>
              </w:rPr>
              <w:t>−0.111*** (0.037)</w:t>
            </w:r>
          </w:p>
        </w:tc>
        <w:tc>
          <w:tcPr>
            <w:tcW w:type="dxa" w:w="1656"/>
            <w:tcBorders>
              <w:bottom w:val="single" w:sz="6" w:color="000000"/>
            </w:tcBorders>
          </w:tcPr>
          <w:p>
            <w:pPr>
              <w:spacing w:after="0" w:line="240" w:lineRule="auto"/>
              <w:jc w:val="center"/>
            </w:pPr>
            <w:r/>
            <w:r>
              <w:rPr>
                <w:sz w:val="18"/>
              </w:rPr>
              <w:t>0.005 (0.037)</w:t>
            </w:r>
          </w:p>
        </w:tc>
        <w:tc>
          <w:tcPr>
            <w:tcW w:type="dxa" w:w="1656"/>
            <w:tcBorders>
              <w:bottom w:val="single" w:sz="6" w:color="000000"/>
            </w:tcBorders>
          </w:tcPr>
          <w:p>
            <w:pPr>
              <w:spacing w:after="0" w:line="240" w:lineRule="auto"/>
              <w:jc w:val="center"/>
            </w:pPr>
            <w:r/>
            <w:r>
              <w:rPr>
                <w:sz w:val="18"/>
              </w:rPr>
              <w:t>−0.076* (0.040)</w:t>
            </w:r>
          </w:p>
        </w:tc>
      </w:tr>
    </w:tbl>
    <w:p>
      <w:pPr>
        <w:spacing w:line="240" w:lineRule="auto" w:after="40" w:before="80"/>
        <w:jc w:val="both"/>
      </w:pPr>
      <w:r>
        <w:rPr>
          <w:sz w:val="18"/>
        </w:rPr>
        <w:t>Note: Cells show the average effect over event years 0 to 3 of each dating, with bootstrap standard errors in parentheses, for each wave against all never-scored firms. *, **, and *** denote significance at 10%, 5%, and 1%.</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S11. Firm-years with and without a market-to-book ratio</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168"/>
        <w:gridCol w:w="1512"/>
        <w:gridCol w:w="1512"/>
        <w:gridCol w:w="1584"/>
        <w:gridCol w:w="1584"/>
      </w:tblGrid>
      <w:tr>
        <w:tc>
          <w:tcPr>
            <w:tcW w:type="dxa" w:w="3168"/>
            <w:tcBorders>
              <w:top w:val="single" w:sz="6" w:color="000000"/>
              <w:bottom w:val="single" w:sz="6" w:color="000000"/>
            </w:tcBorders>
          </w:tcPr>
          <w:p>
            <w:pPr>
              <w:spacing w:after="0" w:line="240" w:lineRule="auto"/>
            </w:pPr>
            <w:r/>
            <w:r>
              <w:rPr>
                <w:b/>
                <w:sz w:val="18"/>
              </w:rPr>
              <w:t>Characteristic</w:t>
            </w:r>
          </w:p>
        </w:tc>
        <w:tc>
          <w:tcPr>
            <w:tcW w:type="dxa" w:w="1512"/>
            <w:tcBorders>
              <w:top w:val="single" w:sz="6" w:color="000000"/>
              <w:bottom w:val="single" w:sz="6" w:color="000000"/>
            </w:tcBorders>
          </w:tcPr>
          <w:p>
            <w:pPr>
              <w:spacing w:after="0" w:line="240" w:lineRule="auto"/>
              <w:jc w:val="center"/>
            </w:pPr>
            <w:r/>
            <w:r>
              <w:rPr>
                <w:b/>
                <w:sz w:val="18"/>
              </w:rPr>
              <w:t>Scored, MTB observed</w:t>
            </w:r>
          </w:p>
        </w:tc>
        <w:tc>
          <w:tcPr>
            <w:tcW w:type="dxa" w:w="1512"/>
            <w:tcBorders>
              <w:top w:val="single" w:sz="6" w:color="000000"/>
              <w:bottom w:val="single" w:sz="6" w:color="000000"/>
            </w:tcBorders>
          </w:tcPr>
          <w:p>
            <w:pPr>
              <w:spacing w:after="0" w:line="240" w:lineRule="auto"/>
              <w:jc w:val="center"/>
            </w:pPr>
            <w:r/>
            <w:r>
              <w:rPr>
                <w:b/>
                <w:sz w:val="18"/>
              </w:rPr>
              <w:t>Scored, MTB missing</w:t>
            </w:r>
          </w:p>
        </w:tc>
        <w:tc>
          <w:tcPr>
            <w:tcW w:type="dxa" w:w="1584"/>
            <w:tcBorders>
              <w:top w:val="single" w:sz="6" w:color="000000"/>
              <w:bottom w:val="single" w:sz="6" w:color="000000"/>
            </w:tcBorders>
          </w:tcPr>
          <w:p>
            <w:pPr>
              <w:spacing w:after="0" w:line="240" w:lineRule="auto"/>
              <w:jc w:val="center"/>
            </w:pPr>
            <w:r/>
            <w:r>
              <w:rPr>
                <w:b/>
                <w:sz w:val="18"/>
              </w:rPr>
              <w:t>Never-scored, MTB observed</w:t>
            </w:r>
          </w:p>
        </w:tc>
        <w:tc>
          <w:tcPr>
            <w:tcW w:type="dxa" w:w="1584"/>
            <w:tcBorders>
              <w:top w:val="single" w:sz="6" w:color="000000"/>
              <w:bottom w:val="single" w:sz="6" w:color="000000"/>
            </w:tcBorders>
          </w:tcPr>
          <w:p>
            <w:pPr>
              <w:spacing w:after="0" w:line="240" w:lineRule="auto"/>
              <w:jc w:val="center"/>
            </w:pPr>
            <w:r/>
            <w:r>
              <w:rPr>
                <w:b/>
                <w:sz w:val="18"/>
              </w:rPr>
              <w:t>Never-scored, MTB missing</w:t>
            </w:r>
          </w:p>
        </w:tc>
      </w:tr>
      <w:tr>
        <w:tc>
          <w:tcPr>
            <w:tcW w:type="dxa" w:w="3168"/>
          </w:tcPr>
          <w:p>
            <w:pPr>
              <w:spacing w:after="0" w:line="240" w:lineRule="auto"/>
            </w:pPr>
            <w:r/>
            <w:r>
              <w:rPr>
                <w:sz w:val="18"/>
              </w:rPr>
              <w:t>Firm-years</w:t>
            </w:r>
          </w:p>
        </w:tc>
        <w:tc>
          <w:tcPr>
            <w:tcW w:type="dxa" w:w="1512"/>
          </w:tcPr>
          <w:p>
            <w:pPr>
              <w:spacing w:after="0" w:line="240" w:lineRule="auto"/>
              <w:jc w:val="center"/>
            </w:pPr>
            <w:r/>
            <w:r>
              <w:rPr>
                <w:sz w:val="18"/>
              </w:rPr>
              <w:t>6,482</w:t>
            </w:r>
          </w:p>
        </w:tc>
        <w:tc>
          <w:tcPr>
            <w:tcW w:type="dxa" w:w="1512"/>
          </w:tcPr>
          <w:p>
            <w:pPr>
              <w:spacing w:after="0" w:line="240" w:lineRule="auto"/>
              <w:jc w:val="center"/>
            </w:pPr>
            <w:r/>
            <w:r>
              <w:rPr>
                <w:sz w:val="18"/>
              </w:rPr>
              <w:t>943</w:t>
            </w:r>
          </w:p>
        </w:tc>
        <w:tc>
          <w:tcPr>
            <w:tcW w:type="dxa" w:w="1584"/>
          </w:tcPr>
          <w:p>
            <w:pPr>
              <w:spacing w:after="0" w:line="240" w:lineRule="auto"/>
              <w:jc w:val="center"/>
            </w:pPr>
            <w:r/>
            <w:r>
              <w:rPr>
                <w:sz w:val="18"/>
              </w:rPr>
              <w:t>20,706</w:t>
            </w:r>
          </w:p>
        </w:tc>
        <w:tc>
          <w:tcPr>
            <w:tcW w:type="dxa" w:w="1584"/>
          </w:tcPr>
          <w:p>
            <w:pPr>
              <w:spacing w:after="0" w:line="240" w:lineRule="auto"/>
              <w:jc w:val="center"/>
            </w:pPr>
            <w:r/>
            <w:r>
              <w:rPr>
                <w:sz w:val="18"/>
              </w:rPr>
              <w:t>8,037</w:t>
            </w:r>
          </w:p>
        </w:tc>
      </w:tr>
      <w:tr>
        <w:tc>
          <w:tcPr>
            <w:tcW w:type="dxa" w:w="3168"/>
          </w:tcPr>
          <w:p>
            <w:pPr>
              <w:spacing w:after="0" w:line="240" w:lineRule="auto"/>
            </w:pPr>
            <w:r/>
            <w:r>
              <w:rPr>
                <w:sz w:val="18"/>
              </w:rPr>
              <w:t>Median total assets (USD million)</w:t>
            </w:r>
          </w:p>
        </w:tc>
        <w:tc>
          <w:tcPr>
            <w:tcW w:type="dxa" w:w="1512"/>
          </w:tcPr>
          <w:p>
            <w:pPr>
              <w:spacing w:after="0" w:line="240" w:lineRule="auto"/>
              <w:jc w:val="center"/>
            </w:pPr>
            <w:r/>
            <w:r>
              <w:rPr>
                <w:sz w:val="18"/>
              </w:rPr>
              <w:t>267.9</w:t>
            </w:r>
          </w:p>
        </w:tc>
        <w:tc>
          <w:tcPr>
            <w:tcW w:type="dxa" w:w="1512"/>
          </w:tcPr>
          <w:p>
            <w:pPr>
              <w:spacing w:after="0" w:line="240" w:lineRule="auto"/>
              <w:jc w:val="center"/>
            </w:pPr>
            <w:r/>
            <w:r>
              <w:rPr>
                <w:sz w:val="18"/>
              </w:rPr>
              <w:t>76.4</w:t>
            </w:r>
          </w:p>
        </w:tc>
        <w:tc>
          <w:tcPr>
            <w:tcW w:type="dxa" w:w="1584"/>
          </w:tcPr>
          <w:p>
            <w:pPr>
              <w:spacing w:after="0" w:line="240" w:lineRule="auto"/>
              <w:jc w:val="center"/>
            </w:pPr>
            <w:r/>
            <w:r>
              <w:rPr>
                <w:sz w:val="18"/>
              </w:rPr>
              <w:t>84.1</w:t>
            </w:r>
          </w:p>
        </w:tc>
        <w:tc>
          <w:tcPr>
            <w:tcW w:type="dxa" w:w="1584"/>
          </w:tcPr>
          <w:p>
            <w:pPr>
              <w:spacing w:after="0" w:line="240" w:lineRule="auto"/>
              <w:jc w:val="center"/>
            </w:pPr>
            <w:r/>
            <w:r>
              <w:rPr>
                <w:sz w:val="18"/>
              </w:rPr>
              <w:t>20.8</w:t>
            </w:r>
          </w:p>
        </w:tc>
      </w:tr>
      <w:tr>
        <w:tc>
          <w:tcPr>
            <w:tcW w:type="dxa" w:w="3168"/>
          </w:tcPr>
          <w:p>
            <w:pPr>
              <w:spacing w:after="0" w:line="240" w:lineRule="auto"/>
            </w:pPr>
            <w:r/>
            <w:r>
              <w:rPr>
                <w:sz w:val="18"/>
              </w:rPr>
              <w:t>Median market capitalization (USD million)</w:t>
            </w:r>
          </w:p>
        </w:tc>
        <w:tc>
          <w:tcPr>
            <w:tcW w:type="dxa" w:w="1512"/>
          </w:tcPr>
          <w:p>
            <w:pPr>
              <w:spacing w:after="0" w:line="240" w:lineRule="auto"/>
              <w:jc w:val="center"/>
            </w:pPr>
            <w:r/>
            <w:r>
              <w:rPr>
                <w:sz w:val="18"/>
              </w:rPr>
              <w:t>185.8</w:t>
            </w:r>
          </w:p>
        </w:tc>
        <w:tc>
          <w:tcPr>
            <w:tcW w:type="dxa" w:w="1512"/>
          </w:tcPr>
          <w:p>
            <w:pPr>
              <w:spacing w:after="0" w:line="240" w:lineRule="auto"/>
              <w:jc w:val="center"/>
            </w:pPr>
            <w:r/>
            <w:r>
              <w:rPr>
                <w:sz w:val="18"/>
              </w:rPr>
              <w:t>63.5</w:t>
            </w:r>
          </w:p>
        </w:tc>
        <w:tc>
          <w:tcPr>
            <w:tcW w:type="dxa" w:w="1584"/>
          </w:tcPr>
          <w:p>
            <w:pPr>
              <w:spacing w:after="0" w:line="240" w:lineRule="auto"/>
              <w:jc w:val="center"/>
            </w:pPr>
            <w:r/>
            <w:r>
              <w:rPr>
                <w:sz w:val="18"/>
              </w:rPr>
              <w:t>44.6</w:t>
            </w:r>
          </w:p>
        </w:tc>
        <w:tc>
          <w:tcPr>
            <w:tcW w:type="dxa" w:w="1584"/>
          </w:tcPr>
          <w:p>
            <w:pPr>
              <w:spacing w:after="0" w:line="240" w:lineRule="auto"/>
              <w:jc w:val="center"/>
            </w:pPr>
            <w:r/>
            <w:r>
              <w:rPr>
                <w:sz w:val="18"/>
              </w:rPr>
              <w:t>19.0</w:t>
            </w:r>
          </w:p>
        </w:tc>
      </w:tr>
      <w:tr>
        <w:tc>
          <w:tcPr>
            <w:tcW w:type="dxa" w:w="3168"/>
          </w:tcPr>
          <w:p>
            <w:pPr>
              <w:spacing w:after="0" w:line="240" w:lineRule="auto"/>
            </w:pPr>
            <w:r/>
            <w:r>
              <w:rPr>
                <w:sz w:val="18"/>
              </w:rPr>
              <w:t>Mean book leverage</w:t>
            </w:r>
          </w:p>
        </w:tc>
        <w:tc>
          <w:tcPr>
            <w:tcW w:type="dxa" w:w="1512"/>
          </w:tcPr>
          <w:p>
            <w:pPr>
              <w:spacing w:after="0" w:line="240" w:lineRule="auto"/>
              <w:jc w:val="center"/>
            </w:pPr>
            <w:r/>
            <w:r>
              <w:rPr>
                <w:sz w:val="18"/>
              </w:rPr>
              <w:t>0.236</w:t>
            </w:r>
          </w:p>
        </w:tc>
        <w:tc>
          <w:tcPr>
            <w:tcW w:type="dxa" w:w="1512"/>
          </w:tcPr>
          <w:p>
            <w:pPr>
              <w:spacing w:after="0" w:line="240" w:lineRule="auto"/>
              <w:jc w:val="center"/>
            </w:pPr>
            <w:r/>
            <w:r>
              <w:rPr>
                <w:sz w:val="18"/>
              </w:rPr>
              <w:t>0.307</w:t>
            </w:r>
          </w:p>
        </w:tc>
        <w:tc>
          <w:tcPr>
            <w:tcW w:type="dxa" w:w="1584"/>
          </w:tcPr>
          <w:p>
            <w:pPr>
              <w:spacing w:after="0" w:line="240" w:lineRule="auto"/>
              <w:jc w:val="center"/>
            </w:pPr>
            <w:r/>
            <w:r>
              <w:rPr>
                <w:sz w:val="18"/>
              </w:rPr>
              <w:t>0.222</w:t>
            </w:r>
          </w:p>
        </w:tc>
        <w:tc>
          <w:tcPr>
            <w:tcW w:type="dxa" w:w="1584"/>
          </w:tcPr>
          <w:p>
            <w:pPr>
              <w:spacing w:after="0" w:line="240" w:lineRule="auto"/>
              <w:jc w:val="center"/>
            </w:pPr>
            <w:r/>
            <w:r>
              <w:rPr>
                <w:sz w:val="18"/>
              </w:rPr>
              <w:t>0.339</w:t>
            </w:r>
          </w:p>
        </w:tc>
      </w:tr>
      <w:tr>
        <w:tc>
          <w:tcPr>
            <w:tcW w:type="dxa" w:w="3168"/>
          </w:tcPr>
          <w:p>
            <w:pPr>
              <w:spacing w:after="0" w:line="240" w:lineRule="auto"/>
            </w:pPr>
            <w:r/>
            <w:r>
              <w:rPr>
                <w:sz w:val="18"/>
              </w:rPr>
              <w:t>Share with leverage above 0.5</w:t>
            </w:r>
          </w:p>
        </w:tc>
        <w:tc>
          <w:tcPr>
            <w:tcW w:type="dxa" w:w="1512"/>
          </w:tcPr>
          <w:p>
            <w:pPr>
              <w:spacing w:after="0" w:line="240" w:lineRule="auto"/>
              <w:jc w:val="center"/>
            </w:pPr>
            <w:r/>
            <w:r>
              <w:rPr>
                <w:sz w:val="18"/>
              </w:rPr>
              <w:t>0.08</w:t>
            </w:r>
          </w:p>
        </w:tc>
        <w:tc>
          <w:tcPr>
            <w:tcW w:type="dxa" w:w="1512"/>
          </w:tcPr>
          <w:p>
            <w:pPr>
              <w:spacing w:after="0" w:line="240" w:lineRule="auto"/>
              <w:jc w:val="center"/>
            </w:pPr>
            <w:r/>
            <w:r>
              <w:rPr>
                <w:sz w:val="18"/>
              </w:rPr>
              <w:t>0.15</w:t>
            </w:r>
          </w:p>
        </w:tc>
        <w:tc>
          <w:tcPr>
            <w:tcW w:type="dxa" w:w="1584"/>
          </w:tcPr>
          <w:p>
            <w:pPr>
              <w:spacing w:after="0" w:line="240" w:lineRule="auto"/>
              <w:jc w:val="center"/>
            </w:pPr>
            <w:r/>
            <w:r>
              <w:rPr>
                <w:sz w:val="18"/>
              </w:rPr>
              <w:t>0.08</w:t>
            </w:r>
          </w:p>
        </w:tc>
        <w:tc>
          <w:tcPr>
            <w:tcW w:type="dxa" w:w="1584"/>
          </w:tcPr>
          <w:p>
            <w:pPr>
              <w:spacing w:after="0" w:line="240" w:lineRule="auto"/>
              <w:jc w:val="center"/>
            </w:pPr>
            <w:r/>
            <w:r>
              <w:rPr>
                <w:sz w:val="18"/>
              </w:rPr>
              <w:t>0.25</w:t>
            </w:r>
          </w:p>
        </w:tc>
      </w:tr>
      <w:tr>
        <w:tc>
          <w:tcPr>
            <w:tcW w:type="dxa" w:w="3168"/>
          </w:tcPr>
          <w:p>
            <w:pPr>
              <w:spacing w:after="0" w:line="240" w:lineRule="auto"/>
            </w:pPr>
            <w:r/>
            <w:r>
              <w:rPr>
                <w:sz w:val="18"/>
              </w:rPr>
              <w:t>Share Indonesian</w:t>
            </w:r>
          </w:p>
        </w:tc>
        <w:tc>
          <w:tcPr>
            <w:tcW w:type="dxa" w:w="1512"/>
          </w:tcPr>
          <w:p>
            <w:pPr>
              <w:spacing w:after="0" w:line="240" w:lineRule="auto"/>
              <w:jc w:val="center"/>
            </w:pPr>
            <w:r/>
            <w:r>
              <w:rPr>
                <w:sz w:val="18"/>
              </w:rPr>
              <w:t>0.06</w:t>
            </w:r>
          </w:p>
        </w:tc>
        <w:tc>
          <w:tcPr>
            <w:tcW w:type="dxa" w:w="1512"/>
          </w:tcPr>
          <w:p>
            <w:pPr>
              <w:spacing w:after="0" w:line="240" w:lineRule="auto"/>
              <w:jc w:val="center"/>
            </w:pPr>
            <w:r/>
            <w:r>
              <w:rPr>
                <w:sz w:val="18"/>
              </w:rPr>
              <w:t>0.08</w:t>
            </w:r>
          </w:p>
        </w:tc>
        <w:tc>
          <w:tcPr>
            <w:tcW w:type="dxa" w:w="1584"/>
          </w:tcPr>
          <w:p>
            <w:pPr>
              <w:spacing w:after="0" w:line="240" w:lineRule="auto"/>
              <w:jc w:val="center"/>
            </w:pPr>
            <w:r/>
            <w:r>
              <w:rPr>
                <w:sz w:val="18"/>
              </w:rPr>
              <w:t>0.24</w:t>
            </w:r>
          </w:p>
        </w:tc>
        <w:tc>
          <w:tcPr>
            <w:tcW w:type="dxa" w:w="1584"/>
          </w:tcPr>
          <w:p>
            <w:pPr>
              <w:spacing w:after="0" w:line="240" w:lineRule="auto"/>
              <w:jc w:val="center"/>
            </w:pPr>
            <w:r/>
            <w:r>
              <w:rPr>
                <w:sz w:val="18"/>
              </w:rPr>
              <w:t>0.39</w:t>
            </w:r>
          </w:p>
        </w:tc>
      </w:tr>
      <w:tr>
        <w:tc>
          <w:tcPr>
            <w:tcW w:type="dxa" w:w="3168"/>
          </w:tcPr>
          <w:p>
            <w:pPr>
              <w:spacing w:after="0" w:line="240" w:lineRule="auto"/>
            </w:pPr>
            <w:r/>
            <w:r>
              <w:rPr>
                <w:sz w:val="18"/>
              </w:rPr>
              <w:t>Share Malaysian</w:t>
            </w:r>
          </w:p>
        </w:tc>
        <w:tc>
          <w:tcPr>
            <w:tcW w:type="dxa" w:w="1512"/>
          </w:tcPr>
          <w:p>
            <w:pPr>
              <w:spacing w:after="0" w:line="240" w:lineRule="auto"/>
              <w:jc w:val="center"/>
            </w:pPr>
            <w:r/>
            <w:r>
              <w:rPr>
                <w:sz w:val="18"/>
              </w:rPr>
              <w:t>0.59</w:t>
            </w:r>
          </w:p>
        </w:tc>
        <w:tc>
          <w:tcPr>
            <w:tcW w:type="dxa" w:w="1512"/>
          </w:tcPr>
          <w:p>
            <w:pPr>
              <w:spacing w:after="0" w:line="240" w:lineRule="auto"/>
              <w:jc w:val="center"/>
            </w:pPr>
            <w:r/>
            <w:r>
              <w:rPr>
                <w:sz w:val="18"/>
              </w:rPr>
              <w:t>0.64</w:t>
            </w:r>
          </w:p>
        </w:tc>
        <w:tc>
          <w:tcPr>
            <w:tcW w:type="dxa" w:w="1584"/>
          </w:tcPr>
          <w:p>
            <w:pPr>
              <w:spacing w:after="0" w:line="240" w:lineRule="auto"/>
              <w:jc w:val="center"/>
            </w:pPr>
            <w:r/>
            <w:r>
              <w:rPr>
                <w:sz w:val="18"/>
              </w:rPr>
              <w:t>0.21</w:t>
            </w:r>
          </w:p>
        </w:tc>
        <w:tc>
          <w:tcPr>
            <w:tcW w:type="dxa" w:w="1584"/>
          </w:tcPr>
          <w:p>
            <w:pPr>
              <w:spacing w:after="0" w:line="240" w:lineRule="auto"/>
              <w:jc w:val="center"/>
            </w:pPr>
            <w:r/>
            <w:r>
              <w:rPr>
                <w:sz w:val="18"/>
              </w:rPr>
              <w:t>0.22</w:t>
            </w:r>
          </w:p>
        </w:tc>
      </w:tr>
      <w:tr>
        <w:tc>
          <w:tcPr>
            <w:tcW w:type="dxa" w:w="3168"/>
            <w:tcBorders>
              <w:bottom w:val="single" w:sz="6" w:color="000000"/>
            </w:tcBorders>
          </w:tcPr>
          <w:p>
            <w:pPr>
              <w:spacing w:after="0" w:line="240" w:lineRule="auto"/>
            </w:pPr>
            <w:r/>
            <w:r>
              <w:rPr>
                <w:sz w:val="18"/>
              </w:rPr>
              <w:t>Mean calendar year</w:t>
            </w:r>
          </w:p>
        </w:tc>
        <w:tc>
          <w:tcPr>
            <w:tcW w:type="dxa" w:w="1512"/>
            <w:tcBorders>
              <w:bottom w:val="single" w:sz="6" w:color="000000"/>
            </w:tcBorders>
          </w:tcPr>
          <w:p>
            <w:pPr>
              <w:spacing w:after="0" w:line="240" w:lineRule="auto"/>
              <w:jc w:val="center"/>
            </w:pPr>
            <w:r/>
            <w:r>
              <w:rPr>
                <w:sz w:val="18"/>
              </w:rPr>
              <w:t>2019.3</w:t>
            </w:r>
          </w:p>
        </w:tc>
        <w:tc>
          <w:tcPr>
            <w:tcW w:type="dxa" w:w="1512"/>
            <w:tcBorders>
              <w:bottom w:val="single" w:sz="6" w:color="000000"/>
            </w:tcBorders>
          </w:tcPr>
          <w:p>
            <w:pPr>
              <w:spacing w:after="0" w:line="240" w:lineRule="auto"/>
              <w:jc w:val="center"/>
            </w:pPr>
            <w:r/>
            <w:r>
              <w:rPr>
                <w:sz w:val="18"/>
              </w:rPr>
              <w:t>2017.2</w:t>
            </w:r>
          </w:p>
        </w:tc>
        <w:tc>
          <w:tcPr>
            <w:tcW w:type="dxa" w:w="1584"/>
            <w:tcBorders>
              <w:bottom w:val="single" w:sz="6" w:color="000000"/>
            </w:tcBorders>
          </w:tcPr>
          <w:p>
            <w:pPr>
              <w:spacing w:after="0" w:line="240" w:lineRule="auto"/>
              <w:jc w:val="center"/>
            </w:pPr>
            <w:r/>
            <w:r>
              <w:rPr>
                <w:sz w:val="18"/>
              </w:rPr>
              <w:t>2019.5</w:t>
            </w:r>
          </w:p>
        </w:tc>
        <w:tc>
          <w:tcPr>
            <w:tcW w:type="dxa" w:w="1584"/>
            <w:tcBorders>
              <w:bottom w:val="single" w:sz="6" w:color="000000"/>
            </w:tcBorders>
          </w:tcPr>
          <w:p>
            <w:pPr>
              <w:spacing w:after="0" w:line="240" w:lineRule="auto"/>
              <w:jc w:val="center"/>
            </w:pPr>
            <w:r/>
            <w:r>
              <w:rPr>
                <w:sz w:val="18"/>
              </w:rPr>
              <w:t>2017.8</w:t>
            </w:r>
          </w:p>
        </w:tc>
      </w:tr>
    </w:tbl>
    <w:p>
      <w:pPr>
        <w:spacing w:line="240" w:lineRule="auto" w:after="40" w:before="80"/>
        <w:jc w:val="both"/>
      </w:pPr>
      <w:r>
        <w:rPr>
          <w:sz w:val="18"/>
        </w:rPr>
        <w:t>Note: Estimation sample, all firm-years from 2014 to 2024; amounts in U.S. dollars after winsorization at the 1st and 99th percentiles.</w:t>
      </w:r>
    </w:p>
    <w:p>
      <w:pPr>
        <w:spacing w:line="240" w:lineRule="auto" w:after="240" w:before="0"/>
      </w:pPr>
      <w:r>
        <w:rPr>
          <w:sz w:val="18"/>
        </w:rPr>
        <w:t>Source: Authors' calculations from LSEG ESG scores and Compustat Global.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