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Supplementary material</w:t>
      </w:r>
    </w:p>
    <w:p>
      <w:pPr>
        <w:spacing w:line="360" w:lineRule="auto" w:after="240" w:before="0"/>
        <w:jc w:val="center"/>
      </w:pPr>
      <w:r>
        <w:rPr>
          <w:b/>
        </w:rPr>
        <w:t>Who Gets an ESG Score? Coverage Selection and Firm Value in Five Southeast Asian Markets</w:t>
      </w:r>
    </w:p>
    <w:p>
      <w:pPr>
        <w:spacing w:line="360" w:lineRule="auto" w:after="120" w:before="0"/>
        <w:jc w:val="both"/>
      </w:pPr>
      <w:r>
        <w:rPr/>
        <w:t xml:space="preserve">This supplementary material accompanies "Who Gets an ESG Score? </w:t>
      </w:r>
      <w:r>
        <w:rPr>
          <w:color w:val="0000FF"/>
        </w:rPr>
        <w:t>Coverage Selection and Firm Value in Five Southeast Asian Markets." It presents the supplementary tables and figures first and then Appendix A, which discusses additional results.</w:t>
      </w:r>
      <w:r>
        <w:rPr/>
        <w:t xml:space="preserve"> The pre-analysis plan is provided with the replication package.</w:t>
      </w:r>
    </w:p>
    <w:p>
      <w:pPr>
        <w:keepNext/>
        <w:spacing w:line="240" w:lineRule="auto" w:after="120" w:before="240"/>
        <w:jc w:val="center"/>
      </w:pPr>
      <w:r>
        <w:rPr>
          <w:sz w:val="22"/>
        </w:rPr>
        <w:t xml:space="preserve">Table S1. </w:t>
      </w:r>
      <w:r>
        <w:rPr>
          <w:color w:val="0000FF"/>
          <w:sz w:val="22"/>
        </w:rPr>
        <w:t>Number of non-financial firms by year of first recorded LSEG ESG score and market</w:t>
      </w:r>
    </w:p>
    <w:tbl>
      <w:tblPr>
        <w:tblW w:type="auto" w:w="0"/>
        <w:jc w:val="center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firstColumn="1" w:firstRow="1" w:lastColumn="0" w:lastRow="0" w:noHBand="0" w:noVBand="1" w:val="04A0"/>
      </w:tblPr>
      <w:tblGrid>
        <w:gridCol w:w="1872"/>
        <w:gridCol w:w="1224"/>
        <w:gridCol w:w="1224"/>
        <w:gridCol w:w="1296"/>
        <w:gridCol w:w="1296"/>
        <w:gridCol w:w="1224"/>
        <w:gridCol w:w="1080"/>
      </w:tblGrid>
      <w:tr>
        <w:trPr>
          <w:cantSplit/>
          <w:tblHeader/>
        </w:trPr>
        <w:tc>
          <w:tcPr>
            <w:tcW w:type="dxa" w:w="1872"/>
            <w:tcBorders>
              <w:top w:val="single" w:sz="6" w:color="000000"/>
              <w:bottom w:val="single" w:sz="6" w:color="000000"/>
            </w:tcBorders>
          </w:tcPr>
          <w:p>
            <w:pPr>
              <w:keepNext/>
              <w:spacing w:after="0" w:line="240" w:lineRule="auto"/>
            </w:pPr>
            <w:r/>
            <w:r>
              <w:rPr>
                <w:b/>
                <w:color w:val="0000FF"/>
                <w:sz w:val="18"/>
              </w:rPr>
              <w:t>First recorded score year</w:t>
            </w:r>
          </w:p>
        </w:tc>
        <w:tc>
          <w:tcPr>
            <w:tcW w:type="dxa" w:w="1224"/>
            <w:tcBorders>
              <w:top w:val="single" w:sz="6" w:color="000000"/>
              <w:bottom w:val="single" w:sz="6" w:color="000000"/>
            </w:tcBorders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Indonesia</w:t>
            </w:r>
          </w:p>
        </w:tc>
        <w:tc>
          <w:tcPr>
            <w:tcW w:type="dxa" w:w="1224"/>
            <w:tcBorders>
              <w:top w:val="single" w:sz="6" w:color="000000"/>
              <w:bottom w:val="single" w:sz="6" w:color="000000"/>
            </w:tcBorders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Malaysia</w:t>
            </w:r>
          </w:p>
        </w:tc>
        <w:tc>
          <w:tcPr>
            <w:tcW w:type="dxa" w:w="1296"/>
            <w:tcBorders>
              <w:top w:val="single" w:sz="6" w:color="000000"/>
              <w:bottom w:val="single" w:sz="6" w:color="000000"/>
            </w:tcBorders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Philippines</w:t>
            </w:r>
          </w:p>
        </w:tc>
        <w:tc>
          <w:tcPr>
            <w:tcW w:type="dxa" w:w="1296"/>
            <w:tcBorders>
              <w:top w:val="single" w:sz="6" w:color="000000"/>
              <w:bottom w:val="single" w:sz="6" w:color="000000"/>
            </w:tcBorders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Singapore</w:t>
            </w:r>
          </w:p>
        </w:tc>
        <w:tc>
          <w:tcPr>
            <w:tcW w:type="dxa" w:w="1224"/>
            <w:tcBorders>
              <w:top w:val="single" w:sz="6" w:color="000000"/>
              <w:bottom w:val="single" w:sz="6" w:color="000000"/>
            </w:tcBorders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Thailand</w:t>
            </w:r>
          </w:p>
        </w:tc>
        <w:tc>
          <w:tcPr>
            <w:tcW w:type="dxa" w:w="1080"/>
            <w:tcBorders>
              <w:top w:val="single" w:sz="6" w:color="000000"/>
              <w:bottom w:val="single" w:sz="6" w:color="000000"/>
            </w:tcBorders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Total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2015</w:t>
            </w:r>
          </w:p>
        </w:tc>
        <w:tc>
          <w:tcPr>
            <w:tcW w:type="dxa" w:w="122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22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296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296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22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2016</w:t>
            </w:r>
          </w:p>
        </w:tc>
        <w:tc>
          <w:tcPr>
            <w:tcW w:type="dxa" w:w="122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22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296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296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22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2017</w:t>
            </w:r>
          </w:p>
        </w:tc>
        <w:tc>
          <w:tcPr>
            <w:tcW w:type="dxa" w:w="122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22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296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296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22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2018</w:t>
            </w:r>
          </w:p>
        </w:tc>
        <w:tc>
          <w:tcPr>
            <w:tcW w:type="dxa" w:w="122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22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296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296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22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2019</w:t>
            </w:r>
          </w:p>
        </w:tc>
        <w:tc>
          <w:tcPr>
            <w:tcW w:type="dxa" w:w="122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22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296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296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122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18</w:t>
            </w:r>
          </w:p>
        </w:tc>
        <w:tc>
          <w:tcPr>
            <w:tcW w:type="dxa" w:w="1080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30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2020</w:t>
            </w:r>
          </w:p>
        </w:tc>
        <w:tc>
          <w:tcPr>
            <w:tcW w:type="dxa" w:w="122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22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296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296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34</w:t>
            </w:r>
          </w:p>
        </w:tc>
        <w:tc>
          <w:tcPr>
            <w:tcW w:type="dxa" w:w="122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47</w:t>
            </w:r>
          </w:p>
        </w:tc>
        <w:tc>
          <w:tcPr>
            <w:tcW w:type="dxa" w:w="1080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90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2021</w:t>
            </w:r>
          </w:p>
        </w:tc>
        <w:tc>
          <w:tcPr>
            <w:tcW w:type="dxa" w:w="122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122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96</w:t>
            </w:r>
          </w:p>
        </w:tc>
        <w:tc>
          <w:tcPr>
            <w:tcW w:type="dxa" w:w="1296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296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22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31</w:t>
            </w:r>
          </w:p>
        </w:tc>
        <w:tc>
          <w:tcPr>
            <w:tcW w:type="dxa" w:w="1080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141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2022</w:t>
            </w:r>
          </w:p>
        </w:tc>
        <w:tc>
          <w:tcPr>
            <w:tcW w:type="dxa" w:w="122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13</w:t>
            </w:r>
          </w:p>
        </w:tc>
        <w:tc>
          <w:tcPr>
            <w:tcW w:type="dxa" w:w="122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193</w:t>
            </w:r>
          </w:p>
        </w:tc>
        <w:tc>
          <w:tcPr>
            <w:tcW w:type="dxa" w:w="1296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296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22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26</w:t>
            </w:r>
          </w:p>
        </w:tc>
        <w:tc>
          <w:tcPr>
            <w:tcW w:type="dxa" w:w="1080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237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2023</w:t>
            </w:r>
          </w:p>
        </w:tc>
        <w:tc>
          <w:tcPr>
            <w:tcW w:type="dxa" w:w="122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22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83</w:t>
            </w:r>
          </w:p>
        </w:tc>
        <w:tc>
          <w:tcPr>
            <w:tcW w:type="dxa" w:w="1296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296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22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16</w:t>
            </w:r>
          </w:p>
        </w:tc>
        <w:tc>
          <w:tcPr>
            <w:tcW w:type="dxa" w:w="1080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109</w:t>
            </w:r>
          </w:p>
        </w:tc>
      </w:tr>
      <w:tr>
        <w:trPr>
          <w:cantSplit/>
        </w:trPr>
        <w:tc>
          <w:tcPr>
            <w:tcW w:type="dxa" w:w="1872"/>
            <w:tcBorders>
              <w:bottom w:val="single" w:sz="6" w:color="000000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2024</w:t>
            </w:r>
          </w:p>
        </w:tc>
        <w:tc>
          <w:tcPr>
            <w:tcW w:type="dxa" w:w="1224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224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16</w:t>
            </w:r>
          </w:p>
        </w:tc>
        <w:tc>
          <w:tcPr>
            <w:tcW w:type="dxa" w:w="1296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296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224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17</w:t>
            </w:r>
          </w:p>
        </w:tc>
        <w:tc>
          <w:tcPr>
            <w:tcW w:type="dxa" w:w="1080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36</w:t>
            </w:r>
          </w:p>
        </w:tc>
      </w:tr>
    </w:tbl>
    <w:p>
      <w:pPr>
        <w:spacing w:line="240" w:lineRule="auto" w:after="40" w:before="280"/>
        <w:jc w:val="both"/>
      </w:pPr>
      <w:r>
        <w:rPr>
          <w:sz w:val="18"/>
        </w:rPr>
        <w:t>Note: Firms first scored in 2014 are excluded because they have no pre-coverage year.</w:t>
      </w:r>
    </w:p>
    <w:p>
      <w:pPr>
        <w:keepNext/>
        <w:spacing w:line="240" w:lineRule="auto" w:after="120" w:before="240"/>
        <w:jc w:val="center"/>
      </w:pPr>
      <w:r>
        <w:rPr>
          <w:sz w:val="22"/>
        </w:rPr>
        <w:t xml:space="preserve">Figure S1. </w:t>
      </w:r>
      <w:r>
        <w:rPr>
          <w:color w:val="0000FF"/>
          <w:sz w:val="22"/>
        </w:rPr>
        <w:t>Number of non-financial firms by year of first recorded LSEG ESG score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3108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IA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40" w:before="280"/>
        <w:jc w:val="both"/>
      </w:pPr>
      <w:r>
        <w:rPr>
          <w:color w:val="0000FF"/>
          <w:sz w:val="18"/>
        </w:rPr>
        <w:t>Note: Firms in the estimation sample, all five markets combined.</w:t>
      </w:r>
    </w:p>
    <w:p>
      <w:pPr>
        <w:keepNext/>
        <w:spacing w:line="240" w:lineRule="auto" w:after="120" w:before="240"/>
        <w:jc w:val="center"/>
      </w:pPr>
      <w:r>
        <w:rPr>
          <w:sz w:val="22"/>
        </w:rPr>
        <w:t>Table S2. Firm-years and firms available for each outcome</w:t>
      </w:r>
    </w:p>
    <w:tbl>
      <w:tblPr>
        <w:tblW w:type="auto" w:w="0"/>
        <w:jc w:val="center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firstColumn="1" w:firstRow="1" w:lastColumn="0" w:lastRow="0" w:noHBand="0" w:noVBand="1" w:val="04A0"/>
      </w:tblPr>
      <w:tblGrid>
        <w:gridCol w:w="2448"/>
        <w:gridCol w:w="1440"/>
        <w:gridCol w:w="1296"/>
        <w:gridCol w:w="1440"/>
        <w:gridCol w:w="1296"/>
        <w:gridCol w:w="1440"/>
      </w:tblGrid>
      <w:tr>
        <w:trPr>
          <w:cantSplit/>
          <w:tblHeader/>
        </w:trPr>
        <w:tc>
          <w:tcPr>
            <w:tcW w:type="dxa" w:w="2448"/>
            <w:tcBorders>
              <w:top w:val="single" w:sz="6" w:color="000000"/>
              <w:bottom w:val="single" w:sz="6" w:color="000000"/>
            </w:tcBorders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Outcome</w:t>
            </w:r>
          </w:p>
        </w:tc>
        <w:tc>
          <w:tcPr>
            <w:tcW w:type="dxa" w:w="1440"/>
            <w:tcBorders>
              <w:top w:val="single" w:sz="6" w:color="000000"/>
              <w:bottom w:val="single" w:sz="6" w:color="000000"/>
            </w:tcBorders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Scored firm-years</w:t>
            </w:r>
          </w:p>
        </w:tc>
        <w:tc>
          <w:tcPr>
            <w:tcW w:type="dxa" w:w="1296"/>
            <w:tcBorders>
              <w:top w:val="single" w:sz="6" w:color="000000"/>
              <w:bottom w:val="single" w:sz="6" w:color="000000"/>
            </w:tcBorders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Scored firms</w:t>
            </w:r>
          </w:p>
        </w:tc>
        <w:tc>
          <w:tcPr>
            <w:tcW w:type="dxa" w:w="1440"/>
            <w:tcBorders>
              <w:top w:val="single" w:sz="6" w:color="000000"/>
              <w:bottom w:val="single" w:sz="6" w:color="000000"/>
            </w:tcBorders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Never-scored firm-years</w:t>
            </w:r>
          </w:p>
        </w:tc>
        <w:tc>
          <w:tcPr>
            <w:tcW w:type="dxa" w:w="1296"/>
            <w:tcBorders>
              <w:top w:val="single" w:sz="6" w:color="000000"/>
              <w:bottom w:val="single" w:sz="6" w:color="000000"/>
            </w:tcBorders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Never-scored firms</w:t>
            </w:r>
          </w:p>
        </w:tc>
        <w:tc>
          <w:tcPr>
            <w:tcW w:type="dxa" w:w="1440"/>
            <w:tcBorders>
              <w:top w:val="single" w:sz="6" w:color="000000"/>
              <w:bottom w:val="single" w:sz="6" w:color="000000"/>
            </w:tcBorders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Share missing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ln(MTB)</w:t>
            </w:r>
          </w:p>
        </w:tc>
        <w:tc>
          <w:tcPr>
            <w:tcW w:type="dxa" w:w="1440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6,482</w:t>
            </w:r>
          </w:p>
        </w:tc>
        <w:tc>
          <w:tcPr>
            <w:tcW w:type="dxa" w:w="1296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674</w:t>
            </w:r>
          </w:p>
        </w:tc>
        <w:tc>
          <w:tcPr>
            <w:tcW w:type="dxa" w:w="1440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20,706</w:t>
            </w:r>
          </w:p>
        </w:tc>
        <w:tc>
          <w:tcPr>
            <w:tcW w:type="dxa" w:w="1296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2,552</w:t>
            </w:r>
          </w:p>
        </w:tc>
        <w:tc>
          <w:tcPr>
            <w:tcW w:type="dxa" w:w="1440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0.164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ln(market cap)</w:t>
            </w:r>
          </w:p>
        </w:tc>
        <w:tc>
          <w:tcPr>
            <w:tcW w:type="dxa" w:w="1440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6,710</w:t>
            </w:r>
          </w:p>
        </w:tc>
        <w:tc>
          <w:tcPr>
            <w:tcW w:type="dxa" w:w="1296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675</w:t>
            </w:r>
          </w:p>
        </w:tc>
        <w:tc>
          <w:tcPr>
            <w:tcW w:type="dxa" w:w="1440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22,417</w:t>
            </w:r>
          </w:p>
        </w:tc>
        <w:tc>
          <w:tcPr>
            <w:tcW w:type="dxa" w:w="1296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2,576</w:t>
            </w:r>
          </w:p>
        </w:tc>
        <w:tc>
          <w:tcPr>
            <w:tcW w:type="dxa" w:w="1440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0.104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Leverage</w:t>
            </w:r>
            <w:r>
              <w:br/>
            </w:r>
            <w:r>
              <w:rPr>
                <w:b/>
                <w:sz w:val="18"/>
              </w:rPr>
              <w:t>(ratio)</w:t>
            </w:r>
          </w:p>
        </w:tc>
        <w:tc>
          <w:tcPr>
            <w:tcW w:type="dxa" w:w="1440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6,524</w:t>
            </w:r>
          </w:p>
        </w:tc>
        <w:tc>
          <w:tcPr>
            <w:tcW w:type="dxa" w:w="1296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672</w:t>
            </w:r>
          </w:p>
        </w:tc>
        <w:tc>
          <w:tcPr>
            <w:tcW w:type="dxa" w:w="1440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22,333</w:t>
            </w:r>
          </w:p>
        </w:tc>
        <w:tc>
          <w:tcPr>
            <w:tcW w:type="dxa" w:w="1296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2,547</w:t>
            </w:r>
          </w:p>
        </w:tc>
        <w:tc>
          <w:tcPr>
            <w:tcW w:type="dxa" w:w="1440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0.113</w:t>
            </w:r>
          </w:p>
        </w:tc>
      </w:tr>
      <w:tr>
        <w:trPr>
          <w:cantSplit/>
        </w:trPr>
        <w:tc>
          <w:tcPr>
            <w:tcW w:type="dxa" w:w="2448"/>
            <w:tcBorders>
              <w:bottom w:val="single" w:sz="6" w:color="000000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ln(assets)</w:t>
            </w:r>
          </w:p>
        </w:tc>
        <w:tc>
          <w:tcPr>
            <w:tcW w:type="dxa" w:w="1440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6,916</w:t>
            </w:r>
          </w:p>
        </w:tc>
        <w:tc>
          <w:tcPr>
            <w:tcW w:type="dxa" w:w="1296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675</w:t>
            </w:r>
          </w:p>
        </w:tc>
        <w:tc>
          <w:tcPr>
            <w:tcW w:type="dxa" w:w="1440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24,814</w:t>
            </w:r>
          </w:p>
        </w:tc>
        <w:tc>
          <w:tcPr>
            <w:tcW w:type="dxa" w:w="1296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2,611</w:t>
            </w:r>
          </w:p>
        </w:tc>
        <w:tc>
          <w:tcPr>
            <w:tcW w:type="dxa" w:w="1440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0.024</w:t>
            </w:r>
          </w:p>
        </w:tc>
      </w:tr>
    </w:tbl>
    <w:p>
      <w:pPr>
        <w:spacing w:line="240" w:lineRule="auto" w:after="40" w:before="280"/>
        <w:jc w:val="both"/>
      </w:pPr>
      <w:r>
        <w:rPr>
          <w:color w:val="0000FF"/>
          <w:sz w:val="18"/>
        </w:rPr>
        <w:t>Note: Estimation sample; the last column is the share of listed firm-years with a missing outcome.</w:t>
      </w:r>
    </w:p>
    <w:p>
      <w:pPr>
        <w:keepNext/>
        <w:spacing w:line="240" w:lineRule="auto" w:after="120" w:before="240"/>
        <w:jc w:val="center"/>
      </w:pPr>
      <w:r>
        <w:rPr>
          <w:sz w:val="22"/>
        </w:rPr>
        <w:t>Table S3. Scored firms and control firms by event year for ln(MTB)</w:t>
      </w:r>
    </w:p>
    <w:tbl>
      <w:tblPr>
        <w:tblW w:type="auto" w:w="0"/>
        <w:jc w:val="center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firstColumn="1" w:firstRow="1" w:lastColumn="0" w:lastRow="0" w:noHBand="0" w:noVBand="1" w:val="04A0"/>
      </w:tblPr>
      <w:tblGrid>
        <w:gridCol w:w="1728"/>
        <w:gridCol w:w="1872"/>
        <w:gridCol w:w="1584"/>
        <w:gridCol w:w="3168"/>
      </w:tblGrid>
      <w:tr>
        <w:trPr>
          <w:cantSplit/>
          <w:tblHeader/>
        </w:trPr>
        <w:tc>
          <w:tcPr>
            <w:tcW w:type="dxa" w:w="1728"/>
            <w:tcBorders>
              <w:top w:val="single" w:sz="6" w:color="000000"/>
              <w:bottom w:val="single" w:sz="6" w:color="000000"/>
            </w:tcBorders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Event year</w:t>
            </w:r>
          </w:p>
        </w:tc>
        <w:tc>
          <w:tcPr>
            <w:tcW w:type="dxa" w:w="1872"/>
            <w:tcBorders>
              <w:top w:val="single" w:sz="6" w:color="000000"/>
              <w:bottom w:val="single" w:sz="6" w:color="000000"/>
            </w:tcBorders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Scored firms</w:t>
            </w:r>
          </w:p>
        </w:tc>
        <w:tc>
          <w:tcPr>
            <w:tcW w:type="dxa" w:w="1584"/>
            <w:tcBorders>
              <w:top w:val="single" w:sz="6" w:color="000000"/>
              <w:bottom w:val="single" w:sz="6" w:color="000000"/>
            </w:tcBorders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Cohorts</w:t>
            </w:r>
          </w:p>
        </w:tc>
        <w:tc>
          <w:tcPr>
            <w:tcW w:type="dxa" w:w="3168"/>
            <w:tcBorders>
              <w:top w:val="single" w:sz="6" w:color="000000"/>
              <w:bottom w:val="single" w:sz="6" w:color="000000"/>
            </w:tcBorders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Control firms (range)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−5</w:t>
            </w:r>
          </w:p>
        </w:tc>
        <w:tc>
          <w:tcPr>
            <w:tcW w:type="dxa" w:w="187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497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3168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1,420–1,732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−4</w:t>
            </w:r>
          </w:p>
        </w:tc>
        <w:tc>
          <w:tcPr>
            <w:tcW w:type="dxa" w:w="187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521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3168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1,431–1,800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−3</w:t>
            </w:r>
          </w:p>
        </w:tc>
        <w:tc>
          <w:tcPr>
            <w:tcW w:type="dxa" w:w="187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549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3168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1,444–1,899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−2</w:t>
            </w:r>
          </w:p>
        </w:tc>
        <w:tc>
          <w:tcPr>
            <w:tcW w:type="dxa" w:w="187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581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3168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1,455–2,065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0</w:t>
            </w:r>
          </w:p>
        </w:tc>
        <w:tc>
          <w:tcPr>
            <w:tcW w:type="dxa" w:w="187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615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3168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1,453–2,189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187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578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3168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1,442–2,034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2</w:t>
            </w:r>
          </w:p>
        </w:tc>
        <w:tc>
          <w:tcPr>
            <w:tcW w:type="dxa" w:w="187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483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3168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1,430–1,895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3</w:t>
            </w:r>
          </w:p>
        </w:tc>
        <w:tc>
          <w:tcPr>
            <w:tcW w:type="dxa" w:w="187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270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3168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1,418–1,796</w:t>
            </w:r>
          </w:p>
        </w:tc>
      </w:tr>
      <w:tr>
        <w:trPr>
          <w:cantSplit/>
        </w:trPr>
        <w:tc>
          <w:tcPr>
            <w:tcW w:type="dxa" w:w="1728"/>
            <w:tcBorders>
              <w:bottom w:val="single" w:sz="6" w:color="000000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4</w:t>
            </w:r>
          </w:p>
        </w:tc>
        <w:tc>
          <w:tcPr>
            <w:tcW w:type="dxa" w:w="1872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141</w:t>
            </w:r>
          </w:p>
        </w:tc>
        <w:tc>
          <w:tcPr>
            <w:tcW w:type="dxa" w:w="1584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3168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1,407–1,732</w:t>
            </w:r>
          </w:p>
        </w:tc>
      </w:tr>
    </w:tbl>
    <w:p>
      <w:pPr>
        <w:spacing w:line="240" w:lineRule="auto" w:after="40" w:before="280"/>
        <w:jc w:val="both"/>
      </w:pPr>
      <w:r>
        <w:rPr>
          <w:color w:val="0000FF"/>
          <w:sz w:val="18"/>
        </w:rPr>
        <w:t>Note: Scored firms are summed over cohorts; control firms show the range across cohort cells.</w:t>
      </w:r>
    </w:p>
    <w:p>
      <w:pPr>
        <w:keepNext/>
        <w:spacing w:line="240" w:lineRule="auto" w:after="120" w:before="240"/>
        <w:jc w:val="center"/>
      </w:pPr>
      <w:r>
        <w:rPr>
          <w:sz w:val="22"/>
        </w:rPr>
        <w:t xml:space="preserve">Table S4. </w:t>
      </w:r>
      <w:r>
        <w:rPr>
          <w:color w:val="0000FF"/>
          <w:sz w:val="22"/>
        </w:rPr>
        <w:t>Alternative specifications, inference, and initial-score splits for the average change after the first recorded LSEG ESG score</w:t>
      </w:r>
    </w:p>
    <w:tbl>
      <w:tblPr>
        <w:tblW w:type="auto" w:w="0"/>
        <w:jc w:val="center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firstColumn="1" w:firstRow="1" w:lastColumn="0" w:lastRow="0" w:noHBand="0" w:noVBand="1" w:val="04A0"/>
      </w:tblPr>
      <w:tblGrid>
        <w:gridCol w:w="3311"/>
        <w:gridCol w:w="1584"/>
        <w:gridCol w:w="1080"/>
        <w:gridCol w:w="1584"/>
        <w:gridCol w:w="1080"/>
      </w:tblGrid>
      <w:tr>
        <w:trPr>
          <w:cantSplit/>
          <w:tblHeader/>
        </w:trPr>
        <w:tc>
          <w:tcPr>
            <w:tcW w:type="dxa" w:w="3312"/>
            <w:tcBorders>
              <w:top w:val="single" w:sz="6" w:color="000000"/>
              <w:bottom w:val="single" w:sz="6" w:color="000000"/>
            </w:tcBorders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1584"/>
            <w:tcBorders>
              <w:top w:val="single" w:sz="6" w:color="000000"/>
              <w:bottom w:val="single" w:sz="6" w:color="000000"/>
            </w:tcBorders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ln(MTB)</w:t>
            </w:r>
          </w:p>
        </w:tc>
        <w:tc>
          <w:tcPr>
            <w:tcW w:type="dxa" w:w="1080"/>
            <w:tcBorders>
              <w:top w:val="single" w:sz="6" w:color="000000"/>
              <w:bottom w:val="single" w:sz="6" w:color="000000"/>
            </w:tcBorders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Pre-trend p</w:t>
            </w:r>
          </w:p>
        </w:tc>
        <w:tc>
          <w:tcPr>
            <w:tcW w:type="dxa" w:w="1584"/>
            <w:tcBorders>
              <w:top w:val="single" w:sz="6" w:color="000000"/>
              <w:bottom w:val="single" w:sz="6" w:color="000000"/>
            </w:tcBorders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ln(market cap)</w:t>
            </w:r>
          </w:p>
        </w:tc>
        <w:tc>
          <w:tcPr>
            <w:tcW w:type="dxa" w:w="1080"/>
            <w:tcBorders>
              <w:top w:val="single" w:sz="6" w:color="000000"/>
              <w:bottom w:val="single" w:sz="6" w:color="000000"/>
            </w:tcBorders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 xml:space="preserve">Pre-trend p 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Baseline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0.002</w:t>
            </w:r>
            <w:r>
              <w:br/>
            </w:r>
            <w:r>
              <w:rPr>
                <w:sz w:val="18"/>
              </w:rPr>
              <w:t>(0.024)</w:t>
            </w:r>
          </w:p>
        </w:tc>
        <w:tc>
          <w:tcPr>
            <w:tcW w:type="dxa" w:w="1080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0.074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−0.055*</w:t>
            </w:r>
            <w:r>
              <w:br/>
            </w:r>
            <w:r>
              <w:rPr>
                <w:sz w:val="18"/>
              </w:rPr>
              <w:t>(0.030)</w:t>
            </w:r>
          </w:p>
        </w:tc>
        <w:tc>
          <w:tcPr>
            <w:tcW w:type="dxa" w:w="1080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0.022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Baseline, market-by-industry cluster bootstrap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0.002</w:t>
            </w:r>
            <w:r>
              <w:br/>
            </w:r>
            <w:r>
              <w:rPr>
                <w:sz w:val="18"/>
              </w:rPr>
              <w:t>(0.027)</w:t>
            </w:r>
          </w:p>
        </w:tc>
        <w:tc>
          <w:tcPr>
            <w:tcW w:type="dxa" w:w="1080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0.225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−0.055</w:t>
            </w:r>
            <w:r>
              <w:br/>
            </w:r>
            <w:r>
              <w:rPr>
                <w:sz w:val="18"/>
              </w:rPr>
              <w:t>(0.037)</w:t>
            </w:r>
          </w:p>
        </w:tc>
        <w:tc>
          <w:tcPr>
            <w:tcW w:type="dxa" w:w="1080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0.001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color w:val="0000FF"/>
                <w:sz w:val="18"/>
              </w:rPr>
              <w:t>One year later, market-by-industry cluster bootstrap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−0.068***</w:t>
            </w:r>
            <w:r>
              <w:br/>
            </w:r>
            <w:r>
              <w:rPr>
                <w:sz w:val="18"/>
              </w:rPr>
              <w:t>(0.026)</w:t>
            </w:r>
          </w:p>
        </w:tc>
        <w:tc>
          <w:tcPr>
            <w:tcW w:type="dxa" w:w="1080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0.237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−0.073**</w:t>
            </w:r>
            <w:r>
              <w:br/>
            </w:r>
            <w:r>
              <w:rPr>
                <w:sz w:val="18"/>
              </w:rPr>
              <w:t>(0.031)</w:t>
            </w:r>
          </w:p>
        </w:tc>
        <w:tc>
          <w:tcPr>
            <w:tcW w:type="dxa" w:w="1080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0.002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No covariates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0.025</w:t>
            </w:r>
            <w:r>
              <w:br/>
            </w:r>
            <w:r>
              <w:rPr>
                <w:sz w:val="18"/>
              </w:rPr>
              <w:t>(0.022)</w:t>
            </w:r>
          </w:p>
        </w:tc>
        <w:tc>
          <w:tcPr>
            <w:tcW w:type="dxa" w:w="1080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0.028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0.016</w:t>
            </w:r>
            <w:r>
              <w:br/>
            </w:r>
            <w:r>
              <w:rPr>
                <w:sz w:val="18"/>
              </w:rPr>
              <w:t>(0.025)</w:t>
            </w:r>
          </w:p>
        </w:tc>
        <w:tc>
          <w:tcPr>
            <w:tcW w:type="dxa" w:w="1080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&lt;0.001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Size measured at g − 3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−0.008</w:t>
            </w:r>
            <w:r>
              <w:br/>
            </w:r>
            <w:r>
              <w:rPr>
                <w:sz w:val="18"/>
              </w:rPr>
              <w:t>(0.025)</w:t>
            </w:r>
          </w:p>
        </w:tc>
        <w:tc>
          <w:tcPr>
            <w:tcW w:type="dxa" w:w="1080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0.176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−0.059*</w:t>
            </w:r>
            <w:r>
              <w:br/>
            </w:r>
            <w:r>
              <w:rPr>
                <w:sz w:val="18"/>
              </w:rPr>
              <w:t>(0.032)</w:t>
            </w:r>
          </w:p>
        </w:tc>
        <w:tc>
          <w:tcPr>
            <w:tcW w:type="dxa" w:w="1080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&lt;0.001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Size quintile indicators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−0.010</w:t>
            </w:r>
            <w:r>
              <w:br/>
            </w:r>
            <w:r>
              <w:rPr>
                <w:sz w:val="18"/>
              </w:rPr>
              <w:t>(0.023)</w:t>
            </w:r>
          </w:p>
        </w:tc>
        <w:tc>
          <w:tcPr>
            <w:tcW w:type="dxa" w:w="1080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0.072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−0.053*</w:t>
            </w:r>
            <w:r>
              <w:br/>
            </w:r>
            <w:r>
              <w:rPr>
                <w:sz w:val="18"/>
              </w:rPr>
              <w:t>(0.029)</w:t>
            </w:r>
          </w:p>
        </w:tc>
        <w:tc>
          <w:tcPr>
            <w:tcW w:type="dxa" w:w="1080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0.016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Scored firms within control size range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−0.021</w:t>
            </w:r>
            <w:r>
              <w:br/>
            </w:r>
            <w:r>
              <w:rPr>
                <w:sz w:val="18"/>
              </w:rPr>
              <w:t>(0.026)</w:t>
            </w:r>
          </w:p>
        </w:tc>
        <w:tc>
          <w:tcPr>
            <w:tcW w:type="dxa" w:w="1080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0.212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−0.096***</w:t>
            </w:r>
            <w:r>
              <w:br/>
            </w:r>
            <w:r>
              <w:rPr>
                <w:sz w:val="18"/>
              </w:rPr>
              <w:t>(0.035)</w:t>
            </w:r>
          </w:p>
        </w:tc>
        <w:tc>
          <w:tcPr>
            <w:tcW w:type="dxa" w:w="1080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0.133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color w:val="0000FF"/>
                <w:sz w:val="18"/>
              </w:rPr>
              <w:t>Dated one year later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−0.068***</w:t>
            </w:r>
            <w:r>
              <w:br/>
            </w:r>
            <w:r>
              <w:rPr>
                <w:sz w:val="18"/>
              </w:rPr>
              <w:t>(0.024)</w:t>
            </w:r>
          </w:p>
        </w:tc>
        <w:tc>
          <w:tcPr>
            <w:tcW w:type="dxa" w:w="1080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0.072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−0.073**</w:t>
            </w:r>
            <w:r>
              <w:br/>
            </w:r>
            <w:r>
              <w:rPr>
                <w:sz w:val="18"/>
              </w:rPr>
              <w:t>(0.030)</w:t>
            </w:r>
          </w:p>
        </w:tc>
        <w:tc>
          <w:tcPr>
            <w:tcW w:type="dxa" w:w="1080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0.002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color w:val="0000FF"/>
                <w:sz w:val="18"/>
              </w:rPr>
              <w:t>One year later, size at original g − 1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−0.074***</w:t>
            </w:r>
            <w:r>
              <w:br/>
            </w:r>
            <w:r>
              <w:rPr>
                <w:sz w:val="18"/>
              </w:rPr>
              <w:t>(0.024)</w:t>
            </w:r>
          </w:p>
        </w:tc>
        <w:tc>
          <w:tcPr>
            <w:tcW w:type="dxa" w:w="1080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0.066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−0.060**</w:t>
            </w:r>
            <w:r>
              <w:br/>
            </w:r>
            <w:r>
              <w:rPr>
                <w:sz w:val="18"/>
              </w:rPr>
              <w:t>(0.029)</w:t>
            </w:r>
          </w:p>
        </w:tc>
        <w:tc>
          <w:tcPr>
            <w:tcW w:type="dxa" w:w="1080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0.005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Dated two years later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−0.048*</w:t>
            </w:r>
            <w:r>
              <w:br/>
            </w:r>
            <w:r>
              <w:rPr>
                <w:sz w:val="18"/>
              </w:rPr>
              <w:t>(0.025)</w:t>
            </w:r>
          </w:p>
        </w:tc>
        <w:tc>
          <w:tcPr>
            <w:tcW w:type="dxa" w:w="1080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0.023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−0.022</w:t>
            </w:r>
            <w:r>
              <w:br/>
            </w:r>
            <w:r>
              <w:rPr>
                <w:sz w:val="18"/>
              </w:rPr>
              <w:t>(0.028)</w:t>
            </w:r>
          </w:p>
        </w:tc>
        <w:tc>
          <w:tcPr>
            <w:tcW w:type="dxa" w:w="1080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0.076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color w:val="0000FF"/>
                <w:sz w:val="18"/>
              </w:rPr>
              <w:t>Malaysia, first recorded 2021–2022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0.021</w:t>
            </w:r>
            <w:r>
              <w:br/>
            </w:r>
            <w:r>
              <w:rPr>
                <w:sz w:val="18"/>
              </w:rPr>
              <w:t>(0.037)</w:t>
            </w:r>
          </w:p>
        </w:tc>
        <w:tc>
          <w:tcPr>
            <w:tcW w:type="dxa" w:w="1080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0.549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−0.146***</w:t>
            </w:r>
            <w:r>
              <w:br/>
            </w:r>
            <w:r>
              <w:rPr>
                <w:sz w:val="18"/>
              </w:rPr>
              <w:t>(0.051)</w:t>
            </w:r>
          </w:p>
        </w:tc>
        <w:tc>
          <w:tcPr>
            <w:tcW w:type="dxa" w:w="1080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0.491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Thailand and Singapore, 2019–2020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−0.009</w:t>
            </w:r>
            <w:r>
              <w:br/>
            </w:r>
            <w:r>
              <w:rPr>
                <w:sz w:val="18"/>
              </w:rPr>
              <w:t>(0.048)</w:t>
            </w:r>
          </w:p>
        </w:tc>
        <w:tc>
          <w:tcPr>
            <w:tcW w:type="dxa" w:w="1080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0.006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0.041</w:t>
            </w:r>
            <w:r>
              <w:br/>
            </w:r>
            <w:r>
              <w:rPr>
                <w:sz w:val="18"/>
              </w:rPr>
              <w:t>(0.052)</w:t>
            </w:r>
          </w:p>
        </w:tc>
        <w:tc>
          <w:tcPr>
            <w:tcW w:type="dxa" w:w="1080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&lt;0.001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All other cohorts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−0.016</w:t>
            </w:r>
            <w:r>
              <w:br/>
            </w:r>
            <w:r>
              <w:rPr>
                <w:sz w:val="18"/>
              </w:rPr>
              <w:t>(0.034)</w:t>
            </w:r>
          </w:p>
        </w:tc>
        <w:tc>
          <w:tcPr>
            <w:tcW w:type="dxa" w:w="1080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0.006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0.005</w:t>
            </w:r>
            <w:r>
              <w:br/>
            </w:r>
            <w:r>
              <w:rPr>
                <w:sz w:val="18"/>
              </w:rPr>
              <w:t>(0.037)</w:t>
            </w:r>
          </w:p>
        </w:tc>
        <w:tc>
          <w:tcPr>
            <w:tcW w:type="dxa" w:w="1080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0.652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Cohorts first scored by 2019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0.094**</w:t>
            </w:r>
            <w:r>
              <w:br/>
            </w:r>
            <w:r>
              <w:rPr>
                <w:sz w:val="18"/>
              </w:rPr>
              <w:t>(0.047)</w:t>
            </w:r>
          </w:p>
        </w:tc>
        <w:tc>
          <w:tcPr>
            <w:tcW w:type="dxa" w:w="1080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0.003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0.185***</w:t>
            </w:r>
            <w:r>
              <w:br/>
            </w:r>
            <w:r>
              <w:rPr>
                <w:sz w:val="18"/>
              </w:rPr>
              <w:t>(0.052)</w:t>
            </w:r>
          </w:p>
        </w:tc>
        <w:tc>
          <w:tcPr>
            <w:tcW w:type="dxa" w:w="1080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&lt;0.001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Cohorts first scored from 2020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−0.010</w:t>
            </w:r>
            <w:r>
              <w:br/>
            </w:r>
            <w:r>
              <w:rPr>
                <w:sz w:val="18"/>
              </w:rPr>
              <w:t>(0.026)</w:t>
            </w:r>
          </w:p>
        </w:tc>
        <w:tc>
          <w:tcPr>
            <w:tcW w:type="dxa" w:w="1080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0.199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−0.087***</w:t>
            </w:r>
            <w:r>
              <w:br/>
            </w:r>
            <w:r>
              <w:rPr>
                <w:sz w:val="18"/>
              </w:rPr>
              <w:t>(0.033)</w:t>
            </w:r>
          </w:p>
        </w:tc>
        <w:tc>
          <w:tcPr>
            <w:tcW w:type="dxa" w:w="1080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0.106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High residual initial score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−0.012</w:t>
            </w:r>
            <w:r>
              <w:br/>
            </w:r>
            <w:r>
              <w:rPr>
                <w:sz w:val="18"/>
              </w:rPr>
              <w:t>(0.029)</w:t>
            </w:r>
          </w:p>
        </w:tc>
        <w:tc>
          <w:tcPr>
            <w:tcW w:type="dxa" w:w="1080"/>
          </w:tcPr>
          <w:p>
            <w:pPr>
              <w:keepNext/>
              <w:spacing w:after="0" w:line="240" w:lineRule="auto"/>
              <w:jc w:val="center"/>
            </w:pPr>
            <w:r/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−0.051</w:t>
            </w:r>
            <w:r>
              <w:br/>
            </w:r>
            <w:r>
              <w:rPr>
                <w:sz w:val="18"/>
              </w:rPr>
              <w:t>(0.035)</w:t>
            </w:r>
          </w:p>
        </w:tc>
        <w:tc>
          <w:tcPr>
            <w:tcW w:type="dxa" w:w="1080"/>
          </w:tcPr>
          <w:p>
            <w:pPr>
              <w:keepNext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331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Low residual initial score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0.016</w:t>
            </w:r>
            <w:r>
              <w:br/>
            </w:r>
            <w:r>
              <w:rPr>
                <w:sz w:val="18"/>
              </w:rPr>
              <w:t>(0.033)</w:t>
            </w:r>
          </w:p>
        </w:tc>
        <w:tc>
          <w:tcPr>
            <w:tcW w:type="dxa" w:w="1080"/>
          </w:tcPr>
          <w:p>
            <w:pPr>
              <w:keepNext/>
              <w:spacing w:after="0" w:line="240" w:lineRule="auto"/>
              <w:jc w:val="center"/>
            </w:pPr>
            <w:r/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−0.059</w:t>
            </w:r>
            <w:r>
              <w:br/>
            </w:r>
            <w:r>
              <w:rPr>
                <w:sz w:val="18"/>
              </w:rPr>
              <w:t>(0.041)</w:t>
            </w:r>
          </w:p>
        </w:tc>
        <w:tc>
          <w:tcPr>
            <w:tcW w:type="dxa" w:w="1080"/>
          </w:tcPr>
          <w:p>
            <w:pPr>
              <w:keepNext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3312"/>
            <w:tcBorders>
              <w:bottom w:val="single" w:sz="6" w:color="000000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High minus low</w:t>
            </w:r>
          </w:p>
        </w:tc>
        <w:tc>
          <w:tcPr>
            <w:tcW w:type="dxa" w:w="1584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−0.027</w:t>
            </w:r>
            <w:r>
              <w:br/>
            </w:r>
            <w:r>
              <w:rPr>
                <w:sz w:val="18"/>
              </w:rPr>
              <w:t>(0.040)</w:t>
            </w:r>
          </w:p>
        </w:tc>
        <w:tc>
          <w:tcPr>
            <w:tcW w:type="dxa" w:w="1080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</w:p>
        </w:tc>
        <w:tc>
          <w:tcPr>
            <w:tcW w:type="dxa" w:w="1584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0.008</w:t>
            </w:r>
            <w:r>
              <w:br/>
            </w:r>
            <w:r>
              <w:rPr>
                <w:sz w:val="18"/>
              </w:rPr>
              <w:t>(0.046)</w:t>
            </w:r>
          </w:p>
        </w:tc>
        <w:tc>
          <w:tcPr>
            <w:tcW w:type="dxa" w:w="1080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</w:p>
        </w:tc>
      </w:tr>
    </w:tbl>
    <w:p>
      <w:pPr>
        <w:spacing w:line="240" w:lineRule="auto" w:after="40" w:before="280"/>
        <w:jc w:val="both"/>
      </w:pPr>
      <w:r>
        <w:rPr>
          <w:color w:val="0000FF"/>
          <w:sz w:val="18"/>
        </w:rPr>
        <w:t>Note: Exploratory outcome-regression estimates with firm-bootstrap standard errors (cluster bootstrap where labeled) and the joint pre-trend p. *, **, ***: 10%, 5%, 1% (unadjusted).</w:t>
      </w:r>
    </w:p>
    <w:p>
      <w:pPr>
        <w:keepNext/>
        <w:spacing w:line="240" w:lineRule="auto" w:after="120" w:before="240"/>
        <w:jc w:val="center"/>
      </w:pPr>
      <w:r>
        <w:rPr>
          <w:sz w:val="22"/>
        </w:rPr>
        <w:t>Table S5. Decomposition of the gap between the static two-way fixed effects estimate and the baseline estimate</w:t>
      </w:r>
    </w:p>
    <w:tbl>
      <w:tblPr>
        <w:tblW w:type="auto" w:w="0"/>
        <w:jc w:val="center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firstColumn="1" w:firstRow="1" w:lastColumn="0" w:lastRow="0" w:noHBand="0" w:noVBand="1" w:val="04A0"/>
      </w:tblPr>
      <w:tblGrid>
        <w:gridCol w:w="4320"/>
        <w:gridCol w:w="2015"/>
        <w:gridCol w:w="2015"/>
      </w:tblGrid>
      <w:tr>
        <w:trPr>
          <w:cantSplit/>
          <w:tblHeader/>
        </w:trPr>
        <w:tc>
          <w:tcPr>
            <w:tcW w:type="dxa" w:w="4320"/>
            <w:tcBorders>
              <w:top w:val="single" w:sz="6" w:color="000000"/>
              <w:bottom w:val="single" w:sz="6" w:color="000000"/>
            </w:tcBorders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Estimator</w:t>
            </w:r>
          </w:p>
        </w:tc>
        <w:tc>
          <w:tcPr>
            <w:tcW w:type="dxa" w:w="2016"/>
            <w:tcBorders>
              <w:top w:val="single" w:sz="6" w:color="000000"/>
              <w:bottom w:val="single" w:sz="6" w:color="000000"/>
            </w:tcBorders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ln(MTB)</w:t>
            </w:r>
          </w:p>
        </w:tc>
        <w:tc>
          <w:tcPr>
            <w:tcW w:type="dxa" w:w="2016"/>
            <w:tcBorders>
              <w:top w:val="single" w:sz="6" w:color="000000"/>
              <w:bottom w:val="single" w:sz="6" w:color="000000"/>
            </w:tcBorders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ln(market cap)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color w:val="0000FF"/>
                <w:sz w:val="18"/>
              </w:rPr>
              <w:t>Static TWFE, all firm-years</w:t>
            </w:r>
          </w:p>
        </w:tc>
        <w:tc>
          <w:tcPr>
            <w:tcW w:type="dxa" w:w="2016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0.064**</w:t>
            </w:r>
            <w:r>
              <w:br/>
            </w:r>
            <w:r>
              <w:rPr>
                <w:sz w:val="18"/>
              </w:rPr>
              <w:t>(0.026)</w:t>
            </w:r>
          </w:p>
        </w:tc>
        <w:tc>
          <w:tcPr>
            <w:tcW w:type="dxa" w:w="2016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0.185***</w:t>
            </w:r>
            <w:r>
              <w:br/>
            </w:r>
            <w:r>
              <w:rPr>
                <w:sz w:val="18"/>
              </w:rPr>
              <w:t>(0.032)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Static TWFE, never-scored controls, event years −5 to 3</w:t>
            </w:r>
          </w:p>
        </w:tc>
        <w:tc>
          <w:tcPr>
            <w:tcW w:type="dxa" w:w="2016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0.058**</w:t>
            </w:r>
            <w:r>
              <w:br/>
            </w:r>
            <w:r>
              <w:rPr>
                <w:sz w:val="18"/>
              </w:rPr>
              <w:t>(0.025)</w:t>
            </w:r>
          </w:p>
        </w:tc>
        <w:tc>
          <w:tcPr>
            <w:tcW w:type="dxa" w:w="2016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0.149***</w:t>
            </w:r>
            <w:r>
              <w:br/>
            </w:r>
            <w:r>
              <w:rPr>
                <w:sz w:val="18"/>
              </w:rPr>
              <w:t>(0.030)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color w:val="0000FF"/>
                <w:sz w:val="18"/>
              </w:rPr>
              <w:t>Heterogeneity-robust, no covariates</w:t>
            </w:r>
          </w:p>
        </w:tc>
        <w:tc>
          <w:tcPr>
            <w:tcW w:type="dxa" w:w="2016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0.025</w:t>
            </w:r>
            <w:r>
              <w:br/>
            </w:r>
            <w:r>
              <w:rPr>
                <w:sz w:val="18"/>
              </w:rPr>
              <w:t>(0.022)</w:t>
            </w:r>
          </w:p>
        </w:tc>
        <w:tc>
          <w:tcPr>
            <w:tcW w:type="dxa" w:w="2016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0.016</w:t>
            </w:r>
            <w:r>
              <w:br/>
            </w:r>
            <w:r>
              <w:rPr>
                <w:sz w:val="18"/>
              </w:rPr>
              <w:t>(0.025)</w:t>
            </w:r>
          </w:p>
        </w:tc>
      </w:tr>
      <w:tr>
        <w:trPr>
          <w:cantSplit/>
        </w:trPr>
        <w:tc>
          <w:tcPr>
            <w:tcW w:type="dxa" w:w="4320"/>
            <w:tcBorders>
              <w:bottom w:val="single" w:sz="6" w:color="000000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Heterogeneity-robust baseline</w:t>
            </w:r>
          </w:p>
        </w:tc>
        <w:tc>
          <w:tcPr>
            <w:tcW w:type="dxa" w:w="2016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0.002</w:t>
            </w:r>
            <w:r>
              <w:br/>
            </w:r>
            <w:r>
              <w:rPr>
                <w:sz w:val="18"/>
              </w:rPr>
              <w:t>(0.024)</w:t>
            </w:r>
          </w:p>
        </w:tc>
        <w:tc>
          <w:tcPr>
            <w:tcW w:type="dxa" w:w="2016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−0.055*</w:t>
            </w:r>
            <w:r>
              <w:br/>
            </w:r>
            <w:r>
              <w:rPr>
                <w:sz w:val="18"/>
              </w:rPr>
              <w:t>(0.030)</w:t>
            </w:r>
          </w:p>
        </w:tc>
      </w:tr>
    </w:tbl>
    <w:p>
      <w:pPr>
        <w:spacing w:line="240" w:lineRule="auto" w:after="40" w:before="280"/>
        <w:jc w:val="both"/>
      </w:pPr>
      <w:r>
        <w:rPr>
          <w:color w:val="0000FF"/>
          <w:sz w:val="18"/>
        </w:rPr>
        <w:t>Note: Steps from the static TWFE regression to the baseline estimate; standard errors firm-clustered for TWFE, firm-bootstrap otherwise. *, **, ***: 10%, 5%, 1%.</w:t>
      </w:r>
    </w:p>
    <w:p>
      <w:pPr>
        <w:keepNext/>
        <w:spacing w:line="240" w:lineRule="auto" w:after="120" w:before="240"/>
        <w:jc w:val="center"/>
      </w:pPr>
      <w:r>
        <w:rPr>
          <w:color w:val="0000FF"/>
          <w:sz w:val="22"/>
        </w:rPr>
        <w:t>Table S6. Average change by coverage wave under the two datings</w:t>
      </w:r>
    </w:p>
    <w:tbl>
      <w:tblPr>
        <w:tblW w:type="auto" w:w="0"/>
        <w:jc w:val="center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firstColumn="1" w:firstRow="1" w:lastColumn="0" w:lastRow="0" w:noHBand="0" w:noVBand="1" w:val="04A0"/>
      </w:tblPr>
      <w:tblGrid>
        <w:gridCol w:w="2736"/>
        <w:gridCol w:w="1655"/>
        <w:gridCol w:w="1655"/>
        <w:gridCol w:w="1655"/>
        <w:gridCol w:w="1655"/>
      </w:tblGrid>
      <w:tr>
        <w:trPr>
          <w:cantSplit/>
          <w:tblHeader/>
        </w:trPr>
        <w:tc>
          <w:tcPr>
            <w:tcW w:type="dxa" w:w="2736"/>
            <w:tcBorders>
              <w:top w:val="single" w:sz="6" w:color="000000"/>
              <w:bottom w:val="single" w:sz="6" w:color="000000"/>
            </w:tcBorders>
          </w:tcPr>
          <w:p>
            <w:pPr>
              <w:keepNext/>
              <w:spacing w:after="0" w:line="240" w:lineRule="auto"/>
            </w:pPr>
            <w:r/>
            <w:r>
              <w:rPr>
                <w:b/>
                <w:color w:val="0000FF"/>
                <w:sz w:val="18"/>
              </w:rPr>
              <w:t>Wave</w:t>
            </w:r>
          </w:p>
        </w:tc>
        <w:tc>
          <w:tcPr>
            <w:tcW w:type="dxa" w:w="1656"/>
            <w:tcBorders>
              <w:top w:val="single" w:sz="6" w:color="000000"/>
              <w:bottom w:val="single" w:sz="6" w:color="000000"/>
            </w:tcBorders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color w:val="0000FF"/>
                <w:sz w:val="18"/>
              </w:rPr>
              <w:t>First recorded year, ln(MTB)</w:t>
            </w:r>
          </w:p>
        </w:tc>
        <w:tc>
          <w:tcPr>
            <w:tcW w:type="dxa" w:w="1656"/>
            <w:tcBorders>
              <w:top w:val="single" w:sz="6" w:color="000000"/>
              <w:bottom w:val="single" w:sz="6" w:color="000000"/>
            </w:tcBorders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color w:val="0000FF"/>
                <w:sz w:val="18"/>
              </w:rPr>
              <w:t>One year later, ln(MTB)</w:t>
            </w:r>
          </w:p>
        </w:tc>
        <w:tc>
          <w:tcPr>
            <w:tcW w:type="dxa" w:w="1656"/>
            <w:tcBorders>
              <w:top w:val="single" w:sz="6" w:color="000000"/>
              <w:bottom w:val="single" w:sz="6" w:color="000000"/>
            </w:tcBorders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color w:val="0000FF"/>
                <w:sz w:val="18"/>
              </w:rPr>
              <w:t>First recorded year, ln(market cap)</w:t>
            </w:r>
          </w:p>
        </w:tc>
        <w:tc>
          <w:tcPr>
            <w:tcW w:type="dxa" w:w="1656"/>
            <w:tcBorders>
              <w:top w:val="single" w:sz="6" w:color="000000"/>
              <w:bottom w:val="single" w:sz="6" w:color="000000"/>
            </w:tcBorders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color w:val="0000FF"/>
                <w:sz w:val="18"/>
              </w:rPr>
              <w:t>One year later, ln(market cap)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color w:val="0000FF"/>
                <w:sz w:val="18"/>
              </w:rPr>
              <w:t>Malaysian wave (first recorded 2021–2022)</w:t>
            </w:r>
          </w:p>
        </w:tc>
        <w:tc>
          <w:tcPr>
            <w:tcW w:type="dxa" w:w="1656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0.021</w:t>
            </w:r>
            <w:r>
              <w:br/>
            </w:r>
            <w:r>
              <w:rPr>
                <w:color w:val="0000FF"/>
                <w:sz w:val="18"/>
              </w:rPr>
              <w:t>(0.037)</w:t>
            </w:r>
          </w:p>
        </w:tc>
        <w:tc>
          <w:tcPr>
            <w:tcW w:type="dxa" w:w="1656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0.012</w:t>
            </w:r>
            <w:r>
              <w:br/>
            </w:r>
            <w:r>
              <w:rPr>
                <w:color w:val="0000FF"/>
                <w:sz w:val="18"/>
              </w:rPr>
              <w:t>(0.033)</w:t>
            </w:r>
          </w:p>
        </w:tc>
        <w:tc>
          <w:tcPr>
            <w:tcW w:type="dxa" w:w="1656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−0.146***</w:t>
            </w:r>
            <w:r>
              <w:br/>
            </w:r>
            <w:r>
              <w:rPr>
                <w:color w:val="0000FF"/>
                <w:sz w:val="18"/>
              </w:rPr>
              <w:t>(0.051)</w:t>
            </w:r>
          </w:p>
        </w:tc>
        <w:tc>
          <w:tcPr>
            <w:tcW w:type="dxa" w:w="1656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−0.094*</w:t>
            </w:r>
            <w:r>
              <w:br/>
            </w:r>
            <w:r>
              <w:rPr>
                <w:color w:val="0000FF"/>
                <w:sz w:val="18"/>
              </w:rPr>
              <w:t>(0.052)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color w:val="0000FF"/>
                <w:sz w:val="18"/>
              </w:rPr>
              <w:t>Thai and Singaporean wave (2019–2020)</w:t>
            </w:r>
          </w:p>
        </w:tc>
        <w:tc>
          <w:tcPr>
            <w:tcW w:type="dxa" w:w="1656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−0.009</w:t>
            </w:r>
            <w:r>
              <w:br/>
            </w:r>
            <w:r>
              <w:rPr>
                <w:color w:val="0000FF"/>
                <w:sz w:val="18"/>
              </w:rPr>
              <w:t>(0.048)</w:t>
            </w:r>
          </w:p>
        </w:tc>
        <w:tc>
          <w:tcPr>
            <w:tcW w:type="dxa" w:w="1656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−0.136***</w:t>
            </w:r>
            <w:r>
              <w:br/>
            </w:r>
            <w:r>
              <w:rPr>
                <w:color w:val="0000FF"/>
                <w:sz w:val="18"/>
              </w:rPr>
              <w:t>(0.046)</w:t>
            </w:r>
          </w:p>
        </w:tc>
        <w:tc>
          <w:tcPr>
            <w:tcW w:type="dxa" w:w="1656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0.041</w:t>
            </w:r>
            <w:r>
              <w:br/>
            </w:r>
            <w:r>
              <w:rPr>
                <w:color w:val="0000FF"/>
                <w:sz w:val="18"/>
              </w:rPr>
              <w:t>(0.052)</w:t>
            </w:r>
          </w:p>
        </w:tc>
        <w:tc>
          <w:tcPr>
            <w:tcW w:type="dxa" w:w="1656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−0.038</w:t>
            </w:r>
            <w:r>
              <w:br/>
            </w:r>
            <w:r>
              <w:rPr>
                <w:color w:val="0000FF"/>
                <w:sz w:val="18"/>
              </w:rPr>
              <w:t>(0.053)</w:t>
            </w:r>
          </w:p>
        </w:tc>
      </w:tr>
      <w:tr>
        <w:trPr>
          <w:cantSplit/>
        </w:trPr>
        <w:tc>
          <w:tcPr>
            <w:tcW w:type="dxa" w:w="2736"/>
            <w:tcBorders>
              <w:bottom w:val="single" w:sz="6" w:color="000000"/>
            </w:tcBorders>
          </w:tcPr>
          <w:p>
            <w:pPr>
              <w:spacing w:after="0" w:line="240" w:lineRule="auto"/>
            </w:pPr>
            <w:r/>
            <w:r>
              <w:rPr>
                <w:b/>
                <w:color w:val="0000FF"/>
                <w:sz w:val="18"/>
              </w:rPr>
              <w:t>All other cohorts</w:t>
            </w:r>
          </w:p>
        </w:tc>
        <w:tc>
          <w:tcPr>
            <w:tcW w:type="dxa" w:w="1656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−0.016</w:t>
            </w:r>
            <w:r>
              <w:br/>
            </w:r>
            <w:r>
              <w:rPr>
                <w:color w:val="0000FF"/>
                <w:sz w:val="18"/>
              </w:rPr>
              <w:t>(0.034)</w:t>
            </w:r>
          </w:p>
        </w:tc>
        <w:tc>
          <w:tcPr>
            <w:tcW w:type="dxa" w:w="1656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−0.111***</w:t>
            </w:r>
            <w:r>
              <w:br/>
            </w:r>
            <w:r>
              <w:rPr>
                <w:color w:val="0000FF"/>
                <w:sz w:val="18"/>
              </w:rPr>
              <w:t>(0.037)</w:t>
            </w:r>
          </w:p>
        </w:tc>
        <w:tc>
          <w:tcPr>
            <w:tcW w:type="dxa" w:w="1656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0.005</w:t>
            </w:r>
            <w:r>
              <w:br/>
            </w:r>
            <w:r>
              <w:rPr>
                <w:color w:val="0000FF"/>
                <w:sz w:val="18"/>
              </w:rPr>
              <w:t>(0.037)</w:t>
            </w:r>
          </w:p>
        </w:tc>
        <w:tc>
          <w:tcPr>
            <w:tcW w:type="dxa" w:w="1656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−0.076*</w:t>
            </w:r>
            <w:r>
              <w:br/>
            </w:r>
            <w:r>
              <w:rPr>
                <w:color w:val="0000FF"/>
                <w:sz w:val="18"/>
              </w:rPr>
              <w:t>(0.040)</w:t>
            </w:r>
          </w:p>
        </w:tc>
      </w:tr>
    </w:tbl>
    <w:p>
      <w:pPr>
        <w:spacing w:line="240" w:lineRule="auto" w:after="40" w:before="280"/>
        <w:jc w:val="both"/>
      </w:pPr>
      <w:r>
        <w:rPr>
          <w:color w:val="0000FF"/>
          <w:sz w:val="18"/>
        </w:rPr>
        <w:t>Note: Outcome regression for each wave against all never-scored firms, with firm-bootstrap standard errors. *, **, ***: 10%, 5%, 1%.</w:t>
      </w:r>
    </w:p>
    <w:p>
      <w:pPr>
        <w:keepNext/>
        <w:spacing w:line="240" w:lineRule="auto" w:after="120" w:before="240"/>
        <w:jc w:val="center"/>
      </w:pPr>
      <w:r>
        <w:rPr>
          <w:sz w:val="22"/>
        </w:rPr>
        <w:t xml:space="preserve">Figure S2. </w:t>
      </w:r>
      <w:r>
        <w:rPr>
          <w:color w:val="0000FF"/>
          <w:sz w:val="22"/>
        </w:rPr>
        <w:t>Event-time changes in ln(MTB) under alternative specifications and dating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5852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IA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40" w:before="280"/>
        <w:jc w:val="both"/>
      </w:pPr>
      <w:r>
        <w:rPr>
          <w:color w:val="0000FF"/>
          <w:sz w:val="18"/>
        </w:rPr>
        <w:t>Note: Outcome-regression estimates; panel (a) varies the size covariate and support, and panel (b) dates the event one year later.</w:t>
      </w:r>
      <w:r>
        <w:rPr>
          <w:sz w:val="18"/>
        </w:rPr>
        <w:t xml:space="preserve"> </w:t>
      </w:r>
      <w:r>
        <w:rPr>
          <w:color w:val="0000FF"/>
          <w:sz w:val="18"/>
        </w:rPr>
        <w:t>Firm-bootstrap 95% intervals.</w:t>
      </w:r>
    </w:p>
    <w:p>
      <w:pPr>
        <w:keepNext/>
        <w:spacing w:line="240" w:lineRule="auto" w:after="120" w:before="240"/>
        <w:jc w:val="center"/>
      </w:pPr>
      <w:r>
        <w:rPr>
          <w:sz w:val="22"/>
        </w:rPr>
        <w:t xml:space="preserve">Table S7. </w:t>
      </w:r>
      <w:r>
        <w:rPr>
          <w:color w:val="0000FF"/>
          <w:sz w:val="22"/>
        </w:rPr>
        <w:t>Relative-magnitude bounds for the average change after the first recorded LSEG ESG score</w:t>
      </w:r>
    </w:p>
    <w:tbl>
      <w:tblPr>
        <w:tblW w:type="auto" w:w="0"/>
        <w:jc w:val="center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firstColumn="1" w:firstRow="1" w:lastColumn="0" w:lastRow="0" w:noHBand="0" w:noVBand="1" w:val="04A0"/>
      </w:tblPr>
      <w:tblGrid>
        <w:gridCol w:w="2448"/>
        <w:gridCol w:w="864"/>
        <w:gridCol w:w="1728"/>
        <w:gridCol w:w="1296"/>
        <w:gridCol w:w="2304"/>
      </w:tblGrid>
      <w:tr>
        <w:trPr>
          <w:cantSplit/>
          <w:tblHeader/>
        </w:trPr>
        <w:tc>
          <w:tcPr>
            <w:tcW w:type="dxa" w:w="2448"/>
            <w:tcBorders>
              <w:top w:val="single" w:sz="6" w:color="000000"/>
              <w:bottom w:val="single" w:sz="6" w:color="000000"/>
            </w:tcBorders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Outcome</w:t>
            </w:r>
          </w:p>
        </w:tc>
        <w:tc>
          <w:tcPr>
            <w:tcW w:type="dxa" w:w="864"/>
            <w:tcBorders>
              <w:top w:val="single" w:sz="6" w:color="000000"/>
              <w:bottom w:val="single" w:sz="6" w:color="000000"/>
            </w:tcBorders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M̄</w:t>
            </w:r>
          </w:p>
        </w:tc>
        <w:tc>
          <w:tcPr>
            <w:tcW w:type="dxa" w:w="1728"/>
            <w:tcBorders>
              <w:top w:val="single" w:sz="6" w:color="000000"/>
              <w:bottom w:val="single" w:sz="6" w:color="000000"/>
            </w:tcBorders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Max pre-period change</w:t>
            </w:r>
          </w:p>
        </w:tc>
        <w:tc>
          <w:tcPr>
            <w:tcW w:type="dxa" w:w="1296"/>
            <w:tcBorders>
              <w:top w:val="single" w:sz="6" w:color="000000"/>
              <w:bottom w:val="single" w:sz="6" w:color="000000"/>
            </w:tcBorders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Bias bound</w:t>
            </w:r>
          </w:p>
        </w:tc>
        <w:tc>
          <w:tcPr>
            <w:tcW w:type="dxa" w:w="2304"/>
            <w:tcBorders>
              <w:top w:val="single" w:sz="6" w:color="000000"/>
              <w:bottom w:val="single" w:sz="6" w:color="000000"/>
            </w:tcBorders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Robust 95% interval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ln(MTB)</w:t>
            </w:r>
          </w:p>
        </w:tc>
        <w:tc>
          <w:tcPr>
            <w:tcW w:type="dxa" w:w="86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0.00</w:t>
            </w:r>
          </w:p>
        </w:tc>
        <w:tc>
          <w:tcPr>
            <w:tcW w:type="dxa" w:w="1728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0.046</w:t>
            </w:r>
          </w:p>
        </w:tc>
        <w:tc>
          <w:tcPr>
            <w:tcW w:type="dxa" w:w="1296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0.000</w:t>
            </w:r>
          </w:p>
        </w:tc>
        <w:tc>
          <w:tcPr>
            <w:tcW w:type="dxa" w:w="230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[−0.046, 0.048]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ln(MTB)</w:t>
            </w:r>
          </w:p>
        </w:tc>
        <w:tc>
          <w:tcPr>
            <w:tcW w:type="dxa" w:w="86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0.25</w:t>
            </w:r>
          </w:p>
        </w:tc>
        <w:tc>
          <w:tcPr>
            <w:tcW w:type="dxa" w:w="1728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0.046</w:t>
            </w:r>
          </w:p>
        </w:tc>
        <w:tc>
          <w:tcPr>
            <w:tcW w:type="dxa" w:w="1296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0.025</w:t>
            </w:r>
          </w:p>
        </w:tc>
        <w:tc>
          <w:tcPr>
            <w:tcW w:type="dxa" w:w="230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[−0.071, 0.073]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ln(MTB)</w:t>
            </w:r>
          </w:p>
        </w:tc>
        <w:tc>
          <w:tcPr>
            <w:tcW w:type="dxa" w:w="86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0.50</w:t>
            </w:r>
          </w:p>
        </w:tc>
        <w:tc>
          <w:tcPr>
            <w:tcW w:type="dxa" w:w="1728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0.046</w:t>
            </w:r>
          </w:p>
        </w:tc>
        <w:tc>
          <w:tcPr>
            <w:tcW w:type="dxa" w:w="1296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0.050</w:t>
            </w:r>
          </w:p>
        </w:tc>
        <w:tc>
          <w:tcPr>
            <w:tcW w:type="dxa" w:w="230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[−0.096, 0.098]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ln(MTB)</w:t>
            </w:r>
          </w:p>
        </w:tc>
        <w:tc>
          <w:tcPr>
            <w:tcW w:type="dxa" w:w="86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1.00</w:t>
            </w:r>
          </w:p>
        </w:tc>
        <w:tc>
          <w:tcPr>
            <w:tcW w:type="dxa" w:w="1728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0.046</w:t>
            </w:r>
          </w:p>
        </w:tc>
        <w:tc>
          <w:tcPr>
            <w:tcW w:type="dxa" w:w="1296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0.101</w:t>
            </w:r>
          </w:p>
        </w:tc>
        <w:tc>
          <w:tcPr>
            <w:tcW w:type="dxa" w:w="230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[−0.147, 0.148]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ln(market cap)</w:t>
            </w:r>
          </w:p>
        </w:tc>
        <w:tc>
          <w:tcPr>
            <w:tcW w:type="dxa" w:w="86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0.00</w:t>
            </w:r>
          </w:p>
        </w:tc>
        <w:tc>
          <w:tcPr>
            <w:tcW w:type="dxa" w:w="1728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0.063</w:t>
            </w:r>
          </w:p>
        </w:tc>
        <w:tc>
          <w:tcPr>
            <w:tcW w:type="dxa" w:w="1296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0.000</w:t>
            </w:r>
          </w:p>
        </w:tc>
        <w:tc>
          <w:tcPr>
            <w:tcW w:type="dxa" w:w="230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[−0.109, 0.003]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ln(market cap)</w:t>
            </w:r>
          </w:p>
        </w:tc>
        <w:tc>
          <w:tcPr>
            <w:tcW w:type="dxa" w:w="86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0.25</w:t>
            </w:r>
          </w:p>
        </w:tc>
        <w:tc>
          <w:tcPr>
            <w:tcW w:type="dxa" w:w="1728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0.063</w:t>
            </w:r>
          </w:p>
        </w:tc>
        <w:tc>
          <w:tcPr>
            <w:tcW w:type="dxa" w:w="1296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0.035</w:t>
            </w:r>
          </w:p>
        </w:tc>
        <w:tc>
          <w:tcPr>
            <w:tcW w:type="dxa" w:w="230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[−0.144, 0.038]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ln(market cap)</w:t>
            </w:r>
          </w:p>
        </w:tc>
        <w:tc>
          <w:tcPr>
            <w:tcW w:type="dxa" w:w="86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0.50</w:t>
            </w:r>
          </w:p>
        </w:tc>
        <w:tc>
          <w:tcPr>
            <w:tcW w:type="dxa" w:w="1728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0.063</w:t>
            </w:r>
          </w:p>
        </w:tc>
        <w:tc>
          <w:tcPr>
            <w:tcW w:type="dxa" w:w="1296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0.070</w:t>
            </w:r>
          </w:p>
        </w:tc>
        <w:tc>
          <w:tcPr>
            <w:tcW w:type="dxa" w:w="230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[−0.179, 0.073]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ln(market cap)</w:t>
            </w:r>
          </w:p>
        </w:tc>
        <w:tc>
          <w:tcPr>
            <w:tcW w:type="dxa" w:w="86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1.00</w:t>
            </w:r>
          </w:p>
        </w:tc>
        <w:tc>
          <w:tcPr>
            <w:tcW w:type="dxa" w:w="1728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0.063</w:t>
            </w:r>
          </w:p>
        </w:tc>
        <w:tc>
          <w:tcPr>
            <w:tcW w:type="dxa" w:w="1296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0.140</w:t>
            </w:r>
          </w:p>
        </w:tc>
        <w:tc>
          <w:tcPr>
            <w:tcW w:type="dxa" w:w="230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[−0.249, 0.143]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Leverage</w:t>
            </w:r>
            <w:r>
              <w:br/>
            </w:r>
            <w:r>
              <w:rPr>
                <w:b/>
                <w:sz w:val="18"/>
              </w:rPr>
              <w:t>(ratio)</w:t>
            </w:r>
          </w:p>
        </w:tc>
        <w:tc>
          <w:tcPr>
            <w:tcW w:type="dxa" w:w="86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0.00</w:t>
            </w:r>
          </w:p>
        </w:tc>
        <w:tc>
          <w:tcPr>
            <w:tcW w:type="dxa" w:w="1728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0.012</w:t>
            </w:r>
          </w:p>
        </w:tc>
        <w:tc>
          <w:tcPr>
            <w:tcW w:type="dxa" w:w="1296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0.000</w:t>
            </w:r>
          </w:p>
        </w:tc>
        <w:tc>
          <w:tcPr>
            <w:tcW w:type="dxa" w:w="230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[−0.001, 0.018]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Leverage</w:t>
            </w:r>
            <w:r>
              <w:br/>
            </w:r>
            <w:r>
              <w:rPr>
                <w:b/>
                <w:sz w:val="18"/>
              </w:rPr>
              <w:t>(ratio)</w:t>
            </w:r>
          </w:p>
        </w:tc>
        <w:tc>
          <w:tcPr>
            <w:tcW w:type="dxa" w:w="86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0.25</w:t>
            </w:r>
          </w:p>
        </w:tc>
        <w:tc>
          <w:tcPr>
            <w:tcW w:type="dxa" w:w="1728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0.012</w:t>
            </w:r>
          </w:p>
        </w:tc>
        <w:tc>
          <w:tcPr>
            <w:tcW w:type="dxa" w:w="1296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0.007</w:t>
            </w:r>
          </w:p>
        </w:tc>
        <w:tc>
          <w:tcPr>
            <w:tcW w:type="dxa" w:w="230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[−0.007, 0.025]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Leverage</w:t>
            </w:r>
            <w:r>
              <w:br/>
            </w:r>
            <w:r>
              <w:rPr>
                <w:b/>
                <w:sz w:val="18"/>
              </w:rPr>
              <w:t>(ratio)</w:t>
            </w:r>
          </w:p>
        </w:tc>
        <w:tc>
          <w:tcPr>
            <w:tcW w:type="dxa" w:w="86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0.50</w:t>
            </w:r>
          </w:p>
        </w:tc>
        <w:tc>
          <w:tcPr>
            <w:tcW w:type="dxa" w:w="1728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0.012</w:t>
            </w:r>
          </w:p>
        </w:tc>
        <w:tc>
          <w:tcPr>
            <w:tcW w:type="dxa" w:w="1296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0.013</w:t>
            </w:r>
          </w:p>
        </w:tc>
        <w:tc>
          <w:tcPr>
            <w:tcW w:type="dxa" w:w="230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[−0.014, 0.031]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Leverage</w:t>
            </w:r>
            <w:r>
              <w:br/>
            </w:r>
            <w:r>
              <w:rPr>
                <w:b/>
                <w:sz w:val="18"/>
              </w:rPr>
              <w:t>(ratio)</w:t>
            </w:r>
          </w:p>
        </w:tc>
        <w:tc>
          <w:tcPr>
            <w:tcW w:type="dxa" w:w="86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1.00</w:t>
            </w:r>
          </w:p>
        </w:tc>
        <w:tc>
          <w:tcPr>
            <w:tcW w:type="dxa" w:w="1728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0.012</w:t>
            </w:r>
          </w:p>
        </w:tc>
        <w:tc>
          <w:tcPr>
            <w:tcW w:type="dxa" w:w="1296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0.026</w:t>
            </w:r>
          </w:p>
        </w:tc>
        <w:tc>
          <w:tcPr>
            <w:tcW w:type="dxa" w:w="230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[−0.027, 0.044]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ln(assets)</w:t>
            </w:r>
          </w:p>
        </w:tc>
        <w:tc>
          <w:tcPr>
            <w:tcW w:type="dxa" w:w="86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0.00</w:t>
            </w:r>
          </w:p>
        </w:tc>
        <w:tc>
          <w:tcPr>
            <w:tcW w:type="dxa" w:w="1728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0.035</w:t>
            </w:r>
          </w:p>
        </w:tc>
        <w:tc>
          <w:tcPr>
            <w:tcW w:type="dxa" w:w="1296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0.000</w:t>
            </w:r>
          </w:p>
        </w:tc>
        <w:tc>
          <w:tcPr>
            <w:tcW w:type="dxa" w:w="230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[0.007, 0.081]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ln(assets)</w:t>
            </w:r>
          </w:p>
        </w:tc>
        <w:tc>
          <w:tcPr>
            <w:tcW w:type="dxa" w:w="86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0.25</w:t>
            </w:r>
          </w:p>
        </w:tc>
        <w:tc>
          <w:tcPr>
            <w:tcW w:type="dxa" w:w="1728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0.035</w:t>
            </w:r>
          </w:p>
        </w:tc>
        <w:tc>
          <w:tcPr>
            <w:tcW w:type="dxa" w:w="1296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0.020</w:t>
            </w:r>
          </w:p>
        </w:tc>
        <w:tc>
          <w:tcPr>
            <w:tcW w:type="dxa" w:w="230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[−0.012, 0.101]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ln(assets)</w:t>
            </w:r>
          </w:p>
        </w:tc>
        <w:tc>
          <w:tcPr>
            <w:tcW w:type="dxa" w:w="86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0.50</w:t>
            </w:r>
          </w:p>
        </w:tc>
        <w:tc>
          <w:tcPr>
            <w:tcW w:type="dxa" w:w="1728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0.035</w:t>
            </w:r>
          </w:p>
        </w:tc>
        <w:tc>
          <w:tcPr>
            <w:tcW w:type="dxa" w:w="1296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0.039</w:t>
            </w:r>
          </w:p>
        </w:tc>
        <w:tc>
          <w:tcPr>
            <w:tcW w:type="dxa" w:w="230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[−0.032, 0.120]</w:t>
            </w:r>
          </w:p>
        </w:tc>
      </w:tr>
      <w:tr>
        <w:trPr>
          <w:cantSplit/>
        </w:trPr>
        <w:tc>
          <w:tcPr>
            <w:tcW w:type="dxa" w:w="2448"/>
            <w:tcBorders>
              <w:bottom w:val="single" w:sz="6" w:color="000000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ln(assets)</w:t>
            </w:r>
          </w:p>
        </w:tc>
        <w:tc>
          <w:tcPr>
            <w:tcW w:type="dxa" w:w="864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1.00</w:t>
            </w:r>
          </w:p>
        </w:tc>
        <w:tc>
          <w:tcPr>
            <w:tcW w:type="dxa" w:w="1728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0.035</w:t>
            </w:r>
          </w:p>
        </w:tc>
        <w:tc>
          <w:tcPr>
            <w:tcW w:type="dxa" w:w="1296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0.078</w:t>
            </w:r>
          </w:p>
        </w:tc>
        <w:tc>
          <w:tcPr>
            <w:tcW w:type="dxa" w:w="2304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[−0.071, 0.159]</w:t>
            </w:r>
          </w:p>
        </w:tc>
      </w:tr>
    </w:tbl>
    <w:p>
      <w:pPr>
        <w:spacing w:line="240" w:lineRule="auto" w:after="40" w:before="280"/>
        <w:jc w:val="both"/>
      </w:pPr>
      <w:r>
        <w:rPr>
          <w:color w:val="0000FF"/>
          <w:sz w:val="18"/>
        </w:rPr>
        <w:t>Note: Relative-magnitude bias bound (Section 3.4); the robust interval widens the firm-bootstrap 95% interval by this bound.</w:t>
      </w:r>
    </w:p>
    <w:p>
      <w:pPr>
        <w:keepNext/>
        <w:spacing w:line="240" w:lineRule="auto" w:after="120" w:before="240"/>
        <w:jc w:val="center"/>
      </w:pPr>
      <w:r>
        <w:rPr>
          <w:color w:val="0000FF"/>
          <w:sz w:val="22"/>
        </w:rPr>
        <w:t>Table S8. Firm-years with and without a market-to-book ratio</w:t>
      </w:r>
    </w:p>
    <w:tbl>
      <w:tblPr>
        <w:tblW w:type="auto" w:w="0"/>
        <w:jc w:val="center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firstColumn="1" w:firstRow="1" w:lastColumn="0" w:lastRow="0" w:noHBand="0" w:noVBand="1" w:val="04A0"/>
      </w:tblPr>
      <w:tblGrid>
        <w:gridCol w:w="3168"/>
        <w:gridCol w:w="1512"/>
        <w:gridCol w:w="1512"/>
        <w:gridCol w:w="1584"/>
        <w:gridCol w:w="1584"/>
      </w:tblGrid>
      <w:tr>
        <w:trPr>
          <w:cantSplit/>
          <w:tblHeader/>
        </w:trPr>
        <w:tc>
          <w:tcPr>
            <w:tcW w:type="dxa" w:w="3168"/>
            <w:tcBorders>
              <w:top w:val="single" w:sz="6" w:color="000000"/>
              <w:bottom w:val="single" w:sz="6" w:color="000000"/>
            </w:tcBorders>
          </w:tcPr>
          <w:p>
            <w:pPr>
              <w:keepNext/>
              <w:spacing w:after="0" w:line="240" w:lineRule="auto"/>
            </w:pPr>
            <w:r/>
            <w:r>
              <w:rPr>
                <w:b/>
                <w:color w:val="0000FF"/>
                <w:sz w:val="18"/>
              </w:rPr>
              <w:t>Characteristic</w:t>
            </w:r>
          </w:p>
        </w:tc>
        <w:tc>
          <w:tcPr>
            <w:tcW w:type="dxa" w:w="1512"/>
            <w:tcBorders>
              <w:top w:val="single" w:sz="6" w:color="000000"/>
              <w:bottom w:val="single" w:sz="6" w:color="000000"/>
            </w:tcBorders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color w:val="0000FF"/>
                <w:sz w:val="18"/>
              </w:rPr>
              <w:t>Scored, MTB observed</w:t>
            </w:r>
          </w:p>
        </w:tc>
        <w:tc>
          <w:tcPr>
            <w:tcW w:type="dxa" w:w="1512"/>
            <w:tcBorders>
              <w:top w:val="single" w:sz="6" w:color="000000"/>
              <w:bottom w:val="single" w:sz="6" w:color="000000"/>
            </w:tcBorders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color w:val="0000FF"/>
                <w:sz w:val="18"/>
              </w:rPr>
              <w:t>Scored, MTB missing</w:t>
            </w:r>
          </w:p>
        </w:tc>
        <w:tc>
          <w:tcPr>
            <w:tcW w:type="dxa" w:w="1584"/>
            <w:tcBorders>
              <w:top w:val="single" w:sz="6" w:color="000000"/>
              <w:bottom w:val="single" w:sz="6" w:color="000000"/>
            </w:tcBorders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color w:val="0000FF"/>
                <w:sz w:val="18"/>
              </w:rPr>
              <w:t>Never-scored, MTB observed</w:t>
            </w:r>
          </w:p>
        </w:tc>
        <w:tc>
          <w:tcPr>
            <w:tcW w:type="dxa" w:w="1584"/>
            <w:tcBorders>
              <w:top w:val="single" w:sz="6" w:color="000000"/>
              <w:bottom w:val="single" w:sz="6" w:color="000000"/>
            </w:tcBorders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color w:val="0000FF"/>
                <w:sz w:val="18"/>
              </w:rPr>
              <w:t>Never-scored, MTB missing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color w:val="0000FF"/>
                <w:sz w:val="18"/>
              </w:rPr>
              <w:t>Firm-years</w:t>
            </w:r>
          </w:p>
        </w:tc>
        <w:tc>
          <w:tcPr>
            <w:tcW w:type="dxa" w:w="151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6,482</w:t>
            </w:r>
          </w:p>
        </w:tc>
        <w:tc>
          <w:tcPr>
            <w:tcW w:type="dxa" w:w="151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639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20,706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4,694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color w:val="0000FF"/>
                <w:sz w:val="18"/>
              </w:rPr>
              <w:t>Median total assets (USD million)</w:t>
            </w:r>
          </w:p>
        </w:tc>
        <w:tc>
          <w:tcPr>
            <w:tcW w:type="dxa" w:w="151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267.9</w:t>
            </w:r>
          </w:p>
        </w:tc>
        <w:tc>
          <w:tcPr>
            <w:tcW w:type="dxa" w:w="151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76.4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84.1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20.8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color w:val="0000FF"/>
                <w:sz w:val="18"/>
              </w:rPr>
              <w:t>Median market capitalization (USD million)</w:t>
            </w:r>
          </w:p>
        </w:tc>
        <w:tc>
          <w:tcPr>
            <w:tcW w:type="dxa" w:w="151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185.8</w:t>
            </w:r>
          </w:p>
        </w:tc>
        <w:tc>
          <w:tcPr>
            <w:tcW w:type="dxa" w:w="151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63.5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44.6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19.0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color w:val="0000FF"/>
                <w:sz w:val="18"/>
              </w:rPr>
              <w:t>Mean book leverage</w:t>
            </w:r>
          </w:p>
        </w:tc>
        <w:tc>
          <w:tcPr>
            <w:tcW w:type="dxa" w:w="151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0.236</w:t>
            </w:r>
          </w:p>
        </w:tc>
        <w:tc>
          <w:tcPr>
            <w:tcW w:type="dxa" w:w="151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0.307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0.222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0.339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color w:val="0000FF"/>
                <w:sz w:val="18"/>
              </w:rPr>
              <w:t>Share with leverage above 0.5</w:t>
            </w:r>
          </w:p>
        </w:tc>
        <w:tc>
          <w:tcPr>
            <w:tcW w:type="dxa" w:w="151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0.08</w:t>
            </w:r>
          </w:p>
        </w:tc>
        <w:tc>
          <w:tcPr>
            <w:tcW w:type="dxa" w:w="151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0.15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0.08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0.25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color w:val="0000FF"/>
                <w:sz w:val="18"/>
              </w:rPr>
              <w:t>Share Indonesian</w:t>
            </w:r>
          </w:p>
        </w:tc>
        <w:tc>
          <w:tcPr>
            <w:tcW w:type="dxa" w:w="151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0.06</w:t>
            </w:r>
          </w:p>
        </w:tc>
        <w:tc>
          <w:tcPr>
            <w:tcW w:type="dxa" w:w="151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0.06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0.24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0.36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color w:val="0000FF"/>
                <w:sz w:val="18"/>
              </w:rPr>
              <w:t>Share Malaysian</w:t>
            </w:r>
          </w:p>
        </w:tc>
        <w:tc>
          <w:tcPr>
            <w:tcW w:type="dxa" w:w="151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0.59</w:t>
            </w:r>
          </w:p>
        </w:tc>
        <w:tc>
          <w:tcPr>
            <w:tcW w:type="dxa" w:w="151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0.65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0.21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0.22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color w:val="0000FF"/>
                <w:sz w:val="18"/>
              </w:rPr>
              <w:t>Mean calendar year</w:t>
            </w:r>
          </w:p>
        </w:tc>
        <w:tc>
          <w:tcPr>
            <w:tcW w:type="dxa" w:w="151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2019.3</w:t>
            </w:r>
          </w:p>
        </w:tc>
        <w:tc>
          <w:tcPr>
            <w:tcW w:type="dxa" w:w="151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2018.0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2019.5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2019.1</w:t>
            </w:r>
          </w:p>
        </w:tc>
      </w:tr>
      <w:tr>
        <w:trPr>
          <w:cantSplit/>
        </w:trPr>
        <w:tc>
          <w:tcPr>
            <w:tcW w:type="dxa" w:w="3168"/>
            <w:tcBorders>
              <w:bottom w:val="single" w:sz="6" w:color="000000"/>
            </w:tcBorders>
          </w:tcPr>
          <w:p>
            <w:pPr>
              <w:spacing w:after="0" w:line="240" w:lineRule="auto"/>
            </w:pPr>
            <w:r/>
            <w:r>
              <w:rPr>
                <w:b/>
                <w:color w:val="0000FF"/>
                <w:sz w:val="18"/>
              </w:rPr>
              <w:t>Share with market capitalization</w:t>
            </w:r>
          </w:p>
        </w:tc>
        <w:tc>
          <w:tcPr>
            <w:tcW w:type="dxa" w:w="1512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1.00</w:t>
            </w:r>
          </w:p>
        </w:tc>
        <w:tc>
          <w:tcPr>
            <w:tcW w:type="dxa" w:w="1512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0.37</w:t>
            </w:r>
          </w:p>
        </w:tc>
        <w:tc>
          <w:tcPr>
            <w:tcW w:type="dxa" w:w="1584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1.00</w:t>
            </w:r>
          </w:p>
        </w:tc>
        <w:tc>
          <w:tcPr>
            <w:tcW w:type="dxa" w:w="1584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0.37</w:t>
            </w:r>
          </w:p>
        </w:tc>
      </w:tr>
    </w:tbl>
    <w:p>
      <w:pPr>
        <w:spacing w:line="240" w:lineRule="auto" w:after="40" w:before="280"/>
        <w:jc w:val="both"/>
      </w:pPr>
      <w:r>
        <w:rPr>
          <w:color w:val="0000FF"/>
          <w:sz w:val="18"/>
        </w:rPr>
        <w:t>Note: Listed firm-years of the estimation sample, 2014–2024; amounts in U.S. dollars after winsorization at the 1st and 99th percentiles.</w:t>
      </w:r>
    </w:p>
    <w:p>
      <w:pPr>
        <w:keepNext/>
        <w:spacing w:line="240" w:lineRule="auto" w:after="120" w:before="240"/>
        <w:jc w:val="center"/>
      </w:pPr>
      <w:r>
        <w:rPr>
          <w:color w:val="0000FF"/>
          <w:sz w:val="22"/>
        </w:rPr>
        <w:t>Table S9.</w:t>
      </w:r>
      <w:r>
        <w:rPr>
          <w:sz w:val="22"/>
        </w:rPr>
        <w:t xml:space="preserve"> </w:t>
      </w:r>
      <w:r>
        <w:rPr>
          <w:color w:val="0000FF"/>
          <w:sz w:val="22"/>
        </w:rPr>
        <w:t>Leave-one-market-out estimates of the average change after the first recorded LSEG ESG score</w:t>
      </w:r>
    </w:p>
    <w:tbl>
      <w:tblPr>
        <w:tblW w:type="auto" w:w="0"/>
        <w:jc w:val="center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firstColumn="1" w:firstRow="1" w:lastColumn="0" w:lastRow="0" w:noHBand="0" w:noVBand="1" w:val="04A0"/>
      </w:tblPr>
      <w:tblGrid>
        <w:gridCol w:w="2304"/>
        <w:gridCol w:w="1368"/>
        <w:gridCol w:w="1368"/>
        <w:gridCol w:w="1368"/>
        <w:gridCol w:w="1368"/>
        <w:gridCol w:w="1584"/>
      </w:tblGrid>
      <w:tr>
        <w:trPr>
          <w:cantSplit/>
          <w:tblHeader/>
        </w:trPr>
        <w:tc>
          <w:tcPr>
            <w:tcW w:type="dxa" w:w="2304"/>
            <w:tcBorders>
              <w:top w:val="single" w:sz="6" w:color="000000"/>
              <w:bottom w:val="single" w:sz="6" w:color="000000"/>
            </w:tcBorders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Sample</w:t>
            </w:r>
          </w:p>
        </w:tc>
        <w:tc>
          <w:tcPr>
            <w:tcW w:type="dxa" w:w="1368"/>
            <w:tcBorders>
              <w:top w:val="single" w:sz="6" w:color="000000"/>
              <w:bottom w:val="single" w:sz="6" w:color="000000"/>
            </w:tcBorders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ln(MTB)</w:t>
            </w:r>
          </w:p>
        </w:tc>
        <w:tc>
          <w:tcPr>
            <w:tcW w:type="dxa" w:w="1368"/>
            <w:tcBorders>
              <w:top w:val="single" w:sz="6" w:color="000000"/>
              <w:bottom w:val="single" w:sz="6" w:color="000000"/>
            </w:tcBorders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ln(market cap)</w:t>
            </w:r>
          </w:p>
        </w:tc>
        <w:tc>
          <w:tcPr>
            <w:tcW w:type="dxa" w:w="1368"/>
            <w:tcBorders>
              <w:top w:val="single" w:sz="6" w:color="000000"/>
              <w:bottom w:val="single" w:sz="6" w:color="000000"/>
            </w:tcBorders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Leverage</w:t>
            </w:r>
            <w:r>
              <w:br/>
            </w:r>
            <w:r>
              <w:rPr>
                <w:b/>
                <w:sz w:val="18"/>
              </w:rPr>
              <w:t>(ratio)</w:t>
            </w:r>
          </w:p>
        </w:tc>
        <w:tc>
          <w:tcPr>
            <w:tcW w:type="dxa" w:w="1368"/>
            <w:tcBorders>
              <w:top w:val="single" w:sz="6" w:color="000000"/>
              <w:bottom w:val="single" w:sz="6" w:color="000000"/>
            </w:tcBorders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ln(assets)</w:t>
            </w:r>
          </w:p>
        </w:tc>
        <w:tc>
          <w:tcPr>
            <w:tcW w:type="dxa" w:w="1584"/>
            <w:tcBorders>
              <w:top w:val="single" w:sz="6" w:color="000000"/>
              <w:bottom w:val="single" w:sz="6" w:color="000000"/>
            </w:tcBorders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color w:val="0000FF"/>
                <w:sz w:val="18"/>
              </w:rPr>
              <w:t>Scored / control firms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Without Indonesia</w:t>
            </w:r>
          </w:p>
        </w:tc>
        <w:tc>
          <w:tcPr>
            <w:tcW w:type="dxa" w:w="1368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0.017</w:t>
            </w:r>
            <w:r>
              <w:br/>
            </w:r>
            <w:r>
              <w:rPr>
                <w:sz w:val="18"/>
              </w:rPr>
              <w:t>(0.024)</w:t>
            </w:r>
          </w:p>
        </w:tc>
        <w:tc>
          <w:tcPr>
            <w:tcW w:type="dxa" w:w="1368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−0.030</w:t>
            </w:r>
            <w:r>
              <w:br/>
            </w:r>
            <w:r>
              <w:rPr>
                <w:sz w:val="18"/>
              </w:rPr>
              <w:t>(0.030)</w:t>
            </w:r>
          </w:p>
        </w:tc>
        <w:tc>
          <w:tcPr>
            <w:tcW w:type="dxa" w:w="1368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0.011**</w:t>
            </w:r>
            <w:r>
              <w:br/>
            </w:r>
            <w:r>
              <w:rPr>
                <w:sz w:val="18"/>
              </w:rPr>
              <w:t>(0.005)</w:t>
            </w:r>
          </w:p>
        </w:tc>
        <w:tc>
          <w:tcPr>
            <w:tcW w:type="dxa" w:w="1368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0.037*</w:t>
            </w:r>
            <w:r>
              <w:br/>
            </w:r>
            <w:r>
              <w:rPr>
                <w:sz w:val="18"/>
              </w:rPr>
              <w:t>(0.020)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589 / 1,734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Without Malaysia</w:t>
            </w:r>
          </w:p>
        </w:tc>
        <w:tc>
          <w:tcPr>
            <w:tcW w:type="dxa" w:w="1368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−0.003</w:t>
            </w:r>
            <w:r>
              <w:br/>
            </w:r>
            <w:r>
              <w:rPr>
                <w:sz w:val="18"/>
              </w:rPr>
              <w:t>(0.035)</w:t>
            </w:r>
          </w:p>
        </w:tc>
        <w:tc>
          <w:tcPr>
            <w:tcW w:type="dxa" w:w="1368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0.037</w:t>
            </w:r>
            <w:r>
              <w:br/>
            </w:r>
            <w:r>
              <w:rPr>
                <w:sz w:val="18"/>
              </w:rPr>
              <w:t>(0.038)</w:t>
            </w:r>
          </w:p>
        </w:tc>
        <w:tc>
          <w:tcPr>
            <w:tcW w:type="dxa" w:w="1368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0.022***</w:t>
            </w:r>
            <w:r>
              <w:br/>
            </w:r>
            <w:r>
              <w:rPr>
                <w:sz w:val="18"/>
              </w:rPr>
              <w:t>(0.008)</w:t>
            </w:r>
          </w:p>
        </w:tc>
        <w:tc>
          <w:tcPr>
            <w:tcW w:type="dxa" w:w="1368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0.046</w:t>
            </w:r>
            <w:r>
              <w:br/>
            </w:r>
            <w:r>
              <w:rPr>
                <w:sz w:val="18"/>
              </w:rPr>
              <w:t>(0.029)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256 / 1,926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Without Philippines</w:t>
            </w:r>
          </w:p>
        </w:tc>
        <w:tc>
          <w:tcPr>
            <w:tcW w:type="dxa" w:w="1368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−0.001</w:t>
            </w:r>
            <w:r>
              <w:br/>
            </w:r>
            <w:r>
              <w:rPr>
                <w:sz w:val="18"/>
              </w:rPr>
              <w:t>(0.025)</w:t>
            </w:r>
          </w:p>
        </w:tc>
        <w:tc>
          <w:tcPr>
            <w:tcW w:type="dxa" w:w="1368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−0.066**</w:t>
            </w:r>
            <w:r>
              <w:br/>
            </w:r>
            <w:r>
              <w:rPr>
                <w:sz w:val="18"/>
              </w:rPr>
              <w:t>(0.031)</w:t>
            </w:r>
          </w:p>
        </w:tc>
        <w:tc>
          <w:tcPr>
            <w:tcW w:type="dxa" w:w="1368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0.009*</w:t>
            </w:r>
            <w:r>
              <w:br/>
            </w:r>
            <w:r>
              <w:rPr>
                <w:sz w:val="18"/>
              </w:rPr>
              <w:t>(0.005)</w:t>
            </w:r>
          </w:p>
        </w:tc>
        <w:tc>
          <w:tcPr>
            <w:tcW w:type="dxa" w:w="1368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0.031*</w:t>
            </w:r>
            <w:r>
              <w:br/>
            </w:r>
            <w:r>
              <w:rPr>
                <w:sz w:val="18"/>
              </w:rPr>
              <w:t>(0.019)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614 / 2,220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Without Singapore</w:t>
            </w:r>
          </w:p>
        </w:tc>
        <w:tc>
          <w:tcPr>
            <w:tcW w:type="dxa" w:w="1368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−0.007</w:t>
            </w:r>
            <w:r>
              <w:br/>
            </w:r>
            <w:r>
              <w:rPr>
                <w:sz w:val="18"/>
              </w:rPr>
              <w:t>(0.025)</w:t>
            </w:r>
          </w:p>
        </w:tc>
        <w:tc>
          <w:tcPr>
            <w:tcW w:type="dxa" w:w="1368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−0.066**</w:t>
            </w:r>
            <w:r>
              <w:br/>
            </w:r>
            <w:r>
              <w:rPr>
                <w:sz w:val="18"/>
              </w:rPr>
              <w:t>(0.032)</w:t>
            </w:r>
          </w:p>
        </w:tc>
        <w:tc>
          <w:tcPr>
            <w:tcW w:type="dxa" w:w="1368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0.005</w:t>
            </w:r>
            <w:r>
              <w:br/>
            </w:r>
            <w:r>
              <w:rPr>
                <w:sz w:val="18"/>
              </w:rPr>
              <w:t>(0.005)</w:t>
            </w:r>
          </w:p>
        </w:tc>
        <w:tc>
          <w:tcPr>
            <w:tcW w:type="dxa" w:w="1368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0.063***</w:t>
            </w:r>
            <w:r>
              <w:br/>
            </w:r>
            <w:r>
              <w:rPr>
                <w:sz w:val="18"/>
              </w:rPr>
              <w:t>(0.019)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582 / 1,955</w:t>
            </w:r>
          </w:p>
        </w:tc>
      </w:tr>
      <w:tr>
        <w:trPr>
          <w:cantSplit/>
        </w:trPr>
        <w:tc>
          <w:tcPr>
            <w:tcW w:type="dxa" w:w="2304"/>
            <w:tcBorders>
              <w:bottom w:val="single" w:sz="6" w:color="000000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Without Thailand</w:t>
            </w:r>
          </w:p>
        </w:tc>
        <w:tc>
          <w:tcPr>
            <w:tcW w:type="dxa" w:w="1368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0.004</w:t>
            </w:r>
            <w:r>
              <w:br/>
            </w:r>
            <w:r>
              <w:rPr>
                <w:sz w:val="18"/>
              </w:rPr>
              <w:t>(0.029)</w:t>
            </w:r>
          </w:p>
        </w:tc>
        <w:tc>
          <w:tcPr>
            <w:tcW w:type="dxa" w:w="1368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−0.096**</w:t>
            </w:r>
            <w:r>
              <w:br/>
            </w:r>
            <w:r>
              <w:rPr>
                <w:sz w:val="18"/>
              </w:rPr>
              <w:t>(0.037)</w:t>
            </w:r>
          </w:p>
        </w:tc>
        <w:tc>
          <w:tcPr>
            <w:tcW w:type="dxa" w:w="1368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0.004</w:t>
            </w:r>
            <w:r>
              <w:br/>
            </w:r>
            <w:r>
              <w:rPr>
                <w:sz w:val="18"/>
              </w:rPr>
              <w:t>(0.005)</w:t>
            </w:r>
          </w:p>
        </w:tc>
        <w:tc>
          <w:tcPr>
            <w:tcW w:type="dxa" w:w="1368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0.040*</w:t>
            </w:r>
            <w:r>
              <w:br/>
            </w:r>
            <w:r>
              <w:rPr>
                <w:sz w:val="18"/>
              </w:rPr>
              <w:t>(0.021)</w:t>
            </w:r>
          </w:p>
        </w:tc>
        <w:tc>
          <w:tcPr>
            <w:tcW w:type="dxa" w:w="1584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471 / 1,813</w:t>
            </w:r>
          </w:p>
        </w:tc>
      </w:tr>
    </w:tbl>
    <w:p>
      <w:pPr>
        <w:spacing w:line="240" w:lineRule="auto" w:after="40" w:before="280"/>
        <w:jc w:val="both"/>
      </w:pPr>
      <w:r>
        <w:rPr>
          <w:color w:val="0000FF"/>
          <w:sz w:val="18"/>
        </w:rPr>
        <w:t>Note: Outcome regression with firm-bootstrap standard errors; firm counts for ln(MTB). *, **, ***: 10%, 5%, 1% (unadjusted).</w:t>
      </w:r>
    </w:p>
    <w:p>
      <w:pPr>
        <w:keepNext/>
        <w:spacing w:line="240" w:lineRule="auto" w:after="120" w:before="240"/>
        <w:jc w:val="center"/>
      </w:pPr>
      <w:r>
        <w:rPr>
          <w:color w:val="0000FF"/>
          <w:sz w:val="22"/>
        </w:rPr>
        <w:t>Table S10. Weight of each market and coverage wave in the pooled ln(MTB) estimate</w:t>
      </w:r>
    </w:p>
    <w:tbl>
      <w:tblPr>
        <w:tblW w:type="auto" w:w="0"/>
        <w:jc w:val="center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firstColumn="1" w:firstRow="1" w:lastColumn="0" w:lastRow="0" w:noHBand="0" w:noVBand="1" w:val="04A0"/>
      </w:tblPr>
      <w:tblGrid>
        <w:gridCol w:w="4752"/>
        <w:gridCol w:w="1872"/>
        <w:gridCol w:w="2304"/>
      </w:tblGrid>
      <w:tr>
        <w:trPr>
          <w:cantSplit/>
          <w:tblHeader/>
        </w:trPr>
        <w:tc>
          <w:tcPr>
            <w:tcW w:type="dxa" w:w="4752"/>
            <w:tcBorders>
              <w:top w:val="single" w:sz="6" w:color="000000"/>
              <w:bottom w:val="single" w:sz="6" w:color="000000"/>
            </w:tcBorders>
          </w:tcPr>
          <w:p>
            <w:pPr>
              <w:keepNext/>
              <w:spacing w:after="0" w:line="240" w:lineRule="auto"/>
            </w:pPr>
            <w:r/>
            <w:r>
              <w:rPr>
                <w:b/>
                <w:color w:val="0000FF"/>
                <w:sz w:val="18"/>
              </w:rPr>
              <w:t>Group</w:t>
            </w:r>
          </w:p>
        </w:tc>
        <w:tc>
          <w:tcPr>
            <w:tcW w:type="dxa" w:w="1872"/>
            <w:tcBorders>
              <w:top w:val="single" w:sz="6" w:color="000000"/>
              <w:bottom w:val="single" w:sz="6" w:color="000000"/>
            </w:tcBorders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color w:val="0000FF"/>
                <w:sz w:val="18"/>
              </w:rPr>
              <w:t>Scored firm-cells</w:t>
            </w:r>
          </w:p>
        </w:tc>
        <w:tc>
          <w:tcPr>
            <w:tcW w:type="dxa" w:w="2304"/>
            <w:tcBorders>
              <w:top w:val="single" w:sz="6" w:color="000000"/>
              <w:bottom w:val="single" w:sz="6" w:color="000000"/>
            </w:tcBorders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color w:val="0000FF"/>
                <w:sz w:val="18"/>
              </w:rPr>
              <w:t>Weight in the pooled estimate</w:t>
            </w:r>
          </w:p>
        </w:tc>
      </w:tr>
      <w:tr>
        <w:trPr>
          <w:cantSplit/>
        </w:trPr>
        <w:tc>
          <w:tcPr>
            <w:tcW w:type="dxa" w:w="475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color w:val="0000FF"/>
                <w:sz w:val="18"/>
              </w:rPr>
              <w:t>Indonesia</w:t>
            </w:r>
          </w:p>
        </w:tc>
        <w:tc>
          <w:tcPr>
            <w:tcW w:type="dxa" w:w="187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123</w:t>
            </w:r>
          </w:p>
        </w:tc>
        <w:tc>
          <w:tcPr>
            <w:tcW w:type="dxa" w:w="230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0.063</w:t>
            </w:r>
          </w:p>
        </w:tc>
      </w:tr>
      <w:tr>
        <w:trPr>
          <w:cantSplit/>
        </w:trPr>
        <w:tc>
          <w:tcPr>
            <w:tcW w:type="dxa" w:w="475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color w:val="0000FF"/>
                <w:sz w:val="18"/>
              </w:rPr>
              <w:t>Malaysia</w:t>
            </w:r>
          </w:p>
        </w:tc>
        <w:tc>
          <w:tcPr>
            <w:tcW w:type="dxa" w:w="187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1,074</w:t>
            </w:r>
          </w:p>
        </w:tc>
        <w:tc>
          <w:tcPr>
            <w:tcW w:type="dxa" w:w="230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0.552</w:t>
            </w:r>
          </w:p>
        </w:tc>
      </w:tr>
      <w:tr>
        <w:trPr>
          <w:cantSplit/>
        </w:trPr>
        <w:tc>
          <w:tcPr>
            <w:tcW w:type="dxa" w:w="475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color w:val="0000FF"/>
                <w:sz w:val="18"/>
              </w:rPr>
              <w:t>Philippines</w:t>
            </w:r>
          </w:p>
        </w:tc>
        <w:tc>
          <w:tcPr>
            <w:tcW w:type="dxa" w:w="187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52</w:t>
            </w:r>
          </w:p>
        </w:tc>
        <w:tc>
          <w:tcPr>
            <w:tcW w:type="dxa" w:w="230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0.027</w:t>
            </w:r>
          </w:p>
        </w:tc>
      </w:tr>
      <w:tr>
        <w:trPr>
          <w:cantSplit/>
        </w:trPr>
        <w:tc>
          <w:tcPr>
            <w:tcW w:type="dxa" w:w="475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color w:val="0000FF"/>
                <w:sz w:val="18"/>
              </w:rPr>
              <w:t>Singapore</w:t>
            </w:r>
          </w:p>
        </w:tc>
        <w:tc>
          <w:tcPr>
            <w:tcW w:type="dxa" w:w="187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178</w:t>
            </w:r>
          </w:p>
        </w:tc>
        <w:tc>
          <w:tcPr>
            <w:tcW w:type="dxa" w:w="230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0.091</w:t>
            </w:r>
          </w:p>
        </w:tc>
      </w:tr>
      <w:tr>
        <w:trPr>
          <w:cantSplit/>
        </w:trPr>
        <w:tc>
          <w:tcPr>
            <w:tcW w:type="dxa" w:w="475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color w:val="0000FF"/>
                <w:sz w:val="18"/>
              </w:rPr>
              <w:t>Thailand</w:t>
            </w:r>
          </w:p>
        </w:tc>
        <w:tc>
          <w:tcPr>
            <w:tcW w:type="dxa" w:w="187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519</w:t>
            </w:r>
          </w:p>
        </w:tc>
        <w:tc>
          <w:tcPr>
            <w:tcW w:type="dxa" w:w="230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0.267</w:t>
            </w:r>
          </w:p>
        </w:tc>
      </w:tr>
      <w:tr>
        <w:trPr>
          <w:cantSplit/>
        </w:trPr>
        <w:tc>
          <w:tcPr>
            <w:tcW w:type="dxa" w:w="475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color w:val="0000FF"/>
                <w:sz w:val="18"/>
              </w:rPr>
              <w:t>Malaysian wave (first recorded 2021–2022)</w:t>
            </w:r>
          </w:p>
        </w:tc>
        <w:tc>
          <w:tcPr>
            <w:tcW w:type="dxa" w:w="187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858</w:t>
            </w:r>
          </w:p>
        </w:tc>
        <w:tc>
          <w:tcPr>
            <w:tcW w:type="dxa" w:w="230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0.441</w:t>
            </w:r>
          </w:p>
        </w:tc>
      </w:tr>
      <w:tr>
        <w:trPr>
          <w:cantSplit/>
        </w:trPr>
        <w:tc>
          <w:tcPr>
            <w:tcW w:type="dxa" w:w="475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color w:val="0000FF"/>
                <w:sz w:val="18"/>
              </w:rPr>
              <w:t>Thai and Singaporean wave (2019–2020)</w:t>
            </w:r>
          </w:p>
        </w:tc>
        <w:tc>
          <w:tcPr>
            <w:tcW w:type="dxa" w:w="187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401</w:t>
            </w:r>
          </w:p>
        </w:tc>
        <w:tc>
          <w:tcPr>
            <w:tcW w:type="dxa" w:w="230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0.206</w:t>
            </w:r>
          </w:p>
        </w:tc>
      </w:tr>
      <w:tr>
        <w:trPr>
          <w:cantSplit/>
        </w:trPr>
        <w:tc>
          <w:tcPr>
            <w:tcW w:type="dxa" w:w="475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color w:val="0000FF"/>
                <w:sz w:val="18"/>
              </w:rPr>
              <w:t>All other cohorts</w:t>
            </w:r>
          </w:p>
        </w:tc>
        <w:tc>
          <w:tcPr>
            <w:tcW w:type="dxa" w:w="187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687</w:t>
            </w:r>
          </w:p>
        </w:tc>
        <w:tc>
          <w:tcPr>
            <w:tcW w:type="dxa" w:w="230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0.353</w:t>
            </w:r>
          </w:p>
        </w:tc>
      </w:tr>
      <w:tr>
        <w:trPr>
          <w:cantSplit/>
        </w:trPr>
        <w:tc>
          <w:tcPr>
            <w:tcW w:type="dxa" w:w="475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color w:val="0000FF"/>
                <w:sz w:val="18"/>
              </w:rPr>
              <w:t>Calendar year 2015</w:t>
            </w:r>
          </w:p>
        </w:tc>
        <w:tc>
          <w:tcPr>
            <w:tcW w:type="dxa" w:w="187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8</w:t>
            </w:r>
          </w:p>
        </w:tc>
        <w:tc>
          <w:tcPr>
            <w:tcW w:type="dxa" w:w="230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0.004</w:t>
            </w:r>
          </w:p>
        </w:tc>
      </w:tr>
      <w:tr>
        <w:trPr>
          <w:cantSplit/>
        </w:trPr>
        <w:tc>
          <w:tcPr>
            <w:tcW w:type="dxa" w:w="475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color w:val="0000FF"/>
                <w:sz w:val="18"/>
              </w:rPr>
              <w:t>Calendar year 2016</w:t>
            </w:r>
          </w:p>
        </w:tc>
        <w:tc>
          <w:tcPr>
            <w:tcW w:type="dxa" w:w="187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16</w:t>
            </w:r>
          </w:p>
        </w:tc>
        <w:tc>
          <w:tcPr>
            <w:tcW w:type="dxa" w:w="230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0.008</w:t>
            </w:r>
          </w:p>
        </w:tc>
      </w:tr>
      <w:tr>
        <w:trPr>
          <w:cantSplit/>
        </w:trPr>
        <w:tc>
          <w:tcPr>
            <w:tcW w:type="dxa" w:w="475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color w:val="0000FF"/>
                <w:sz w:val="18"/>
              </w:rPr>
              <w:t>Calendar year 2017</w:t>
            </w:r>
          </w:p>
        </w:tc>
        <w:tc>
          <w:tcPr>
            <w:tcW w:type="dxa" w:w="187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22</w:t>
            </w:r>
          </w:p>
        </w:tc>
        <w:tc>
          <w:tcPr>
            <w:tcW w:type="dxa" w:w="230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0.011</w:t>
            </w:r>
          </w:p>
        </w:tc>
      </w:tr>
      <w:tr>
        <w:trPr>
          <w:cantSplit/>
        </w:trPr>
        <w:tc>
          <w:tcPr>
            <w:tcW w:type="dxa" w:w="475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color w:val="0000FF"/>
                <w:sz w:val="18"/>
              </w:rPr>
              <w:t>Calendar year 2018</w:t>
            </w:r>
          </w:p>
        </w:tc>
        <w:tc>
          <w:tcPr>
            <w:tcW w:type="dxa" w:w="187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28</w:t>
            </w:r>
          </w:p>
        </w:tc>
        <w:tc>
          <w:tcPr>
            <w:tcW w:type="dxa" w:w="230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0.014</w:t>
            </w:r>
          </w:p>
        </w:tc>
      </w:tr>
      <w:tr>
        <w:trPr>
          <w:cantSplit/>
        </w:trPr>
        <w:tc>
          <w:tcPr>
            <w:tcW w:type="dxa" w:w="475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color w:val="0000FF"/>
                <w:sz w:val="18"/>
              </w:rPr>
              <w:t>Calendar year 2019</w:t>
            </w:r>
          </w:p>
        </w:tc>
        <w:tc>
          <w:tcPr>
            <w:tcW w:type="dxa" w:w="187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49</w:t>
            </w:r>
          </w:p>
        </w:tc>
        <w:tc>
          <w:tcPr>
            <w:tcW w:type="dxa" w:w="230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0.025</w:t>
            </w:r>
          </w:p>
        </w:tc>
      </w:tr>
      <w:tr>
        <w:trPr>
          <w:cantSplit/>
        </w:trPr>
        <w:tc>
          <w:tcPr>
            <w:tcW w:type="dxa" w:w="475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color w:val="0000FF"/>
                <w:sz w:val="18"/>
              </w:rPr>
              <w:t>Calendar year 2020</w:t>
            </w:r>
          </w:p>
        </w:tc>
        <w:tc>
          <w:tcPr>
            <w:tcW w:type="dxa" w:w="187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126</w:t>
            </w:r>
          </w:p>
        </w:tc>
        <w:tc>
          <w:tcPr>
            <w:tcW w:type="dxa" w:w="230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0.065</w:t>
            </w:r>
          </w:p>
        </w:tc>
      </w:tr>
      <w:tr>
        <w:trPr>
          <w:cantSplit/>
        </w:trPr>
        <w:tc>
          <w:tcPr>
            <w:tcW w:type="dxa" w:w="475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color w:val="0000FF"/>
                <w:sz w:val="18"/>
              </w:rPr>
              <w:t>Calendar year 2021</w:t>
            </w:r>
          </w:p>
        </w:tc>
        <w:tc>
          <w:tcPr>
            <w:tcW w:type="dxa" w:w="187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243</w:t>
            </w:r>
          </w:p>
        </w:tc>
        <w:tc>
          <w:tcPr>
            <w:tcW w:type="dxa" w:w="230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0.125</w:t>
            </w:r>
          </w:p>
        </w:tc>
      </w:tr>
      <w:tr>
        <w:trPr>
          <w:cantSplit/>
        </w:trPr>
        <w:tc>
          <w:tcPr>
            <w:tcW w:type="dxa" w:w="475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color w:val="0000FF"/>
                <w:sz w:val="18"/>
              </w:rPr>
              <w:t>Calendar year 2022</w:t>
            </w:r>
          </w:p>
        </w:tc>
        <w:tc>
          <w:tcPr>
            <w:tcW w:type="dxa" w:w="187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454</w:t>
            </w:r>
          </w:p>
        </w:tc>
        <w:tc>
          <w:tcPr>
            <w:tcW w:type="dxa" w:w="230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0.233</w:t>
            </w:r>
          </w:p>
        </w:tc>
      </w:tr>
      <w:tr>
        <w:trPr>
          <w:cantSplit/>
        </w:trPr>
        <w:tc>
          <w:tcPr>
            <w:tcW w:type="dxa" w:w="475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color w:val="0000FF"/>
                <w:sz w:val="18"/>
              </w:rPr>
              <w:t>Calendar year 2023</w:t>
            </w:r>
          </w:p>
        </w:tc>
        <w:tc>
          <w:tcPr>
            <w:tcW w:type="dxa" w:w="187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523</w:t>
            </w:r>
          </w:p>
        </w:tc>
        <w:tc>
          <w:tcPr>
            <w:tcW w:type="dxa" w:w="230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0.269</w:t>
            </w:r>
          </w:p>
        </w:tc>
      </w:tr>
      <w:tr>
        <w:trPr>
          <w:cantSplit/>
        </w:trPr>
        <w:tc>
          <w:tcPr>
            <w:tcW w:type="dxa" w:w="4752"/>
            <w:tcBorders>
              <w:bottom w:val="single" w:sz="6" w:color="000000"/>
            </w:tcBorders>
          </w:tcPr>
          <w:p>
            <w:pPr>
              <w:spacing w:after="0" w:line="240" w:lineRule="auto"/>
            </w:pPr>
            <w:r/>
            <w:r>
              <w:rPr>
                <w:b/>
                <w:color w:val="0000FF"/>
                <w:sz w:val="18"/>
              </w:rPr>
              <w:t>Calendar year 2024</w:t>
            </w:r>
          </w:p>
        </w:tc>
        <w:tc>
          <w:tcPr>
            <w:tcW w:type="dxa" w:w="1872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477</w:t>
            </w:r>
          </w:p>
        </w:tc>
        <w:tc>
          <w:tcPr>
            <w:tcW w:type="dxa" w:w="2304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0.245</w:t>
            </w:r>
          </w:p>
        </w:tc>
      </w:tr>
    </w:tbl>
    <w:p>
      <w:pPr>
        <w:spacing w:line="240" w:lineRule="auto" w:after="40" w:before="280"/>
        <w:jc w:val="both"/>
      </w:pPr>
      <w:r>
        <w:rPr>
          <w:color w:val="0000FF"/>
          <w:sz w:val="18"/>
        </w:rPr>
        <w:t>Note: Each scored firm counts once in every post-coverage cell of the baseline ln(MTB) estimate; weights are cell shares.</w:t>
      </w:r>
    </w:p>
    <w:p>
      <w:pPr>
        <w:keepNext/>
        <w:spacing w:line="240" w:lineRule="auto" w:after="120" w:before="240"/>
        <w:jc w:val="center"/>
      </w:pPr>
      <w:r>
        <w:rPr>
          <w:color w:val="0000FF"/>
          <w:sz w:val="22"/>
        </w:rPr>
        <w:t>Table S11.</w:t>
      </w:r>
      <w:r>
        <w:rPr>
          <w:sz w:val="22"/>
        </w:rPr>
        <w:t xml:space="preserve"> </w:t>
      </w:r>
      <w:r>
        <w:rPr>
          <w:color w:val="0000FF"/>
          <w:sz w:val="22"/>
        </w:rPr>
        <w:t>Average change after the first recorded LSEG ESG score by market</w:t>
      </w:r>
    </w:p>
    <w:tbl>
      <w:tblPr>
        <w:tblW w:type="auto" w:w="0"/>
        <w:jc w:val="center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firstColumn="1" w:firstRow="1" w:lastColumn="0" w:lastRow="0" w:noHBand="0" w:noVBand="1" w:val="04A0"/>
      </w:tblPr>
      <w:tblGrid>
        <w:gridCol w:w="1872"/>
        <w:gridCol w:w="1440"/>
        <w:gridCol w:w="1512"/>
        <w:gridCol w:w="1512"/>
        <w:gridCol w:w="1440"/>
        <w:gridCol w:w="1584"/>
      </w:tblGrid>
      <w:tr>
        <w:trPr>
          <w:cantSplit/>
          <w:tblHeader/>
        </w:trPr>
        <w:tc>
          <w:tcPr>
            <w:tcW w:type="dxa" w:w="1872"/>
            <w:tcBorders>
              <w:top w:val="single" w:sz="6" w:color="000000"/>
              <w:bottom w:val="single" w:sz="6" w:color="000000"/>
            </w:tcBorders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Market</w:t>
            </w:r>
          </w:p>
        </w:tc>
        <w:tc>
          <w:tcPr>
            <w:tcW w:type="dxa" w:w="1440"/>
            <w:tcBorders>
              <w:top w:val="single" w:sz="6" w:color="000000"/>
              <w:bottom w:val="single" w:sz="6" w:color="000000"/>
            </w:tcBorders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ln(MTB)</w:t>
            </w:r>
          </w:p>
        </w:tc>
        <w:tc>
          <w:tcPr>
            <w:tcW w:type="dxa" w:w="1512"/>
            <w:tcBorders>
              <w:top w:val="single" w:sz="6" w:color="000000"/>
              <w:bottom w:val="single" w:sz="6" w:color="000000"/>
            </w:tcBorders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ln(market cap)</w:t>
            </w:r>
          </w:p>
        </w:tc>
        <w:tc>
          <w:tcPr>
            <w:tcW w:type="dxa" w:w="1512"/>
            <w:tcBorders>
              <w:top w:val="single" w:sz="6" w:color="000000"/>
              <w:bottom w:val="single" w:sz="6" w:color="000000"/>
            </w:tcBorders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Leverage</w:t>
            </w:r>
            <w:r>
              <w:br/>
            </w:r>
            <w:r>
              <w:rPr>
                <w:b/>
                <w:sz w:val="18"/>
              </w:rPr>
              <w:t>(ratio)</w:t>
            </w:r>
          </w:p>
        </w:tc>
        <w:tc>
          <w:tcPr>
            <w:tcW w:type="dxa" w:w="1440"/>
            <w:tcBorders>
              <w:top w:val="single" w:sz="6" w:color="000000"/>
              <w:bottom w:val="single" w:sz="6" w:color="000000"/>
            </w:tcBorders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ln(assets)</w:t>
            </w:r>
          </w:p>
        </w:tc>
        <w:tc>
          <w:tcPr>
            <w:tcW w:type="dxa" w:w="1584"/>
            <w:tcBorders>
              <w:top w:val="single" w:sz="6" w:color="000000"/>
              <w:bottom w:val="single" w:sz="6" w:color="000000"/>
            </w:tcBorders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color w:val="0000FF"/>
                <w:sz w:val="18"/>
              </w:rPr>
              <w:t>Scored / control firms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Indonesia</w:t>
            </w:r>
          </w:p>
        </w:tc>
        <w:tc>
          <w:tcPr>
            <w:tcW w:type="dxa" w:w="1440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0.054</w:t>
            </w:r>
            <w:r>
              <w:br/>
            </w:r>
            <w:r>
              <w:rPr>
                <w:sz w:val="18"/>
              </w:rPr>
              <w:t>(0.128)</w:t>
            </w:r>
          </w:p>
        </w:tc>
        <w:tc>
          <w:tcPr>
            <w:tcW w:type="dxa" w:w="151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−0.018</w:t>
            </w:r>
            <w:r>
              <w:br/>
            </w:r>
            <w:r>
              <w:rPr>
                <w:sz w:val="18"/>
              </w:rPr>
              <w:t>(0.109)</w:t>
            </w:r>
          </w:p>
        </w:tc>
        <w:tc>
          <w:tcPr>
            <w:tcW w:type="dxa" w:w="151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0.023</w:t>
            </w:r>
            <w:r>
              <w:br/>
            </w:r>
            <w:r>
              <w:rPr>
                <w:sz w:val="18"/>
              </w:rPr>
              <w:t>(0.018)</w:t>
            </w:r>
          </w:p>
        </w:tc>
        <w:tc>
          <w:tcPr>
            <w:tcW w:type="dxa" w:w="1440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0.123*</w:t>
            </w:r>
            <w:r>
              <w:br/>
            </w:r>
            <w:r>
              <w:rPr>
                <w:sz w:val="18"/>
              </w:rPr>
              <w:t>(0.070)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39 / 678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Malaysia</w:t>
            </w:r>
          </w:p>
        </w:tc>
        <w:tc>
          <w:tcPr>
            <w:tcW w:type="dxa" w:w="1440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0.009</w:t>
            </w:r>
            <w:r>
              <w:br/>
            </w:r>
            <w:r>
              <w:rPr>
                <w:sz w:val="18"/>
              </w:rPr>
              <w:t>(0.033)</w:t>
            </w:r>
          </w:p>
        </w:tc>
        <w:tc>
          <w:tcPr>
            <w:tcW w:type="dxa" w:w="151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−0.114**</w:t>
            </w:r>
            <w:r>
              <w:br/>
            </w:r>
            <w:r>
              <w:rPr>
                <w:sz w:val="18"/>
              </w:rPr>
              <w:t>(0.048)</w:t>
            </w:r>
          </w:p>
        </w:tc>
        <w:tc>
          <w:tcPr>
            <w:tcW w:type="dxa" w:w="151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0.002</w:t>
            </w:r>
            <w:r>
              <w:br/>
            </w:r>
            <w:r>
              <w:rPr>
                <w:sz w:val="18"/>
              </w:rPr>
              <w:t>(0.006)</w:t>
            </w:r>
          </w:p>
        </w:tc>
        <w:tc>
          <w:tcPr>
            <w:tcW w:type="dxa" w:w="1440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0.033</w:t>
            </w:r>
            <w:r>
              <w:br/>
            </w:r>
            <w:r>
              <w:rPr>
                <w:sz w:val="18"/>
              </w:rPr>
              <w:t>(0.024)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372 / 486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Philippines</w:t>
            </w:r>
          </w:p>
        </w:tc>
        <w:tc>
          <w:tcPr>
            <w:tcW w:type="dxa" w:w="1440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−0.006</w:t>
            </w:r>
            <w:r>
              <w:br/>
            </w:r>
            <w:r>
              <w:rPr>
                <w:sz w:val="18"/>
              </w:rPr>
              <w:t>(0.109)</w:t>
            </w:r>
          </w:p>
        </w:tc>
        <w:tc>
          <w:tcPr>
            <w:tcW w:type="dxa" w:w="151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0.101</w:t>
            </w:r>
            <w:r>
              <w:br/>
            </w:r>
            <w:r>
              <w:rPr>
                <w:sz w:val="18"/>
              </w:rPr>
              <w:t>(0.128)</w:t>
            </w:r>
          </w:p>
        </w:tc>
        <w:tc>
          <w:tcPr>
            <w:tcW w:type="dxa" w:w="151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0.041</w:t>
            </w:r>
            <w:r>
              <w:br/>
            </w:r>
            <w:r>
              <w:rPr>
                <w:sz w:val="18"/>
              </w:rPr>
              <w:t>(0.028)</w:t>
            </w:r>
          </w:p>
        </w:tc>
        <w:tc>
          <w:tcPr>
            <w:tcW w:type="dxa" w:w="1440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0.025</w:t>
            </w:r>
            <w:r>
              <w:br/>
            </w:r>
            <w:r>
              <w:rPr>
                <w:sz w:val="18"/>
              </w:rPr>
              <w:t>(0.079)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14 / 179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Singapore</w:t>
            </w:r>
          </w:p>
        </w:tc>
        <w:tc>
          <w:tcPr>
            <w:tcW w:type="dxa" w:w="1440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−0.037</w:t>
            </w:r>
            <w:r>
              <w:br/>
            </w:r>
            <w:r>
              <w:rPr>
                <w:sz w:val="18"/>
              </w:rPr>
              <w:t>(0.073)</w:t>
            </w:r>
          </w:p>
        </w:tc>
        <w:tc>
          <w:tcPr>
            <w:tcW w:type="dxa" w:w="151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0.143*</w:t>
            </w:r>
            <w:r>
              <w:br/>
            </w:r>
            <w:r>
              <w:rPr>
                <w:sz w:val="18"/>
              </w:rPr>
              <w:t>(0.087)</w:t>
            </w:r>
          </w:p>
        </w:tc>
        <w:tc>
          <w:tcPr>
            <w:tcW w:type="dxa" w:w="151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0.048**</w:t>
            </w:r>
            <w:r>
              <w:br/>
            </w:r>
            <w:r>
              <w:rPr>
                <w:sz w:val="18"/>
              </w:rPr>
              <w:t>(0.020)</w:t>
            </w:r>
          </w:p>
        </w:tc>
        <w:tc>
          <w:tcPr>
            <w:tcW w:type="dxa" w:w="1440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sz w:val="18"/>
              </w:rPr>
              <w:t>0.013</w:t>
            </w:r>
            <w:r>
              <w:br/>
            </w:r>
            <w:r>
              <w:rPr>
                <w:sz w:val="18"/>
              </w:rPr>
              <w:t>(0.084)</w:t>
            </w:r>
          </w:p>
        </w:tc>
        <w:tc>
          <w:tcPr>
            <w:tcW w:type="dxa" w:w="1584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46 / 452</w:t>
            </w:r>
          </w:p>
        </w:tc>
      </w:tr>
      <w:tr>
        <w:trPr>
          <w:cantSplit/>
        </w:trPr>
        <w:tc>
          <w:tcPr>
            <w:tcW w:type="dxa" w:w="1872"/>
            <w:tcBorders>
              <w:bottom w:val="single" w:sz="6" w:color="000000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Thailand</w:t>
            </w:r>
          </w:p>
        </w:tc>
        <w:tc>
          <w:tcPr>
            <w:tcW w:type="dxa" w:w="1440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0.027</w:t>
            </w:r>
            <w:r>
              <w:br/>
            </w:r>
            <w:r>
              <w:rPr>
                <w:sz w:val="18"/>
              </w:rPr>
              <w:t>(0.047)</w:t>
            </w:r>
          </w:p>
        </w:tc>
        <w:tc>
          <w:tcPr>
            <w:tcW w:type="dxa" w:w="1512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0.059</w:t>
            </w:r>
            <w:r>
              <w:br/>
            </w:r>
            <w:r>
              <w:rPr>
                <w:sz w:val="18"/>
              </w:rPr>
              <w:t>(0.059)</w:t>
            </w:r>
          </w:p>
        </w:tc>
        <w:tc>
          <w:tcPr>
            <w:tcW w:type="dxa" w:w="1512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0.025*</w:t>
            </w:r>
            <w:r>
              <w:br/>
            </w:r>
            <w:r>
              <w:rPr>
                <w:sz w:val="18"/>
              </w:rPr>
              <w:t>(0.013)</w:t>
            </w:r>
          </w:p>
        </w:tc>
        <w:tc>
          <w:tcPr>
            <w:tcW w:type="dxa" w:w="1440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0.017</w:t>
            </w:r>
            <w:r>
              <w:br/>
            </w:r>
            <w:r>
              <w:rPr>
                <w:sz w:val="18"/>
              </w:rPr>
              <w:t>(0.040)</w:t>
            </w:r>
          </w:p>
        </w:tc>
        <w:tc>
          <w:tcPr>
            <w:tcW w:type="dxa" w:w="1584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color w:val="0000FF"/>
                <w:sz w:val="18"/>
              </w:rPr>
              <w:t>157 / 599</w:t>
            </w:r>
          </w:p>
        </w:tc>
      </w:tr>
    </w:tbl>
    <w:p>
      <w:pPr>
        <w:spacing w:line="240" w:lineRule="auto" w:after="40" w:before="280"/>
        <w:jc w:val="both"/>
      </w:pPr>
      <w:r>
        <w:rPr>
          <w:color w:val="0000FF"/>
          <w:sz w:val="18"/>
        </w:rPr>
        <w:t>Note: Outcome regression within each market, with firm-bootstrap standard errors; firm counts for ln(MTB). *, **, ***: 10%, 5%, 1% (unadjusted).</w:t>
      </w:r>
    </w:p>
    <w:p>
      <w:pPr>
        <w:pStyle w:val="Heading1"/>
        <w:keepNext/>
        <w:spacing w:line="360" w:lineRule="auto" w:after="120" w:before="360"/>
      </w:pPr>
      <w:r>
        <w:rPr>
          <w:rFonts w:ascii="Times New Roman" w:hAnsi="Times New Roman" w:eastAsia="Times New Roman"/>
          <w:b/>
          <w:i w:val="0"/>
          <w:color w:val="0000FF"/>
          <w:sz w:val="26"/>
        </w:rPr>
        <w:t>Appendix A.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 Additional robustness results</w:t>
      </w:r>
    </w:p>
    <w:p>
      <w:pPr>
        <w:pStyle w:val="Heading2"/>
        <w:keepNext/>
        <w:spacing w:line="360" w:lineRule="auto" w:after="120" w:before="160"/>
      </w:pPr>
      <w:r>
        <w:rPr>
          <w:rFonts w:ascii="Times New Roman" w:hAnsi="Times New Roman" w:eastAsia="Times New Roman"/>
          <w:b/>
          <w:i w:val="0"/>
          <w:color w:val="0000FF"/>
          <w:sz w:val="24"/>
        </w:rPr>
        <w:t>A.1.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FF"/>
          <w:sz w:val="24"/>
        </w:rPr>
        <w:t>Event Year 4 (Section 4.1)</w:t>
      </w:r>
    </w:p>
    <w:p>
      <w:pPr>
        <w:spacing w:line="360" w:lineRule="auto" w:after="120" w:before="0"/>
        <w:ind w:firstLine="720"/>
        <w:jc w:val="both"/>
      </w:pPr>
      <w:r>
        <w:rPr>
          <w:color w:val="0000FF"/>
        </w:rPr>
        <w:t>Only 141 scored firms from 6 cohorts reach event year 4; therefore, we plot that year in Figure 1 but exclude it from the headline estimate.</w:t>
      </w:r>
      <w:r>
        <w:rPr/>
        <w:t xml:space="preserve"> Its estimates are −0.077 for MTB (p = 0.209) and 0.088 for market capitalization (p = 0.153).</w:t>
      </w:r>
    </w:p>
    <w:p>
      <w:pPr>
        <w:pStyle w:val="Heading2"/>
        <w:keepNext/>
        <w:spacing w:line="360" w:lineRule="auto" w:after="120" w:before="160"/>
      </w:pPr>
      <w:r>
        <w:rPr>
          <w:rFonts w:ascii="Times New Roman" w:hAnsi="Times New Roman" w:eastAsia="Times New Roman"/>
          <w:b/>
          <w:i w:val="0"/>
          <w:color w:val="0000FF"/>
          <w:sz w:val="24"/>
        </w:rPr>
        <w:t>A.2.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FF"/>
          <w:sz w:val="24"/>
        </w:rPr>
        <w:t>Further Timing Variants of the One-Year-Later Dating (Section 4.2)</w:t>
      </w:r>
    </w:p>
    <w:p>
      <w:pPr>
        <w:spacing w:line="360" w:lineRule="auto" w:after="120" w:before="0"/>
        <w:ind w:firstLine="720"/>
        <w:jc w:val="both"/>
      </w:pPr>
      <w:r>
        <w:rPr>
          <w:color w:val="0000FF"/>
        </w:rPr>
        <w:t>Under the one-year-later dating, the decline in log MTB loses significance once M̄ in the relative-magnitude bound reaches 0.23.</w:t>
      </w:r>
      <w:r>
        <w:rPr/>
        <w:t xml:space="preserve"> </w:t>
      </w:r>
      <w:r>
        <w:rPr>
          <w:color w:val="0000FF"/>
        </w:rPr>
        <w:t>Holding total assets at the original base year gives −0.074 (p = 0.002), so the covariate timing does not drive the one-year-later estimate.</w:t>
      </w:r>
      <w:r>
        <w:rPr/>
        <w:t xml:space="preserve"> Dating coverage two years later gives −0.048 (95% interval −0.099 to 0.000), a smaller decline that is no longer significant at the 5% level.</w:t>
      </w:r>
    </w:p>
    <w:p>
      <w:pPr>
        <w:pStyle w:val="Heading2"/>
        <w:keepNext/>
        <w:spacing w:line="360" w:lineRule="auto" w:after="120" w:before="160"/>
      </w:pPr>
      <w:r>
        <w:rPr>
          <w:rFonts w:ascii="Times New Roman" w:hAnsi="Times New Roman" w:eastAsia="Times New Roman"/>
          <w:b/>
          <w:i w:val="0"/>
          <w:color w:val="0000FF"/>
          <w:sz w:val="24"/>
        </w:rPr>
        <w:t>A.3.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FF"/>
          <w:sz w:val="24"/>
        </w:rPr>
        <w:t>Reconciling the One-Year-Later and Baseline Event-Time Paths (Section 4.2, Figure S2)</w:t>
      </w:r>
    </w:p>
    <w:p>
      <w:pPr>
        <w:spacing w:line="360" w:lineRule="auto" w:after="120" w:before="0"/>
        <w:ind w:firstLine="720"/>
        <w:jc w:val="both"/>
      </w:pPr>
      <w:r>
        <w:rPr>
          <w:color w:val="0000FF"/>
        </w:rPr>
        <w:t>The baseline path in Figure 1 does not show the one-year-later decline because its later event years come from early cohorts, while its first post-coverage years pool all cohorts.</w:t>
      </w:r>
      <w:r>
        <w:rPr/>
        <w:t xml:space="preserve"> </w:t>
      </w:r>
      <w:r>
        <w:rPr>
          <w:color w:val="0000FF"/>
        </w:rPr>
        <w:t>Re-based within each cohort to the first recorded year, the baseline point estimates for event years 3 and 4 are −0.083 and −0.167, respectively.</w:t>
      </w:r>
      <w:r>
        <w:rPr/>
        <w:t xml:space="preserve"> </w:t>
      </w:r>
      <w:r>
        <w:rPr>
          <w:color w:val="0000FF"/>
        </w:rPr>
        <w:t>These lie closer to the corresponding one-year-later estimates of −0.138 and −0.200 than the pooled baseline path suggests.</w:t>
      </w:r>
      <w:r>
        <w:rPr/>
        <w:t xml:space="preserve"> We report the re-based values without standard errors, as a reconciliation of the two paths rather than a test. </w:t>
      </w:r>
      <w:r>
        <w:rPr>
          <w:color w:val="0000FF"/>
        </w:rPr>
        <w:t>Table 4 of the paper carries out the full step-by-step reconciliation on a common sample.</w:t>
      </w:r>
    </w:p>
    <w:p>
      <w:pPr>
        <w:pStyle w:val="Heading2"/>
        <w:keepNext/>
        <w:spacing w:line="360" w:lineRule="auto" w:after="120" w:before="160"/>
      </w:pPr>
      <w:r>
        <w:rPr>
          <w:rFonts w:ascii="Times New Roman" w:hAnsi="Times New Roman" w:eastAsia="Times New Roman"/>
          <w:b/>
          <w:i w:val="0"/>
          <w:color w:val="0000FF"/>
          <w:sz w:val="24"/>
        </w:rPr>
        <w:t>A.4.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FF"/>
          <w:sz w:val="24"/>
        </w:rPr>
        <w:t>Size Covariate and Support (Section 4.3, Table S4, Figure S2)</w:t>
      </w:r>
    </w:p>
    <w:p>
      <w:pPr>
        <w:spacing w:line="360" w:lineRule="auto" w:after="120" w:before="0"/>
        <w:ind w:firstLine="720"/>
        <w:jc w:val="both"/>
      </w:pPr>
      <w:r>
        <w:rPr>
          <w:color w:val="0000FF"/>
        </w:rPr>
        <w:t>Table S4 and Figure S2 vary the size covariate and support; Table 5 of the paper reports the full set of variants.</w:t>
      </w:r>
      <w:r>
        <w:rPr/>
        <w:t xml:space="preserve"> </w:t>
      </w:r>
      <w:r>
        <w:rPr>
          <w:color w:val="0000FF"/>
        </w:rPr>
        <w:t>Scored-firm counts differ slightly across tables for the same estimate: Tables 4, 5, and 7 count firms in the averaged event years, while Tables 2, 3, S9, and S11 count firms in any event-time cell.</w:t>
      </w:r>
      <w:r>
        <w:rPr/>
        <w:t xml:space="preserve"> </w:t>
      </w:r>
      <w:r>
        <w:rPr>
          <w:color w:val="0000FF"/>
        </w:rPr>
        <w:t>The run-up is smaller without conditioning on base-year total assets.</w:t>
      </w:r>
      <w:r>
        <w:rPr/>
        <w:t xml:space="preserve"> Without covariates, the MTB run-up from event year −5 to the base year is 6.6%, weaker than the baseline (event year −5 p = 0.068; pre-trend p = 0.028), and the market capitalization run-up is 24.0%. With total assets measured two years before the base year, it is 8.0% for MTB (pre-trend p = 0.176) and 20.3% for market capitalization.</w:t>
      </w:r>
    </w:p>
    <w:p>
      <w:pPr>
        <w:pStyle w:val="Heading2"/>
        <w:keepNext/>
        <w:spacing w:line="360" w:lineRule="auto" w:after="120" w:before="160"/>
      </w:pPr>
      <w:r>
        <w:rPr>
          <w:rFonts w:ascii="Times New Roman" w:hAnsi="Times New Roman" w:eastAsia="Times New Roman"/>
          <w:b/>
          <w:i w:val="0"/>
          <w:color w:val="0000FF"/>
          <w:sz w:val="24"/>
        </w:rPr>
        <w:t>A.5.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FF"/>
          <w:sz w:val="24"/>
        </w:rPr>
        <w:t>Decomposition of the TWFE Gap (Section 4.3, Table S5)</w:t>
      </w:r>
    </w:p>
    <w:p>
      <w:pPr>
        <w:spacing w:line="360" w:lineRule="auto" w:after="120" w:before="0"/>
        <w:ind w:firstLine="720"/>
        <w:jc w:val="both"/>
      </w:pPr>
      <w:r>
        <w:rPr>
          <w:color w:val="0000FF"/>
        </w:rPr>
        <w:t>Table S5 shows the decomposition of the gap between the static TWFE estimate and the headline MTB estimate.</w:t>
      </w:r>
      <w:r>
        <w:rPr/>
        <w:t xml:space="preserve"> Restricting the regression to never-scored controls and event years −5 to 3 changes the estimate to only 0.058, while the heterogeneity-robust estimator gives 0.025 without covariates and 0.002 with them. Comparing each cohort with its own base year, rather than pooling all years, accounts for approximately half of the gap. </w:t>
      </w:r>
      <w:r>
        <w:rPr>
          <w:color w:val="0000FF"/>
        </w:rPr>
        <w:t>Conditioning on the base-year covariates (country and industry indicators and total assets) accounts for most of the rest, and the choice of controls and window for little.</w:t>
      </w:r>
    </w:p>
    <w:p>
      <w:pPr>
        <w:pStyle w:val="Heading2"/>
        <w:keepNext/>
        <w:spacing w:line="360" w:lineRule="auto" w:after="120" w:before="160"/>
      </w:pPr>
      <w:r>
        <w:rPr>
          <w:rFonts w:ascii="Times New Roman" w:hAnsi="Times New Roman" w:eastAsia="Times New Roman"/>
          <w:b/>
          <w:i w:val="0"/>
          <w:color w:val="0000FF"/>
          <w:sz w:val="24"/>
        </w:rPr>
        <w:t>A.6.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FF"/>
          <w:sz w:val="24"/>
        </w:rPr>
        <w:t>Market-by-Market and Early Versus Late Cohorts (Section 4.4, Table S11)</w:t>
      </w:r>
    </w:p>
    <w:p>
      <w:pPr>
        <w:spacing w:line="360" w:lineRule="auto" w:after="120" w:before="0"/>
        <w:ind w:firstLine="720"/>
        <w:jc w:val="both"/>
      </w:pPr>
      <w:r>
        <w:rPr>
          <w:color w:val="0000FF"/>
        </w:rPr>
        <w:t>Estimated market by market in Table S11, the MTB effect is 0.009 in Malaysia, with 372 scored firms, and 0.027 in Thailand, with 157.</w:t>
      </w:r>
      <w:r>
        <w:rPr/>
        <w:t xml:space="preserve"> Indonesia, the Philippines, and Singapore have few scored firms and imprecise estimates. </w:t>
      </w:r>
      <w:r>
        <w:rPr>
          <w:color w:val="0000FF"/>
        </w:rPr>
        <w:t>The 58 firms first scored by 2019 that enter the MTB estimate show a positive post-coverage MTB estimate of 0.094 (p = 0.047; 95% interval 0.002 to 0.185), and the larger group first scored from 2020 shows −0.010 (p = 0.687).</w:t>
      </w:r>
      <w:r>
        <w:rPr/>
        <w:t xml:space="preserve"> The early estimate rests on few firms, is one of many exploratory comparisons, and is not adjusted for multiple testing, so we do not read it as evidence of a gain for early entrants.</w:t>
      </w:r>
    </w:p>
    <w:p>
      <w:pPr>
        <w:pStyle w:val="Heading2"/>
        <w:keepNext/>
        <w:spacing w:line="360" w:lineRule="auto" w:after="120" w:before="160"/>
      </w:pPr>
      <w:r>
        <w:rPr>
          <w:rFonts w:ascii="Times New Roman" w:hAnsi="Times New Roman" w:eastAsia="Times New Roman"/>
          <w:b/>
          <w:i w:val="0"/>
          <w:color w:val="0000FF"/>
          <w:sz w:val="24"/>
        </w:rPr>
        <w:t>A.7.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FF"/>
          <w:sz w:val="24"/>
        </w:rPr>
        <w:t>Breadth of the Malaysian Wave (Section 4.1, Figure 2)</w:t>
      </w:r>
    </w:p>
    <w:p>
      <w:pPr>
        <w:spacing w:line="360" w:lineRule="auto" w:after="120" w:before="0"/>
        <w:ind w:firstLine="720"/>
        <w:jc w:val="both"/>
      </w:pPr>
      <w:r>
        <w:rPr/>
        <w:t>The Malaysian wave added 289 firms in two years, yet 565 Malaysian firms remained never-scored, so it was broad but not market-wide.</w:t>
      </w:r>
    </w:p>
    <w:p>
      <w:pPr>
        <w:pStyle w:val="Heading2"/>
        <w:keepNext/>
        <w:spacing w:line="360" w:lineRule="auto" w:after="120" w:before="160"/>
      </w:pPr>
      <w:r>
        <w:rPr>
          <w:rFonts w:ascii="Times New Roman" w:hAnsi="Times New Roman" w:eastAsia="Times New Roman"/>
          <w:b/>
          <w:i w:val="0"/>
          <w:color w:val="0000FF"/>
          <w:sz w:val="24"/>
        </w:rPr>
        <w:t>A.8.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FF"/>
          <w:sz w:val="24"/>
        </w:rPr>
        <w:t>Composition of the Pooled Estimate (Section 4.4, Table S10)</w:t>
      </w:r>
    </w:p>
    <w:p>
      <w:pPr>
        <w:spacing w:line="360" w:lineRule="auto" w:after="120" w:before="0"/>
        <w:ind w:firstLine="720"/>
        <w:jc w:val="both"/>
      </w:pPr>
      <w:r>
        <w:rPr>
          <w:color w:val="0000FF"/>
        </w:rPr>
        <w:t>Table S10 counts scored firm-cells, one for each scored firm in each post-coverage cell of the ln(MTB) estimate, by market and by coverage wave.</w:t>
      </w:r>
      <w:r>
        <w:rPr/>
        <w:t xml:space="preserve"> </w:t>
      </w:r>
      <w:r>
        <w:rPr>
          <w:color w:val="0000FF"/>
        </w:rPr>
        <w:t>These counts are the weights of the headline estimate.</w:t>
      </w:r>
    </w:p>
    <w:p>
      <w:pPr>
        <w:pStyle w:val="Heading2"/>
        <w:keepNext/>
        <w:spacing w:line="360" w:lineRule="auto" w:after="120" w:before="160"/>
      </w:pPr>
      <w:r>
        <w:rPr>
          <w:rFonts w:ascii="Times New Roman" w:hAnsi="Times New Roman" w:eastAsia="Times New Roman"/>
          <w:b/>
          <w:i w:val="0"/>
          <w:color w:val="0000FF"/>
          <w:sz w:val="24"/>
        </w:rPr>
        <w:t>A.9.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FF"/>
          <w:sz w:val="24"/>
        </w:rPr>
        <w:t>Dating by Wave (Section 4.2, Table S6)</w:t>
      </w:r>
    </w:p>
    <w:p>
      <w:pPr>
        <w:spacing w:line="360" w:lineRule="auto" w:after="120" w:before="0"/>
        <w:ind w:firstLine="720"/>
        <w:jc w:val="both"/>
      </w:pPr>
      <w:r>
        <w:rPr>
          <w:color w:val="0000FF"/>
        </w:rPr>
        <w:t>Table S6 reports, for each wave, the average change with coverage dated at the first recorded score year and one year later, estimated against all never-scored firms.</w:t>
      </w:r>
    </w:p>
    <w:p>
      <w:pPr>
        <w:pStyle w:val="Heading2"/>
        <w:keepNext/>
        <w:spacing w:line="360" w:lineRule="auto" w:after="120" w:before="160"/>
      </w:pPr>
      <w:r>
        <w:rPr>
          <w:rFonts w:ascii="Times New Roman" w:hAnsi="Times New Roman" w:eastAsia="Times New Roman"/>
          <w:b/>
          <w:i w:val="0"/>
          <w:color w:val="0000FF"/>
          <w:sz w:val="24"/>
        </w:rPr>
        <w:t>A.10.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FF"/>
          <w:sz w:val="24"/>
        </w:rPr>
        <w:t>Firm-years with and Without an MTB Ratio (Section 4.3, Table S8)</w:t>
      </w:r>
    </w:p>
    <w:p>
      <w:pPr>
        <w:spacing w:line="360" w:lineRule="auto" w:after="120" w:before="0"/>
        <w:ind w:firstLine="720"/>
        <w:jc w:val="both"/>
      </w:pPr>
      <w:r>
        <w:rPr>
          <w:color w:val="0000FF"/>
        </w:rPr>
        <w:t>Table S8 compares scored and never-scored firm-years with and without an MTB ratio in the estimation sample.</w:t>
      </w:r>
      <w:r>
        <w:rPr/>
        <w:t xml:space="preserve"> </w:t>
      </w:r>
      <w:r>
        <w:rPr>
          <w:color w:val="0000FF"/>
        </w:rPr>
        <w:t>Book leverage above 0.5 and Indonesian listing are more common among firm-years without an MTB ratio.</w:t>
      </w:r>
    </w:p>
    <w:p>
      <w:pPr>
        <w:pStyle w:val="Heading2"/>
        <w:keepNext/>
        <w:spacing w:line="360" w:lineRule="auto" w:after="120" w:before="160"/>
      </w:pPr>
      <w:r>
        <w:rPr>
          <w:rFonts w:ascii="Times New Roman" w:hAnsi="Times New Roman" w:eastAsia="Times New Roman"/>
          <w:b/>
          <w:i w:val="0"/>
          <w:color w:val="0000FF"/>
          <w:sz w:val="24"/>
        </w:rPr>
        <w:t>A.11.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FF"/>
          <w:sz w:val="24"/>
        </w:rPr>
        <w:t>Other Robustness Checks (Section 4.3)</w:t>
      </w:r>
    </w:p>
    <w:p>
      <w:pPr>
        <w:spacing w:line="360" w:lineRule="auto" w:after="120" w:before="0"/>
        <w:ind w:firstLine="720"/>
        <w:jc w:val="both"/>
      </w:pPr>
      <w:r>
        <w:rPr>
          <w:color w:val="0000FF"/>
        </w:rPr>
        <w:t>The four pre-specified robustness checks in Table 3 give MTB effects of −0.001 with not-yet-scored firms among the controls, 0.025 without covariates, 0.031 without the 2020 and 2021 cohorts, and 0.016 when control firms below the size range of scored firms are dropped.</w:t>
      </w:r>
      <w:r>
        <w:rPr/>
        <w:t xml:space="preserve"> </w:t>
      </w:r>
      <w:r>
        <w:rPr>
          <w:color w:val="0000FF"/>
        </w:rPr>
        <w:t>Under the last restriction the market capitalization effect shrinks to −0.007 and the total assets effect is 0.101, against 0.011 without covariates.</w:t>
      </w:r>
      <w:r>
        <w:rPr/>
        <w:t xml:space="preserve"> </w:t>
      </w:r>
      <w:r>
        <w:rPr>
          <w:color w:val="0000FF"/>
        </w:rPr>
        <w:t>Removing a linear pre-trend that passes through zero in the base year gives a negative MTB effect because a continued run-up would have raised valuations further.</w:t>
      </w:r>
      <w:r>
        <w:rPr/>
        <w:t xml:space="preserve"> </w:t>
      </w:r>
      <w:r>
        <w:rPr>
          <w:color w:val="0000FF"/>
        </w:rPr>
        <w:t>Adding market capitalization growth from g − 3 to the base year to the covariates does not settle the reversal question, because control firms with similar past growth can themselves revert.</w:t>
      </w:r>
      <w:r>
        <w:rPr/>
        <w:t xml:space="preserve"> </w:t>
      </w:r>
      <w:r>
        <w:rPr>
          <w:color w:val="0000FF"/>
        </w:rPr>
        <w:t>The placebo gives 0.134 for log market capitalization (p &lt; 0.001), and the static TWFE regression gives 0.185.</w:t>
      </w:r>
      <w:r>
        <w:rPr/>
        <w:t xml:space="preserve"> </w:t>
      </w:r>
      <w:r>
        <w:rPr>
          <w:color w:val="0000FF"/>
        </w:rPr>
        <w:t>Without Malaysia, the MTB effect is −0.003 (p = 0.940) and the market capitalization effect 0.037.</w:t>
      </w:r>
    </w:p>
    <w:p>
      <w:pPr>
        <w:spacing w:line="360" w:lineRule="auto" w:after="120" w:before="0"/>
        <w:ind w:firstLine="720"/>
        <w:jc w:val="both"/>
      </w:pPr>
      <w:r>
        <w:rPr>
          <w:color w:val="0000FF"/>
        </w:rPr>
        <w:t>In the outcome regression, a country or industry indicator would be unidentified in a cell with no control firm in that country or industry, and its coefficient would be set to zero.</w:t>
      </w:r>
      <w:r>
        <w:rPr/>
        <w:t xml:space="preserve"> </w:t>
      </w:r>
      <w:r>
        <w:rPr>
          <w:color w:val="0000FF"/>
        </w:rPr>
        <w:t>This does not occur: in all 34 cells of event years 0 to 3 for ln(MTB), and all 34 for ln(market capitalization), every indicator carried by a scored firm is also carried by a control firm.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