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both"/>
      </w:pPr>
      <w:r>
        <w:t>Dear Editors,</w:t>
      </w:r>
    </w:p>
    <w:p>
      <w:pPr>
        <w:spacing w:after="100"/>
        <w:jc w:val="both"/>
      </w:pPr>
      <w:r>
        <w:t>We submit the Research Article “Do price limits delay price discovery? Overnight gaps after limit closes in Vietnam” for consideration in PLOS ONE.</w:t>
      </w:r>
    </w:p>
    <w:p>
      <w:pPr>
        <w:spacing w:after="100"/>
        <w:jc w:val="both"/>
      </w:pPr>
      <w:r>
        <w:t>Contribution. Exchanges worldwide use daily price limits, but little is known about how prices adjust after a stock closes at its limit. Using daily prices of 347 stocks on the Ho Chi Minh Stock Exchange (August 2024 to September 2026), we split the next-day abnormal return into an overnight gap and an intraday return. After a ceiling close the stock opens on average 2.2% above the market and the following session gives back about 24% of the gap; the gap is 2.7 percentage points larger than after rises that stop short of the limit; and a buyer at the next open trails the market by 0.7% by the fifth close. We test the four limit tests together with 22 price- and volume-based characteristics under false discovery rate control, and we report the floor-close result that depends on the benchmark and the explanations that our data cannot separate.</w:t>
      </w:r>
    </w:p>
    <w:p>
      <w:pPr>
        <w:spacing w:after="100"/>
        <w:jc w:val="both"/>
      </w:pPr>
      <w:r>
        <w:t>Relation to previous work. The study extends the Taiwanese evidence on overnight and intraday returns after limit hits, the Tokyo and Istanbul evidence on delayed price discovery, and the evidence on band changes in China and Korea, with a new market, a call-auction setting and the 2025 change of trading platform. PLOS ONE has published a closely related study of the ChiNext band change, which we cite.</w:t>
      </w:r>
    </w:p>
    <w:p>
      <w:pPr>
        <w:spacing w:after="100"/>
        <w:jc w:val="both"/>
      </w:pPr>
      <w:r>
        <w:t>Article type: Research Article. The manuscript is original, is not under consideration elsewhere, and all authors have approved it. Data and code are public, as described in the Data Availability statement. We have had no prior interaction with PLOS about this manuscript.</w:t>
      </w:r>
    </w:p>
    <w:p>
      <w:pPr>
        <w:spacing w:after="100"/>
        <w:jc w:val="both"/>
      </w:pPr>
      <w:r>
        <w:t>Suggested Academic Editors: none; we leave the choice to the journal. Opposed reviewers: none.</w:t>
      </w:r>
    </w:p>
    <w:p>
      <w:pPr>
        <w:spacing w:after="100"/>
        <w:jc w:val="both"/>
      </w:pPr>
      <w:r>
        <w:t>Sincerely,</w:t>
        <w:br/>
        <w:t>Nguyen Van Trung, on behalf of all authors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