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Do price limits delay price discovery? Overnight gaps after limit closes in Vietnam</w:t>
      </w:r>
    </w:p>
    <w:p>
      <w:pPr>
        <w:pStyle w:val="BodyText"/>
        <w:spacing w:line="480" w:lineRule="auto" w:after="120"/>
        <w:jc w:val="both"/>
      </w:pPr>
      <w:r>
        <w:rPr>
          <w:bCs/>
          <w:b/>
        </w:rPr>
        <w:t xml:space="preserve">Short title:</w:t>
      </w:r>
      <w:r>
        <w:t xml:space="preserve"> </w:t>
      </w:r>
      <w:r>
        <w:t xml:space="preserve">Price limit closes and overnight gaps in Vietnam</w:t>
      </w:r>
    </w:p>
    <w:p>
      <w:pPr>
        <w:pStyle w:val="BodyText"/>
        <w:spacing w:line="480" w:lineRule="auto" w:after="120"/>
        <w:jc w:val="both"/>
      </w:pPr>
      <w:r>
        <w:t xml:space="preserve">Ha Hong Hanh</w:t>
      </w:r>
      <w:r>
        <w:rPr>
          <w:vertAlign w:val="superscript"/>
        </w:rPr>
        <w:t xml:space="preserve">a</w:t>
      </w:r>
      <w:r>
        <w:t xml:space="preserve">, Nguyen Van Trung</w:t>
      </w:r>
      <w:r>
        <w:rPr>
          <w:vertAlign w:val="superscript"/>
        </w:rPr>
        <w:t xml:space="preserve">b,</w:t>
      </w:r>
      <w:r>
        <w:t xml:space="preserve">*, Nguyen Thanh Binh</w:t>
      </w:r>
      <w:r>
        <w:rPr>
          <w:vertAlign w:val="superscript"/>
        </w:rPr>
        <w:t xml:space="preserve">b</w:t>
      </w:r>
    </w:p>
    <w:p>
      <w:pPr>
        <w:pStyle w:val="BodyText"/>
        <w:spacing w:line="480" w:lineRule="auto" w:after="120"/>
        <w:jc w:val="both"/>
      </w:pPr>
      <w:r>
        <w:rPr>
          <w:vertAlign w:val="superscript"/>
        </w:rPr>
        <w:t xml:space="preserve">a</w:t>
      </w:r>
      <w:r>
        <w:t xml:space="preserve"> </w:t>
      </w:r>
      <w:r>
        <w:t xml:space="preserve">School of Accounting and Auditing, National Economics University, Hanoi, Vietnam</w:t>
      </w:r>
    </w:p>
    <w:p>
      <w:pPr>
        <w:pStyle w:val="BodyText"/>
        <w:spacing w:line="480" w:lineRule="auto" w:after="120"/>
        <w:jc w:val="both"/>
      </w:pPr>
      <w:r>
        <w:rPr>
          <w:vertAlign w:val="superscript"/>
        </w:rPr>
        <w:t xml:space="preserve">b</w:t>
      </w:r>
      <w:r>
        <w:t xml:space="preserve"> </w:t>
      </w:r>
      <w:r>
        <w:t xml:space="preserve">Academy of Policy and Development, Nam An Khanh Urban Area, Hoai Duc District, Hanoi, Vietnam</w:t>
      </w:r>
    </w:p>
    <w:p>
      <w:pPr>
        <w:pStyle w:val="BodyText"/>
        <w:spacing w:line="480" w:lineRule="auto" w:after="120"/>
        <w:jc w:val="both"/>
      </w:pPr>
      <w:r>
        <w:t xml:space="preserve">* Corresponding author</w:t>
      </w:r>
    </w:p>
    <w:p>
      <w:pPr>
        <w:pStyle w:val="BodyText"/>
        <w:spacing w:line="480" w:lineRule="auto" w:after="120"/>
        <w:jc w:val="both"/>
      </w:pPr>
      <w:r>
        <w:t xml:space="preserve">E-mail: kontrungcany@gmail.com (NVT)</w:t>
      </w:r>
    </w:p>
    <w:p>
      <w:pPr>
        <w:spacing w:line="480" w:lineRule="auto" w:after="120"/>
        <w:jc w:val="left"/>
      </w:pPr>
      <w:r>
        <w:br w:type="page"/>
      </w:r>
    </w:p>
    <w:p>
      <w:pPr>
        <w:pStyle w:val="Heading2"/>
        <w:jc w:val="left"/>
      </w:pPr>
      <w:r>
        <w:t xml:space="preserve">Abstract</w:t>
      </w:r>
    </w:p>
    <w:p>
      <w:pPr>
        <w:pStyle w:val="FirstParagraph"/>
        <w:spacing w:line="480" w:lineRule="auto" w:after="120"/>
        <w:jc w:val="both"/>
      </w:pPr>
      <w:r>
        <w:t xml:space="preserve">Daily price limits are meant to cool markets, but they may also delay the adjustment of prices to news. We study what happens after a stock closes at its daily limit on the Ho Chi Minh Stock Exchange, a market dominated by individual investors that applies a single 7% band and sets opening prices by call auction. Using daily prices of 347 stocks from August 2024 to September 2026, we split the next-day abnormal return into an overnight gap and an intraday return. After a ceiling close, the stock opens on average 2.2% above the market, and the following session gives back about 24% of this gap. The gap is 2.7 percentage points larger than after rises that stop short of the limit. An investor who buys at the next opening cannot capture the effect and trails the market by 0.7% by the fifth close. After a floor close the gap is negative, but its size depends on the benchmark. The limit effects pass a multiple-testing control that none of 22 price- and volume-based characteristics passes. The pattern is consistent with delayed price discovery, although news, attention and auction overshooting may also contribute.</w:t>
      </w:r>
    </w:p>
    <w:p>
      <w:pPr>
        <w:pStyle w:val="Heading2"/>
        <w:jc w:val="left"/>
      </w:pPr>
      <w:r>
        <w:t xml:space="preserve">Introduction</w:t>
      </w:r>
    </w:p>
    <w:p>
      <w:pPr>
        <w:pStyle w:val="FirstParagraph"/>
        <w:spacing w:line="480" w:lineRule="auto" w:after="120"/>
        <w:jc w:val="both"/>
      </w:pPr>
      <w:r>
        <w:t xml:space="preserve">A daily price limit prevents a stock from moving beyond a fixed band within a single trading day. Exchanges in Tokyo, Taipei, Seoul, Shenzhen and Ho Chi Minh City have used limits to cool markets after large shocks, and economists ask whether a limit protects prices or postpones their adjustment. The question is sharpest where limit closes are common and call auctions set opening and closing prices. The Ho Chi Minh Stock Exchange (HOSE) has both features: a single 7% band applies to all stocks, and about 2.0% of stock-days in our event window close at the upper limit (a ceiling close) and about 1.4% at the lower limit (a floor close).</w:t>
      </w:r>
    </w:p>
    <w:p>
      <w:pPr>
        <w:pStyle w:val="BodyText"/>
        <w:spacing w:line="480" w:lineRule="auto" w:after="120"/>
        <w:jc w:val="both"/>
      </w:pPr>
      <w:r>
        <w:t xml:space="preserve">Theory predicts protection or distortion depending on the source of the shock. Well-chosen limits can be Pareto superior when fundamental news drives prices[1,2], and imperfect transactional mechanisms can produce crashes[3], but halts can also advance trades in time and raise price variability[4], and volatility can rise as the price nears a limit, a magnet effect[5,6]. Empirical studies found support for three criticisms of limits (volatility spillover, delayed price discovery and trading interference) in Tokyo and Istanbul[7,8], and delayed adjustment under narrow limits in Taiwan[9,10]. Studies of band changes document effects on volatility, liquidity and crash risk[11–16]. Account data show that large investors buy on the limit day and sell on the next[17], and stocks with large limit exposures or frequent upper-limit hits earn lower future returns[18,19]; limit hits can be forecast[20] and are more frequent in small, volatile and high-volume stocks[21,22]. For Vietnam, earlier work evaluated how narrower bands after 2008 affected price risk[23] and documented clusters of limit hits in the early years of the market[24]. In Taiwan, which also had a 7% band, one-day up-limit closes gained 1.18% overnight in abnormal terms and gave back 0.77% in the next session[10].</w:t>
      </w:r>
    </w:p>
    <w:p>
      <w:pPr>
        <w:pStyle w:val="BodyText"/>
        <w:spacing w:line="480" w:lineRule="auto" w:after="120"/>
        <w:jc w:val="both"/>
      </w:pPr>
      <w:r>
        <w:t xml:space="preserve">A second literature separates overnight from intraday returns. Positive overnight returns are followed by intraday reversals in U.S. stocks, concentrated among stocks with recent retail attention[25,26]; overnight returns are tied to sentiment, margin and lending costs, and market makers who absorb retail imbalances near the open[27–31]. In China, overnight returns are negative on average, which has been linked to the T+1 rule, and day-night anomalies concentrate at the open and close[32–35]. A third literature concerns multiple testing: a new return predictor needs a</w:t>
      </w:r>
      <w:r>
        <w:t xml:space="preserve"> </w:t>
      </w:r>
      <w:r>
        <w:rPr>
          <w:iCs/>
          <w:i/>
        </w:rPr>
        <w:t xml:space="preserve">t</w:t>
      </w:r>
      <w:r>
        <w:t xml:space="preserve">-statistic above 3.0, or a threshold tied to a chosen false discovery rate (FDR), because many signals could have been tested[36–39]. For Vietnam, a size effect and an earnings-to-price effect have been reported[40].</w:t>
      </w:r>
    </w:p>
    <w:p>
      <w:pPr>
        <w:pStyle w:val="BodyText"/>
        <w:spacing w:line="480" w:lineRule="auto" w:after="120"/>
        <w:jc w:val="both"/>
      </w:pPr>
      <w:r>
        <w:t xml:space="preserve">Less is known about three questions. How large are the overnight gap and the intraday reversal after a limit close relative to a benchmark? Does the limit effect remain once the many other price-based signals that a researcher could test are taken into account? How does the pattern behave around the 2025 move of the HOSE to a new trading platform? We estimate the abnormal return after the ceiling and floor close, split it into an overnight gap and an intraday return, and test whether an outside buyer can capture it. We place the four limit tests in a family of 26 tests with 22 price- and volume-based characteristics and control the FDR[36,41]. We test four hypotheses. If a limit delays price discovery, a ceiling close predicts a positive next-day abnormal return and a floor close a negative one (H</w:t>
      </w:r>
      <w:r>
        <w:rPr>
          <w:vertAlign w:val="subscript"/>
        </w:rPr>
        <w:t xml:space="preserve">1</w:t>
      </w:r>
      <w:r>
        <w:t xml:space="preserve">). If the opening auction absorbs blocked demand, the effect concentrates in the overnight gap (H</w:t>
      </w:r>
      <w:r>
        <w:rPr>
          <w:vertAlign w:val="subscript"/>
        </w:rPr>
        <w:t xml:space="preserve">2</w:t>
      </w:r>
      <w:r>
        <w:t xml:space="preserve">). If the limit itself drives the gap, the gap after a limit close exceeds the gap after moves of a similar size that stop short of the limit (H</w:t>
      </w:r>
      <w:r>
        <w:rPr>
          <w:vertAlign w:val="subscript"/>
        </w:rPr>
        <w:t xml:space="preserve">3</w:t>
      </w:r>
      <w:r>
        <w:t xml:space="preserve">). If the gap already contains the blocked demand, an investor who buys at the next open cannot earn the continuation, so the abnormal return from the next open to the fifth close is zero or negative (H</w:t>
      </w:r>
      <w:r>
        <w:rPr>
          <w:vertAlign w:val="subscript"/>
        </w:rPr>
        <w:t xml:space="preserve">4</w:t>
      </w:r>
      <w:r>
        <w:t xml:space="preserve">).</w:t>
      </w:r>
    </w:p>
    <w:p>
      <w:pPr>
        <w:pStyle w:val="BodyText"/>
        <w:spacing w:line="480" w:lineRule="auto" w:after="120"/>
        <w:jc w:val="both"/>
      </w:pPr>
      <w:r>
        <w:t xml:space="preserve">We report three main results. After a ceiling close, the overnight gap is 2.2%, of which the following session reverses 24%. The gap is 2.7 percentage points larger than after rises of 5% to 6.5% that stop short of the limit, and the contrast survives when the comparison stocks also close at their daily high. All four limit tests survive a multiplicity-controlled family in which no characteristic survives, and a buyer at the next open trails the market by 0.7% by the fifth close. We also split the events at the 2025 platform change. The aim of the study is to measure these quantities and to judge whether the pattern is consistent with delayed price discovery; the first aim is met, and the second only in part, because the data cannot separate delayed price discovery from news, attention and auction overshooting.</w:t>
      </w:r>
    </w:p>
    <w:p>
      <w:pPr>
        <w:pStyle w:val="Heading2"/>
        <w:jc w:val="left"/>
      </w:pPr>
      <w:r>
        <w:t xml:space="preserve">Results</w:t>
      </w:r>
    </w:p>
    <w:p>
      <w:pPr>
        <w:pStyle w:val="FirstParagraph"/>
        <w:spacing w:line="480" w:lineRule="auto" w:after="120"/>
        <w:jc w:val="both"/>
      </w:pPr>
      <w:r>
        <w:rPr>
          <w:bCs/>
          <w:b/>
        </w:rPr>
        <w:t xml:space="preserve">Sample and statistical conventions.</w:t>
      </w:r>
      <w:r>
        <w:t xml:space="preserve"> </w:t>
      </w:r>
      <w:r>
        <w:t xml:space="preserve">The event sample contains 3,187 ceiling events on 446 dates and 2,105 floor events on 319 dates among 347 stocks. A ceiling (floor) event is a close-to-close return of at least +6.5% (at most −6.5%) with the close at the daily high (low). The overnight gap is the open-to-previous-close return on day</w:t>
      </w:r>
      <w:r>
        <w:t xml:space="preserve"> </w:t>
      </w:r>
      <w:r>
        <w:rPr>
          <w:iCs/>
          <w:i/>
        </w:rPr>
        <w:t xml:space="preserve">d</w:t>
      </w:r>
      <w:r>
        <w:t xml:space="preserve">+1, the intraday return is the open-to-close return on that day, and abnormal values subtract the dollar-volume-weighted market counterpart (Materials and methods, equations (1)–(5)). All tests are two-sided at α = 0.05. For each</w:t>
      </w:r>
      <w:r>
        <w:t xml:space="preserve"> </w:t>
      </w:r>
      <w:r>
        <w:rPr>
          <w:iCs/>
          <w:i/>
        </w:rPr>
        <w:t xml:space="preserve">t</w:t>
      </w:r>
      <w:r>
        <w:t xml:space="preserve">-statistic we report the</w:t>
      </w:r>
      <w:r>
        <w:t xml:space="preserve"> </w:t>
      </w:r>
      <w:r>
        <w:rPr>
          <w:iCs/>
          <w:i/>
        </w:rPr>
        <w:t xml:space="preserve">P</w:t>
      </w:r>
      <w:r>
        <w:t xml:space="preserve"> </w:t>
      </w:r>
      <w:r>
        <w:t xml:space="preserve">value from the standard normal distribution, which is below 0.001 for |</w:t>
      </w:r>
      <w:r>
        <w:rPr>
          <w:iCs/>
          <w:i/>
        </w:rPr>
        <w:t xml:space="preserve">t</w:t>
      </w:r>
      <w:r>
        <w:t xml:space="preserve">| ≥ 3.29; the main close-to-close event tests use the</w:t>
      </w:r>
      <w:r>
        <w:t xml:space="preserve"> </w:t>
      </w:r>
      <w:r>
        <w:rPr>
          <w:iCs/>
          <w:i/>
        </w:rPr>
        <w:t xml:space="preserve">t</w:t>
      </w:r>
      <w:r>
        <w:t xml:space="preserve"> </w:t>
      </w:r>
      <w:r>
        <w:t xml:space="preserve">distribution with</w:t>
      </w:r>
      <w:r>
        <w:t xml:space="preserve"> </w:t>
      </w:r>
      <w:r>
        <w:rPr>
          <w:iCs/>
          <w:i/>
        </w:rPr>
        <w:t xml:space="preserve">G</w:t>
      </w:r>
      <w:r>
        <w:t xml:space="preserve"> </w:t>
      </w:r>
      <w:r>
        <w:t xml:space="preserve">− 1 degrees of freedom (Materials and methods).</w:t>
      </w:r>
    </w:p>
    <w:p>
      <w:pPr>
        <w:pStyle w:val="Heading3"/>
        <w:jc w:val="left"/>
      </w:pPr>
      <w:r>
        <w:t xml:space="preserve">Limit closes predict next-day returns, and the characteristics do not</w:t>
      </w:r>
    </w:p>
    <w:p>
      <w:pPr>
        <w:pStyle w:val="FirstParagraph"/>
        <w:spacing w:line="480" w:lineRule="auto" w:after="120"/>
        <w:jc w:val="both"/>
      </w:pPr>
      <w:r>
        <w:t xml:space="preserve">Fig 1 plots the</w:t>
      </w:r>
      <w:r>
        <w:t xml:space="preserve"> </w:t>
      </w:r>
      <w:r>
        <w:rPr>
          <w:iCs/>
          <w:i/>
        </w:rPr>
        <w:t xml:space="preserve">t</w:t>
      </w:r>
      <w:r>
        <w:t xml:space="preserve">-statistics of the 22 Fama–MacBeth slopes in equation (7): none reaches |</w:t>
      </w:r>
      <w:r>
        <w:rPr>
          <w:iCs/>
          <w:i/>
        </w:rPr>
        <w:t xml:space="preserve">t</w:t>
      </w:r>
      <w:r>
        <w:t xml:space="preserve">| = 3 in any sample or 1.96 in the full sample, and none survives the Benjamini–Hochberg (BH) control (full estimates in S5 Table). The largest full-sample |</w:t>
      </w:r>
      <w:r>
        <w:rPr>
          <w:iCs/>
          <w:i/>
        </w:rPr>
        <w:t xml:space="preserve">t</w:t>
      </w:r>
      <w:r>
        <w:t xml:space="preserve">| is 1.45, for 3-month and idiosyncratic momentum (confirmation-half</w:t>
      </w:r>
      <w:r>
        <w:t xml:space="preserve"> </w:t>
      </w:r>
      <w:r>
        <w:rPr>
          <w:iCs/>
          <w:i/>
        </w:rPr>
        <w:t xml:space="preserve">t</w:t>
      </w:r>
      <w:r>
        <w:t xml:space="preserve"> </w:t>
      </w:r>
      <w:r>
        <w:t xml:space="preserve">of 1.17 and 1.14). After a cost of 25 basis points, 18 of the 22 long–short quintile spreads are negative. With 79 weekly cross-sections, the minimum detectable effect at 80% power is 0.12 to 0.31 percentage points per week per standard deviation, so the null excludes only large effects. With eight Newey–West lags the largest |</w:t>
      </w:r>
      <w:r>
        <w:rPr>
          <w:iCs/>
          <w:i/>
        </w:rPr>
        <w:t xml:space="preserve">t</w:t>
      </w:r>
      <w:r>
        <w:t xml:space="preserve">| is 1.79 (</w:t>
      </w:r>
      <w:r>
        <w:rPr>
          <w:iCs/>
          <w:i/>
        </w:rPr>
        <w:t xml:space="preserve">P</w:t>
      </w:r>
      <w:r>
        <w:t xml:space="preserve"> </w:t>
      </w:r>
      <w:r>
        <w:t xml:space="preserve">= 0.073), and dropping the least liquid 20% of stocks leaves it at 1.62 (</w:t>
      </w:r>
      <w:r>
        <w:rPr>
          <w:iCs/>
          <w:i/>
        </w:rPr>
        <w:t xml:space="preserve">P</w:t>
      </w:r>
      <w:r>
        <w:t xml:space="preserve"> </w:t>
      </w:r>
      <w:r>
        <w:t xml:space="preserve">= 0.105). Without market capitalization or accounting data we cannot test the size and earnings-to-price effects reported for Vietnam[40], so our null result does not contradict them. A short sample, which leaves a premium of a tenth of a percentage point per week below the minimum detectable effect, and limits that censor the highs and lows of range-based characteristics can each produce the null, and we draw no conclusion about market efficiency.</w:t>
      </w:r>
    </w:p>
    <w:p>
      <w:pPr>
        <w:pStyle w:val="BodyText"/>
        <w:spacing w:line="480" w:lineRule="auto" w:after="120"/>
        <w:jc w:val="both"/>
      </w:pPr>
      <w:r>
        <w:rPr>
          <w:bCs/>
          <w:b/>
        </w:rPr>
        <w:t xml:space="preserve">Fig 1. Fama–MacBeth</w:t>
      </w:r>
      <w:r>
        <w:rPr>
          <w:bCs/>
          <w:b/>
        </w:rPr>
        <w:t xml:space="preserve"> </w:t>
      </w:r>
      <w:r>
        <w:rPr>
          <w:iCs/>
          <w:i/>
          <w:bCs/>
          <w:b/>
        </w:rPr>
        <w:t xml:space="preserve">t</w:t>
      </w:r>
      <w:r>
        <w:rPr>
          <w:bCs/>
          <w:b/>
        </w:rPr>
        <w:t xml:space="preserve">-statistics of 22 characteristics.</w:t>
      </w:r>
      <w:r>
        <w:t xml:space="preserve"> </w:t>
      </w:r>
      <w:r>
        <w:t xml:space="preserve">Circles show the full sample, triangles the discovery half (first 39 weeks) and squares the confirmation half. Characteristics are ordered by absolute full-sample</w:t>
      </w:r>
      <w:r>
        <w:t xml:space="preserve"> </w:t>
      </w:r>
      <w:r>
        <w:rPr>
          <w:iCs/>
          <w:i/>
        </w:rPr>
        <w:t xml:space="preserve">t</w:t>
      </w:r>
      <w:r>
        <w:t xml:space="preserve">. Dashed lines mark |</w:t>
      </w:r>
      <w:r>
        <w:rPr>
          <w:iCs/>
          <w:i/>
        </w:rPr>
        <w:t xml:space="preserve">t</w:t>
      </w:r>
      <w:r>
        <w:t xml:space="preserve">| = 1.96 and dotted lines |</w:t>
      </w:r>
      <w:r>
        <w:rPr>
          <w:iCs/>
          <w:i/>
        </w:rPr>
        <w:t xml:space="preserve">t</w:t>
      </w:r>
      <w:r>
        <w:t xml:space="preserve">| = 3.</w:t>
      </w:r>
      <w:r>
        <w:t xml:space="preserve"> </w:t>
      </w:r>
      <w:r>
        <w:rPr>
          <w:iCs/>
          <w:i/>
        </w:rPr>
        <w:t xml:space="preserve">n</w:t>
      </w:r>
      <w:r>
        <w:t xml:space="preserve"> </w:t>
      </w:r>
      <w:r>
        <w:t xml:space="preserve">= 79 weekly cross-sections; Newey–West standard errors with four lags. S1 Appendix defines the labels.</w:t>
      </w:r>
    </w:p>
    <w:p>
      <w:pPr>
        <w:pStyle w:val="BodyText"/>
        <w:spacing w:line="480" w:lineRule="auto" w:after="120"/>
        <w:jc w:val="both"/>
      </w:pPr>
      <w:r>
        <w:t xml:space="preserve">Table 1 presents the event tests. Ceiling closes earn a market-adjusted return of 1.66% on day</w:t>
      </w:r>
      <w:r>
        <w:t xml:space="preserve"> </w:t>
      </w:r>
      <w:r>
        <w:rPr>
          <w:iCs/>
          <w:i/>
        </w:rPr>
        <w:t xml:space="preserve">d</w:t>
      </w:r>
      <w:r>
        <w:t xml:space="preserve">+1 and 1.45% over days</w:t>
      </w:r>
      <w:r>
        <w:t xml:space="preserve"> </w:t>
      </w:r>
      <w:r>
        <w:rPr>
          <w:iCs/>
          <w:i/>
        </w:rPr>
        <w:t xml:space="preserve">d</w:t>
      </w:r>
      <w:r>
        <w:t xml:space="preserve">+1 to</w:t>
      </w:r>
      <w:r>
        <w:t xml:space="preserve"> </w:t>
      </w:r>
      <w:r>
        <w:rPr>
          <w:iCs/>
          <w:i/>
        </w:rPr>
        <w:t xml:space="preserve">d</w:t>
      </w:r>
      <w:r>
        <w:t xml:space="preserve">+5, and floor closes earn −0.71% and −1.76%. All four tests survive the BH control (equation (8); adjusted</w:t>
      </w:r>
      <w:r>
        <w:t xml:space="preserve"> </w:t>
      </w:r>
      <w:r>
        <w:rPr>
          <w:iCs/>
          <w:i/>
        </w:rPr>
        <w:t xml:space="preserve">P</w:t>
      </w:r>
      <w:r>
        <w:t xml:space="preserve"> </w:t>
      </w:r>
      <w:r>
        <w:t xml:space="preserve">≤ 0.0004), keep their signs in both halves of the sample, and exceed |</w:t>
      </w:r>
      <w:r>
        <w:rPr>
          <w:iCs/>
          <w:i/>
        </w:rPr>
        <w:t xml:space="preserve">t</w:t>
      </w:r>
      <w:r>
        <w:t xml:space="preserve">| = 1.96 in the confirmation half. Clustering by calendar week or 10-day block, with a</w:t>
      </w:r>
      <w:r>
        <w:t xml:space="preserve"> </w:t>
      </w:r>
      <w:r>
        <w:rPr>
          <w:iCs/>
          <w:i/>
        </w:rPr>
        <w:t xml:space="preserve">t</w:t>
      </w:r>
      <w:r>
        <w:t xml:space="preserve"> </w:t>
      </w:r>
      <w:r>
        <w:t xml:space="preserve">reference, leaves all four significant at</w:t>
      </w:r>
      <w:r>
        <w:t xml:space="preserve"> </w:t>
      </w:r>
      <w:r>
        <w:rPr>
          <w:iCs/>
          <w:i/>
        </w:rPr>
        <w:t xml:space="preserve">P</w:t>
      </w:r>
      <w:r>
        <w:t xml:space="preserve"> </w:t>
      </w:r>
      <w:r>
        <w:t xml:space="preserve">&lt; 0.001. The floor five-day test clears the confirmation criterion by the smallest margin (</w:t>
      </w:r>
      <w:r>
        <w:rPr>
          <w:iCs/>
          <w:i/>
        </w:rPr>
        <w:t xml:space="preserve">t</w:t>
      </w:r>
      <w:r>
        <w:t xml:space="preserve"> </w:t>
      </w:r>
      <w:r>
        <w:t xml:space="preserve">= −2.22 with week clusters,</w:t>
      </w:r>
      <w:r>
        <w:t xml:space="preserve"> </w:t>
      </w:r>
      <w:r>
        <w:rPr>
          <w:iCs/>
          <w:i/>
        </w:rPr>
        <w:t xml:space="preserve">P</w:t>
      </w:r>
      <w:r>
        <w:t xml:space="preserve"> </w:t>
      </w:r>
      <w:r>
        <w:t xml:space="preserve">= 0.029), and all four tests survive the rule re-applied with week-clustered statistics.</w:t>
      </w:r>
    </w:p>
    <w:p>
      <w:pPr>
        <w:pStyle w:val="BodyText"/>
        <w:spacing w:line="480" w:lineRule="auto" w:after="120"/>
        <w:jc w:val="both"/>
      </w:pPr>
      <w:r>
        <w:rPr>
          <w:bCs/>
          <w:b/>
        </w:rPr>
        <w:t xml:space="preserve">Table 1.</w:t>
      </w:r>
      <w:r>
        <w:t xml:space="preserve"> </w:t>
      </w:r>
      <w:r>
        <w:t xml:space="preserve">Market-adjusted returns after ceiling and floor closes</w:t>
      </w:r>
    </w:p>
    <w:tbl>
      <w:tblPr>
        <w:tblStyle w:val="Table"/>
        <w:tblW w:type="pct" w:w="5000"/>
        <w:tblLayout w:type="fixed"/>
        <w:tblLook w:firstRow="1" w:lastRow="0" w:firstColumn="0" w:lastColumn="0" w:noHBand="0" w:noVBand="0" w:val="0020"/>
        <w:jc w:val="start"/>
      </w:tblPr>
      <w:tblGrid>
        <w:gridCol w:w="1133"/>
        <w:gridCol w:w="1133"/>
        <w:gridCol w:w="1133"/>
        <w:gridCol w:w="1133"/>
        <w:gridCol w:w="1133"/>
        <w:gridCol w:w="1133"/>
        <w:gridCol w:w="1133"/>
        <w:gridCol w:w="1133"/>
      </w:tblGrid>
      <w:tr>
        <w:trPr>
          <w:tblHeader w:val="true"/>
        </w:trPr>
        <w:tc>
          <w:tcPr>
            <w:tcW w:type="dxa" w:w="1134"/>
            <w:tcBorders>
              <w:top w:val="single" w:sz="6" w:space="0" w:color="000000"/>
              <w:bottom w:val="single" w:sz="6" w:space="0" w:color="000000"/>
            </w:tcBorders>
          </w:tcPr>
          <w:p>
            <w:pPr>
              <w:pStyle w:val="Compact"/>
              <w:spacing w:line="240" w:lineRule="auto" w:after="20"/>
              <w:jc w:val="left"/>
            </w:pPr>
            <w:r>
              <w:rPr>
                <w:b/>
                <w:sz w:val="17"/>
              </w:rPr>
              <w:t xml:space="preserve">Event</w:t>
            </w:r>
          </w:p>
        </w:tc>
        <w:tc>
          <w:tcPr>
            <w:tcW w:type="dxa" w:w="1134"/>
            <w:tcBorders>
              <w:top w:val="single" w:sz="6" w:space="0" w:color="000000"/>
              <w:bottom w:val="single" w:sz="6" w:space="0" w:color="000000"/>
            </w:tcBorders>
          </w:tcPr>
          <w:p>
            <w:pPr>
              <w:pStyle w:val="Compact"/>
              <w:spacing w:line="240" w:lineRule="auto" w:after="20"/>
              <w:jc w:val="center"/>
            </w:pPr>
            <w:r>
              <w:rPr>
                <w:b/>
                <w:sz w:val="17"/>
              </w:rPr>
              <w:t xml:space="preserve">Horizon</w:t>
            </w:r>
          </w:p>
        </w:tc>
        <w:tc>
          <w:tcPr>
            <w:tcW w:type="dxa" w:w="1134"/>
            <w:tcBorders>
              <w:top w:val="single" w:sz="6" w:space="0" w:color="000000"/>
              <w:bottom w:val="single" w:sz="6" w:space="0" w:color="000000"/>
            </w:tcBorders>
          </w:tcPr>
          <w:p>
            <w:pPr>
              <w:pStyle w:val="Compact"/>
              <w:spacing w:line="240" w:lineRule="auto" w:after="20"/>
              <w:jc w:val="center"/>
            </w:pPr>
            <w:r>
              <w:rPr>
                <w:b/>
                <w:sz w:val="17"/>
              </w:rPr>
              <w:t xml:space="preserve">Mean (%)</w:t>
            </w:r>
          </w:p>
        </w:tc>
        <w:tc>
          <w:tcPr>
            <w:tcW w:type="dxa" w:w="1134"/>
            <w:tcBorders>
              <w:top w:val="single" w:sz="6" w:space="0" w:color="000000"/>
              <w:bottom w:val="single" w:sz="6" w:space="0" w:color="000000"/>
            </w:tcBorders>
          </w:tcPr>
          <w:p>
            <w:pPr>
              <w:pStyle w:val="Compact"/>
              <w:spacing w:line="240" w:lineRule="auto" w:after="20"/>
              <w:jc w:val="center"/>
            </w:pPr>
            <w:r>
              <w:rPr>
                <w:iCs/>
                <w:b/>
                <w:i/>
                <w:sz w:val="17"/>
              </w:rPr>
              <w:t xml:space="preserve">t</w:t>
            </w:r>
            <w:r>
              <w:rPr>
                <w:b/>
                <w:sz w:val="17"/>
              </w:rPr>
              <w:t xml:space="preserve"> </w:t>
            </w:r>
            <w:r>
              <w:rPr>
                <w:b/>
                <w:sz w:val="17"/>
              </w:rPr>
              <w:t xml:space="preserve">(date)</w:t>
            </w:r>
          </w:p>
        </w:tc>
        <w:tc>
          <w:tcPr>
            <w:tcW w:type="dxa" w:w="1134"/>
            <w:tcBorders>
              <w:top w:val="single" w:sz="6" w:space="0" w:color="000000"/>
              <w:bottom w:val="single" w:sz="6" w:space="0" w:color="000000"/>
            </w:tcBorders>
          </w:tcPr>
          <w:p>
            <w:pPr>
              <w:pStyle w:val="Compact"/>
              <w:spacing w:line="240" w:lineRule="auto" w:after="20"/>
              <w:jc w:val="center"/>
            </w:pPr>
            <w:r>
              <w:rPr>
                <w:iCs/>
                <w:b/>
                <w:i/>
                <w:sz w:val="17"/>
              </w:rPr>
              <w:t xml:space="preserve">t</w:t>
            </w:r>
            <w:r>
              <w:rPr>
                <w:b/>
                <w:sz w:val="17"/>
              </w:rPr>
              <w:t xml:space="preserve"> </w:t>
            </w:r>
            <w:r>
              <w:rPr>
                <w:b/>
                <w:sz w:val="17"/>
              </w:rPr>
              <w:t xml:space="preserve">(week)</w:t>
            </w:r>
          </w:p>
        </w:tc>
        <w:tc>
          <w:tcPr>
            <w:tcW w:type="dxa" w:w="1134"/>
            <w:tcBorders>
              <w:top w:val="single" w:sz="6" w:space="0" w:color="000000"/>
              <w:bottom w:val="single" w:sz="6" w:space="0" w:color="000000"/>
            </w:tcBorders>
          </w:tcPr>
          <w:p>
            <w:pPr>
              <w:pStyle w:val="Compact"/>
              <w:spacing w:line="240" w:lineRule="auto" w:after="20"/>
              <w:jc w:val="center"/>
            </w:pPr>
            <w:r>
              <w:rPr>
                <w:iCs/>
                <w:b/>
                <w:i/>
                <w:sz w:val="17"/>
              </w:rPr>
              <w:t xml:space="preserve">t</w:t>
            </w:r>
            <w:r>
              <w:rPr>
                <w:b/>
                <w:sz w:val="17"/>
              </w:rPr>
              <w:t xml:space="preserve"> </w:t>
            </w:r>
            <w:r>
              <w:rPr>
                <w:b/>
                <w:sz w:val="17"/>
              </w:rPr>
              <w:t xml:space="preserve">(10-day)</w:t>
            </w:r>
          </w:p>
        </w:tc>
        <w:tc>
          <w:tcPr>
            <w:tcW w:type="dxa" w:w="1134"/>
            <w:tcBorders>
              <w:top w:val="single" w:sz="6" w:space="0" w:color="000000"/>
              <w:bottom w:val="single" w:sz="6" w:space="0" w:color="000000"/>
            </w:tcBorders>
          </w:tcPr>
          <w:p>
            <w:pPr>
              <w:pStyle w:val="Compact"/>
              <w:spacing w:line="240" w:lineRule="auto" w:after="20"/>
              <w:jc w:val="center"/>
            </w:pPr>
            <w:r>
              <w:rPr>
                <w:iCs/>
                <w:b/>
                <w:i/>
                <w:sz w:val="17"/>
              </w:rPr>
              <w:t xml:space="preserve">t</w:t>
            </w:r>
            <w:r>
              <w:rPr>
                <w:b/>
                <w:sz w:val="17"/>
              </w:rPr>
              <w:t xml:space="preserve"> </w:t>
            </w:r>
            <w:r>
              <w:rPr>
                <w:b/>
                <w:sz w:val="17"/>
              </w:rPr>
              <w:t xml:space="preserve">(halves)</w:t>
            </w:r>
          </w:p>
        </w:tc>
        <w:tc>
          <w:tcPr>
            <w:tcW w:type="dxa" w:w="1134"/>
            <w:tcBorders>
              <w:top w:val="single" w:sz="6" w:space="0" w:color="000000"/>
              <w:bottom w:val="single" w:sz="6" w:space="0" w:color="000000"/>
            </w:tcBorders>
          </w:tcPr>
          <w:p>
            <w:pPr>
              <w:pStyle w:val="Compact"/>
              <w:spacing w:line="240" w:lineRule="auto" w:after="20"/>
              <w:jc w:val="center"/>
            </w:pPr>
            <w:r>
              <w:rPr>
                <w:b/>
                <w:sz w:val="17"/>
              </w:rPr>
              <w:t xml:space="preserve">Events</w:t>
            </w:r>
          </w:p>
        </w:tc>
      </w:tr>
      <w:tr>
        <w:tc>
          <w:tcPr>
            <w:tcW w:type="dxa" w:w="1134"/>
          </w:tcPr>
          <w:p>
            <w:pPr>
              <w:pStyle w:val="Compact"/>
              <w:spacing w:line="240" w:lineRule="auto" w:after="20"/>
              <w:jc w:val="left"/>
            </w:pPr>
            <w:r>
              <w:rPr>
                <w:sz w:val="17"/>
              </w:rPr>
              <w:t xml:space="preserve">Ceiling</w:t>
            </w:r>
          </w:p>
        </w:tc>
        <w:tc>
          <w:tcPr>
            <w:tcW w:type="dxa" w:w="1134"/>
          </w:tcPr>
          <w:p>
            <w:pPr>
              <w:pStyle w:val="Compact"/>
              <w:spacing w:line="240" w:lineRule="auto" w:after="20"/>
              <w:jc w:val="center"/>
            </w:pPr>
            <w:r>
              <w:rPr>
                <w:iCs/>
                <w:i/>
                <w:sz w:val="17"/>
              </w:rPr>
              <w:t xml:space="preserve">d</w:t>
            </w:r>
            <w:r>
              <w:rPr>
                <w:sz w:val="17"/>
              </w:rPr>
              <w:t xml:space="preserve">+1</w:t>
            </w:r>
          </w:p>
        </w:tc>
        <w:tc>
          <w:tcPr>
            <w:tcW w:type="dxa" w:w="1134"/>
          </w:tcPr>
          <w:p>
            <w:pPr>
              <w:pStyle w:val="Compact"/>
              <w:spacing w:line="240" w:lineRule="auto" w:after="20"/>
              <w:jc w:val="center"/>
            </w:pPr>
            <w:r>
              <w:rPr>
                <w:sz w:val="17"/>
              </w:rPr>
              <w:t xml:space="preserve">1.66</w:t>
            </w:r>
          </w:p>
        </w:tc>
        <w:tc>
          <w:tcPr>
            <w:tcW w:type="dxa" w:w="1134"/>
          </w:tcPr>
          <w:p>
            <w:pPr>
              <w:pStyle w:val="Compact"/>
              <w:spacing w:line="240" w:lineRule="auto" w:after="20"/>
              <w:jc w:val="center"/>
            </w:pPr>
            <w:r>
              <w:rPr>
                <w:sz w:val="17"/>
              </w:rPr>
              <w:t xml:space="preserve">4.90</w:t>
            </w:r>
          </w:p>
        </w:tc>
        <w:tc>
          <w:tcPr>
            <w:tcW w:type="dxa" w:w="1134"/>
          </w:tcPr>
          <w:p>
            <w:pPr>
              <w:pStyle w:val="Compact"/>
              <w:spacing w:line="240" w:lineRule="auto" w:after="20"/>
              <w:jc w:val="center"/>
            </w:pPr>
            <w:r>
              <w:rPr>
                <w:sz w:val="17"/>
              </w:rPr>
              <w:t xml:space="preserve">4.67</w:t>
            </w:r>
          </w:p>
        </w:tc>
        <w:tc>
          <w:tcPr>
            <w:tcW w:type="dxa" w:w="1134"/>
          </w:tcPr>
          <w:p>
            <w:pPr>
              <w:pStyle w:val="Compact"/>
              <w:spacing w:line="240" w:lineRule="auto" w:after="20"/>
              <w:jc w:val="center"/>
            </w:pPr>
            <w:r>
              <w:rPr>
                <w:sz w:val="17"/>
              </w:rPr>
              <w:t xml:space="preserve">4.61</w:t>
            </w:r>
          </w:p>
        </w:tc>
        <w:tc>
          <w:tcPr>
            <w:tcW w:type="dxa" w:w="1134"/>
          </w:tcPr>
          <w:p>
            <w:pPr>
              <w:pStyle w:val="Compact"/>
              <w:spacing w:line="240" w:lineRule="auto" w:after="20"/>
              <w:jc w:val="center"/>
            </w:pPr>
            <w:r>
              <w:rPr>
                <w:sz w:val="17"/>
              </w:rPr>
              <w:t xml:space="preserve">2.2 / 13.7</w:t>
            </w:r>
          </w:p>
        </w:tc>
        <w:tc>
          <w:tcPr>
            <w:tcW w:type="dxa" w:w="1134"/>
          </w:tcPr>
          <w:p>
            <w:pPr>
              <w:pStyle w:val="Compact"/>
              <w:spacing w:line="240" w:lineRule="auto" w:after="20"/>
              <w:jc w:val="center"/>
            </w:pPr>
            <w:r>
              <w:rPr>
                <w:sz w:val="17"/>
              </w:rPr>
              <w:t xml:space="preserve">3,187</w:t>
            </w:r>
          </w:p>
        </w:tc>
      </w:tr>
      <w:tr>
        <w:tc>
          <w:tcPr>
            <w:tcW w:type="dxa" w:w="1134"/>
          </w:tcPr>
          <w:p>
            <w:pPr>
              <w:pStyle w:val="Compact"/>
              <w:spacing w:line="240" w:lineRule="auto" w:after="20"/>
              <w:jc w:val="left"/>
            </w:pPr>
            <w:r>
              <w:rPr>
                <w:sz w:val="17"/>
              </w:rPr>
              <w:t xml:space="preserve">Ceiling</w:t>
            </w:r>
          </w:p>
        </w:tc>
        <w:tc>
          <w:tcPr>
            <w:tcW w:type="dxa" w:w="1134"/>
          </w:tcPr>
          <w:p>
            <w:pPr>
              <w:pStyle w:val="Compact"/>
              <w:spacing w:line="240" w:lineRule="auto" w:after="20"/>
              <w:jc w:val="center"/>
            </w:pPr>
            <w:r>
              <w:rPr>
                <w:iCs/>
                <w:i/>
                <w:sz w:val="17"/>
              </w:rPr>
              <w:t xml:space="preserve">d</w:t>
            </w:r>
            <w:r>
              <w:rPr>
                <w:sz w:val="17"/>
              </w:rPr>
              <w:t xml:space="preserve">+1 to</w:t>
            </w:r>
            <w:r>
              <w:rPr>
                <w:sz w:val="17"/>
              </w:rPr>
              <w:t xml:space="preserve"> </w:t>
            </w:r>
            <w:r>
              <w:rPr>
                <w:iCs/>
                <w:i/>
                <w:sz w:val="17"/>
              </w:rPr>
              <w:t xml:space="preserve">d</w:t>
            </w:r>
            <w:r>
              <w:rPr>
                <w:sz w:val="17"/>
              </w:rPr>
              <w:t xml:space="preserve">+5</w:t>
            </w:r>
          </w:p>
        </w:tc>
        <w:tc>
          <w:tcPr>
            <w:tcW w:type="dxa" w:w="1134"/>
          </w:tcPr>
          <w:p>
            <w:pPr>
              <w:pStyle w:val="Compact"/>
              <w:spacing w:line="240" w:lineRule="auto" w:after="20"/>
              <w:jc w:val="center"/>
            </w:pPr>
            <w:r>
              <w:rPr>
                <w:sz w:val="17"/>
              </w:rPr>
              <w:t xml:space="preserve">1.45</w:t>
            </w:r>
          </w:p>
        </w:tc>
        <w:tc>
          <w:tcPr>
            <w:tcW w:type="dxa" w:w="1134"/>
          </w:tcPr>
          <w:p>
            <w:pPr>
              <w:pStyle w:val="Compact"/>
              <w:spacing w:line="240" w:lineRule="auto" w:after="20"/>
              <w:jc w:val="center"/>
            </w:pPr>
            <w:r>
              <w:rPr>
                <w:sz w:val="17"/>
              </w:rPr>
              <w:t xml:space="preserve">4.00</w:t>
            </w:r>
          </w:p>
        </w:tc>
        <w:tc>
          <w:tcPr>
            <w:tcW w:type="dxa" w:w="1134"/>
          </w:tcPr>
          <w:p>
            <w:pPr>
              <w:pStyle w:val="Compact"/>
              <w:spacing w:line="240" w:lineRule="auto" w:after="20"/>
              <w:jc w:val="center"/>
            </w:pPr>
            <w:r>
              <w:rPr>
                <w:sz w:val="17"/>
              </w:rPr>
              <w:t xml:space="preserve">3.67</w:t>
            </w:r>
          </w:p>
        </w:tc>
        <w:tc>
          <w:tcPr>
            <w:tcW w:type="dxa" w:w="1134"/>
          </w:tcPr>
          <w:p>
            <w:pPr>
              <w:pStyle w:val="Compact"/>
              <w:spacing w:line="240" w:lineRule="auto" w:after="20"/>
              <w:jc w:val="center"/>
            </w:pPr>
            <w:r>
              <w:rPr>
                <w:sz w:val="17"/>
              </w:rPr>
              <w:t xml:space="preserve">3.81</w:t>
            </w:r>
          </w:p>
        </w:tc>
        <w:tc>
          <w:tcPr>
            <w:tcW w:type="dxa" w:w="1134"/>
          </w:tcPr>
          <w:p>
            <w:pPr>
              <w:pStyle w:val="Compact"/>
              <w:spacing w:line="240" w:lineRule="auto" w:after="20"/>
              <w:jc w:val="center"/>
            </w:pPr>
            <w:r>
              <w:rPr>
                <w:sz w:val="17"/>
              </w:rPr>
              <w:t xml:space="preserve">1.7 / 5.0</w:t>
            </w:r>
          </w:p>
        </w:tc>
        <w:tc>
          <w:tcPr>
            <w:tcW w:type="dxa" w:w="1134"/>
          </w:tcPr>
          <w:p>
            <w:pPr>
              <w:pStyle w:val="Compact"/>
              <w:spacing w:line="240" w:lineRule="auto" w:after="20"/>
              <w:jc w:val="center"/>
            </w:pPr>
            <w:r>
              <w:rPr>
                <w:sz w:val="17"/>
              </w:rPr>
              <w:t xml:space="preserve">3,187</w:t>
            </w:r>
          </w:p>
        </w:tc>
      </w:tr>
      <w:tr>
        <w:tc>
          <w:tcPr>
            <w:tcW w:type="dxa" w:w="1134"/>
          </w:tcPr>
          <w:p>
            <w:pPr>
              <w:pStyle w:val="Compact"/>
              <w:spacing w:line="240" w:lineRule="auto" w:after="20"/>
              <w:jc w:val="left"/>
            </w:pPr>
            <w:r>
              <w:rPr>
                <w:sz w:val="17"/>
              </w:rPr>
              <w:t xml:space="preserve">Ceiling</w:t>
            </w:r>
          </w:p>
        </w:tc>
        <w:tc>
          <w:tcPr>
            <w:tcW w:type="dxa" w:w="1134"/>
          </w:tcPr>
          <w:p>
            <w:pPr>
              <w:pStyle w:val="Compact"/>
              <w:spacing w:line="240" w:lineRule="auto" w:after="20"/>
              <w:jc w:val="center"/>
            </w:pPr>
            <w:r>
              <w:rPr>
                <w:iCs/>
                <w:i/>
                <w:sz w:val="17"/>
              </w:rPr>
              <w:t xml:space="preserve">d</w:t>
            </w:r>
            <w:r>
              <w:rPr>
                <w:sz w:val="17"/>
              </w:rPr>
              <w:t xml:space="preserve">+2 to</w:t>
            </w:r>
            <w:r>
              <w:rPr>
                <w:sz w:val="17"/>
              </w:rPr>
              <w:t xml:space="preserve"> </w:t>
            </w:r>
            <w:r>
              <w:rPr>
                <w:iCs/>
                <w:i/>
                <w:sz w:val="17"/>
              </w:rPr>
              <w:t xml:space="preserve">d</w:t>
            </w:r>
            <w:r>
              <w:rPr>
                <w:sz w:val="17"/>
              </w:rPr>
              <w:t xml:space="preserve">+5</w:t>
            </w:r>
          </w:p>
        </w:tc>
        <w:tc>
          <w:tcPr>
            <w:tcW w:type="dxa" w:w="1134"/>
          </w:tcPr>
          <w:p>
            <w:pPr>
              <w:pStyle w:val="Compact"/>
              <w:spacing w:line="240" w:lineRule="auto" w:after="20"/>
              <w:jc w:val="center"/>
            </w:pPr>
            <w:r>
              <w:rPr>
                <w:sz w:val="17"/>
              </w:rPr>
              <w:t xml:space="preserve">−0.24</w:t>
            </w:r>
          </w:p>
        </w:tc>
        <w:tc>
          <w:tcPr>
            <w:tcW w:type="dxa" w:w="1134"/>
          </w:tcPr>
          <w:p>
            <w:pPr>
              <w:pStyle w:val="Compact"/>
              <w:spacing w:line="240" w:lineRule="auto" w:after="20"/>
              <w:jc w:val="center"/>
            </w:pPr>
            <w:r>
              <w:rPr>
                <w:sz w:val="17"/>
              </w:rPr>
              <w:t xml:space="preserve">−1.53</w:t>
            </w:r>
          </w:p>
        </w:tc>
        <w:tc>
          <w:tcPr>
            <w:tcW w:type="dxa" w:w="1134"/>
          </w:tcPr>
          <w:p>
            <w:pPr>
              <w:pStyle w:val="Compact"/>
              <w:spacing w:line="240" w:lineRule="auto" w:after="20"/>
              <w:jc w:val="center"/>
            </w:pPr>
            <w:r>
              <w:rPr>
                <w:sz w:val="17"/>
              </w:rPr>
              <w:t xml:space="preserve">−1.11</w:t>
            </w:r>
          </w:p>
        </w:tc>
        <w:tc>
          <w:tcPr>
            <w:tcW w:type="dxa" w:w="1134"/>
          </w:tcPr>
          <w:p>
            <w:pPr>
              <w:pStyle w:val="Compact"/>
              <w:spacing w:line="240" w:lineRule="auto" w:after="20"/>
              <w:jc w:val="center"/>
            </w:pPr>
            <w:r>
              <w:rPr>
                <w:sz w:val="17"/>
              </w:rPr>
              <w:t xml:space="preserve">−1.25</w:t>
            </w:r>
          </w:p>
        </w:tc>
        <w:tc>
          <w:tcPr>
            <w:tcW w:type="dxa" w:w="1134"/>
          </w:tcPr>
          <w:p>
            <w:pPr>
              <w:pStyle w:val="Compact"/>
              <w:spacing w:line="240" w:lineRule="auto" w:after="20"/>
              <w:jc w:val="center"/>
            </w:pPr>
            <w:r>
              <w:rPr>
                <w:sz w:val="17"/>
              </w:rPr>
              <w:t xml:space="preserve">−1.1 / −0.4</w:t>
            </w:r>
          </w:p>
        </w:tc>
        <w:tc>
          <w:tcPr>
            <w:tcW w:type="dxa" w:w="1134"/>
          </w:tcPr>
          <w:p>
            <w:pPr>
              <w:pStyle w:val="Compact"/>
              <w:spacing w:line="240" w:lineRule="auto" w:after="20"/>
              <w:jc w:val="center"/>
            </w:pPr>
            <w:r>
              <w:rPr>
                <w:sz w:val="17"/>
              </w:rPr>
              <w:t xml:space="preserve">3,187</w:t>
            </w:r>
          </w:p>
        </w:tc>
      </w:tr>
      <w:tr>
        <w:tc>
          <w:tcPr>
            <w:tcW w:type="dxa" w:w="1134"/>
          </w:tcPr>
          <w:p>
            <w:pPr>
              <w:pStyle w:val="Compact"/>
              <w:spacing w:line="240" w:lineRule="auto" w:after="20"/>
              <w:jc w:val="left"/>
            </w:pPr>
            <w:r>
              <w:rPr>
                <w:sz w:val="17"/>
              </w:rPr>
              <w:t xml:space="preserve">Floor</w:t>
            </w:r>
          </w:p>
        </w:tc>
        <w:tc>
          <w:tcPr>
            <w:tcW w:type="dxa" w:w="1134"/>
          </w:tcPr>
          <w:p>
            <w:pPr>
              <w:pStyle w:val="Compact"/>
              <w:spacing w:line="240" w:lineRule="auto" w:after="20"/>
              <w:jc w:val="center"/>
            </w:pPr>
            <w:r>
              <w:rPr>
                <w:iCs/>
                <w:i/>
                <w:sz w:val="17"/>
              </w:rPr>
              <w:t xml:space="preserve">d</w:t>
            </w:r>
            <w:r>
              <w:rPr>
                <w:sz w:val="17"/>
              </w:rPr>
              <w:t xml:space="preserve">+1</w:t>
            </w:r>
          </w:p>
        </w:tc>
        <w:tc>
          <w:tcPr>
            <w:tcW w:type="dxa" w:w="1134"/>
          </w:tcPr>
          <w:p>
            <w:pPr>
              <w:pStyle w:val="Compact"/>
              <w:spacing w:line="240" w:lineRule="auto" w:after="20"/>
              <w:jc w:val="center"/>
            </w:pPr>
            <w:r>
              <w:rPr>
                <w:sz w:val="17"/>
              </w:rPr>
              <w:t xml:space="preserve">−0.71</w:t>
            </w:r>
          </w:p>
        </w:tc>
        <w:tc>
          <w:tcPr>
            <w:tcW w:type="dxa" w:w="1134"/>
          </w:tcPr>
          <w:p>
            <w:pPr>
              <w:pStyle w:val="Compact"/>
              <w:spacing w:line="240" w:lineRule="auto" w:after="20"/>
              <w:jc w:val="center"/>
            </w:pPr>
            <w:r>
              <w:rPr>
                <w:sz w:val="17"/>
              </w:rPr>
              <w:t xml:space="preserve">−5.32</w:t>
            </w:r>
          </w:p>
        </w:tc>
        <w:tc>
          <w:tcPr>
            <w:tcW w:type="dxa" w:w="1134"/>
          </w:tcPr>
          <w:p>
            <w:pPr>
              <w:pStyle w:val="Compact"/>
              <w:spacing w:line="240" w:lineRule="auto" w:after="20"/>
              <w:jc w:val="center"/>
            </w:pPr>
            <w:r>
              <w:rPr>
                <w:sz w:val="17"/>
              </w:rPr>
              <w:t xml:space="preserve">−4.66</w:t>
            </w:r>
          </w:p>
        </w:tc>
        <w:tc>
          <w:tcPr>
            <w:tcW w:type="dxa" w:w="1134"/>
          </w:tcPr>
          <w:p>
            <w:pPr>
              <w:pStyle w:val="Compact"/>
              <w:spacing w:line="240" w:lineRule="auto" w:after="20"/>
              <w:jc w:val="center"/>
            </w:pPr>
            <w:r>
              <w:rPr>
                <w:sz w:val="17"/>
              </w:rPr>
              <w:t xml:space="preserve">−6.25</w:t>
            </w:r>
          </w:p>
        </w:tc>
        <w:tc>
          <w:tcPr>
            <w:tcW w:type="dxa" w:w="1134"/>
          </w:tcPr>
          <w:p>
            <w:pPr>
              <w:pStyle w:val="Compact"/>
              <w:spacing w:line="240" w:lineRule="auto" w:after="20"/>
              <w:jc w:val="center"/>
            </w:pPr>
            <w:r>
              <w:rPr>
                <w:sz w:val="17"/>
              </w:rPr>
              <w:t xml:space="preserve">−2.7 / −4.6</w:t>
            </w:r>
          </w:p>
        </w:tc>
        <w:tc>
          <w:tcPr>
            <w:tcW w:type="dxa" w:w="1134"/>
          </w:tcPr>
          <w:p>
            <w:pPr>
              <w:pStyle w:val="Compact"/>
              <w:spacing w:line="240" w:lineRule="auto" w:after="20"/>
              <w:jc w:val="center"/>
            </w:pPr>
            <w:r>
              <w:rPr>
                <w:sz w:val="17"/>
              </w:rPr>
              <w:t xml:space="preserve">2,105</w:t>
            </w:r>
          </w:p>
        </w:tc>
      </w:tr>
      <w:tr>
        <w:tc>
          <w:tcPr>
            <w:tcW w:type="dxa" w:w="1134"/>
          </w:tcPr>
          <w:p>
            <w:pPr>
              <w:pStyle w:val="Compact"/>
              <w:spacing w:line="240" w:lineRule="auto" w:after="20"/>
              <w:jc w:val="left"/>
            </w:pPr>
            <w:r>
              <w:rPr>
                <w:sz w:val="17"/>
              </w:rPr>
              <w:t xml:space="preserve">Floor</w:t>
            </w:r>
          </w:p>
        </w:tc>
        <w:tc>
          <w:tcPr>
            <w:tcW w:type="dxa" w:w="1134"/>
          </w:tcPr>
          <w:p>
            <w:pPr>
              <w:pStyle w:val="Compact"/>
              <w:spacing w:line="240" w:lineRule="auto" w:after="20"/>
              <w:jc w:val="center"/>
            </w:pPr>
            <w:r>
              <w:rPr>
                <w:iCs/>
                <w:i/>
                <w:sz w:val="17"/>
              </w:rPr>
              <w:t xml:space="preserve">d</w:t>
            </w:r>
            <w:r>
              <w:rPr>
                <w:sz w:val="17"/>
              </w:rPr>
              <w:t xml:space="preserve">+1 to</w:t>
            </w:r>
            <w:r>
              <w:rPr>
                <w:sz w:val="17"/>
              </w:rPr>
              <w:t xml:space="preserve"> </w:t>
            </w:r>
            <w:r>
              <w:rPr>
                <w:iCs/>
                <w:i/>
                <w:sz w:val="17"/>
              </w:rPr>
              <w:t xml:space="preserve">d</w:t>
            </w:r>
            <w:r>
              <w:rPr>
                <w:sz w:val="17"/>
              </w:rPr>
              <w:t xml:space="preserve">+5</w:t>
            </w:r>
          </w:p>
        </w:tc>
        <w:tc>
          <w:tcPr>
            <w:tcW w:type="dxa" w:w="1134"/>
          </w:tcPr>
          <w:p>
            <w:pPr>
              <w:pStyle w:val="Compact"/>
              <w:spacing w:line="240" w:lineRule="auto" w:after="20"/>
              <w:jc w:val="center"/>
            </w:pPr>
            <w:r>
              <w:rPr>
                <w:sz w:val="17"/>
              </w:rPr>
              <w:t xml:space="preserve">−1.76</w:t>
            </w:r>
          </w:p>
        </w:tc>
        <w:tc>
          <w:tcPr>
            <w:tcW w:type="dxa" w:w="1134"/>
          </w:tcPr>
          <w:p>
            <w:pPr>
              <w:pStyle w:val="Compact"/>
              <w:spacing w:line="240" w:lineRule="auto" w:after="20"/>
              <w:jc w:val="center"/>
            </w:pPr>
            <w:r>
              <w:rPr>
                <w:sz w:val="17"/>
              </w:rPr>
              <w:t xml:space="preserve">−4.74</w:t>
            </w:r>
          </w:p>
        </w:tc>
        <w:tc>
          <w:tcPr>
            <w:tcW w:type="dxa" w:w="1134"/>
          </w:tcPr>
          <w:p>
            <w:pPr>
              <w:pStyle w:val="Compact"/>
              <w:spacing w:line="240" w:lineRule="auto" w:after="20"/>
              <w:jc w:val="center"/>
            </w:pPr>
            <w:r>
              <w:rPr>
                <w:sz w:val="17"/>
              </w:rPr>
              <w:t xml:space="preserve">−4.80</w:t>
            </w:r>
          </w:p>
        </w:tc>
        <w:tc>
          <w:tcPr>
            <w:tcW w:type="dxa" w:w="1134"/>
          </w:tcPr>
          <w:p>
            <w:pPr>
              <w:pStyle w:val="Compact"/>
              <w:spacing w:line="240" w:lineRule="auto" w:after="20"/>
              <w:jc w:val="center"/>
            </w:pPr>
            <w:r>
              <w:rPr>
                <w:sz w:val="17"/>
              </w:rPr>
              <w:t xml:space="preserve">−4.92</w:t>
            </w:r>
          </w:p>
        </w:tc>
        <w:tc>
          <w:tcPr>
            <w:tcW w:type="dxa" w:w="1134"/>
          </w:tcPr>
          <w:p>
            <w:pPr>
              <w:pStyle w:val="Compact"/>
              <w:spacing w:line="240" w:lineRule="auto" w:after="20"/>
              <w:jc w:val="center"/>
            </w:pPr>
            <w:r>
              <w:rPr>
                <w:sz w:val="17"/>
              </w:rPr>
              <w:t xml:space="preserve">−12.3 / −2.2</w:t>
            </w:r>
          </w:p>
        </w:tc>
        <w:tc>
          <w:tcPr>
            <w:tcW w:type="dxa" w:w="1134"/>
          </w:tcPr>
          <w:p>
            <w:pPr>
              <w:pStyle w:val="Compact"/>
              <w:spacing w:line="240" w:lineRule="auto" w:after="20"/>
              <w:jc w:val="center"/>
            </w:pPr>
            <w:r>
              <w:rPr>
                <w:sz w:val="17"/>
              </w:rPr>
              <w:t xml:space="preserve">2,105</w:t>
            </w:r>
          </w:p>
        </w:tc>
      </w:tr>
      <w:tr>
        <w:tc>
          <w:tcPr>
            <w:tcW w:type="dxa" w:w="1134"/>
            <w:tcBorders>
              <w:bottom w:val="single" w:sz="6" w:space="0" w:color="000000"/>
            </w:tcBorders>
          </w:tcPr>
          <w:p>
            <w:pPr>
              <w:pStyle w:val="Compact"/>
              <w:spacing w:line="240" w:lineRule="auto" w:after="20"/>
              <w:jc w:val="left"/>
            </w:pPr>
            <w:r>
              <w:rPr>
                <w:sz w:val="17"/>
              </w:rPr>
              <w:t xml:space="preserve">Floor</w:t>
            </w:r>
          </w:p>
        </w:tc>
        <w:tc>
          <w:tcPr>
            <w:tcW w:type="dxa" w:w="1134"/>
            <w:tcBorders>
              <w:bottom w:val="single" w:sz="6" w:space="0" w:color="000000"/>
            </w:tcBorders>
          </w:tcPr>
          <w:p>
            <w:pPr>
              <w:pStyle w:val="Compact"/>
              <w:spacing w:line="240" w:lineRule="auto" w:after="20"/>
              <w:jc w:val="center"/>
            </w:pPr>
            <w:r>
              <w:rPr>
                <w:iCs/>
                <w:i/>
                <w:sz w:val="17"/>
              </w:rPr>
              <w:t xml:space="preserve">d</w:t>
            </w:r>
            <w:r>
              <w:rPr>
                <w:sz w:val="17"/>
              </w:rPr>
              <w:t xml:space="preserve">+2 to</w:t>
            </w:r>
            <w:r>
              <w:rPr>
                <w:sz w:val="17"/>
              </w:rPr>
              <w:t xml:space="preserve"> </w:t>
            </w:r>
            <w:r>
              <w:rPr>
                <w:iCs/>
                <w:i/>
                <w:sz w:val="17"/>
              </w:rPr>
              <w:t xml:space="preserve">d</w:t>
            </w:r>
            <w:r>
              <w:rPr>
                <w:sz w:val="17"/>
              </w:rPr>
              <w:t xml:space="preserve">+5</w:t>
            </w:r>
          </w:p>
        </w:tc>
        <w:tc>
          <w:tcPr>
            <w:tcW w:type="dxa" w:w="1134"/>
            <w:tcBorders>
              <w:bottom w:val="single" w:sz="6" w:space="0" w:color="000000"/>
            </w:tcBorders>
          </w:tcPr>
          <w:p>
            <w:pPr>
              <w:pStyle w:val="Compact"/>
              <w:spacing w:line="240" w:lineRule="auto" w:after="20"/>
              <w:jc w:val="center"/>
            </w:pPr>
            <w:r>
              <w:rPr>
                <w:sz w:val="17"/>
              </w:rPr>
              <w:t xml:space="preserve">−1.10</w:t>
            </w:r>
          </w:p>
        </w:tc>
        <w:tc>
          <w:tcPr>
            <w:tcW w:type="dxa" w:w="1134"/>
            <w:tcBorders>
              <w:bottom w:val="single" w:sz="6" w:space="0" w:color="000000"/>
            </w:tcBorders>
          </w:tcPr>
          <w:p>
            <w:pPr>
              <w:pStyle w:val="Compact"/>
              <w:spacing w:line="240" w:lineRule="auto" w:after="20"/>
              <w:jc w:val="center"/>
            </w:pPr>
            <w:r>
              <w:rPr>
                <w:sz w:val="17"/>
              </w:rPr>
              <w:t xml:space="preserve">−2.91</w:t>
            </w:r>
          </w:p>
        </w:tc>
        <w:tc>
          <w:tcPr>
            <w:tcW w:type="dxa" w:w="1134"/>
            <w:tcBorders>
              <w:bottom w:val="single" w:sz="6" w:space="0" w:color="000000"/>
            </w:tcBorders>
          </w:tcPr>
          <w:p>
            <w:pPr>
              <w:pStyle w:val="Compact"/>
              <w:spacing w:line="240" w:lineRule="auto" w:after="20"/>
              <w:jc w:val="center"/>
            </w:pPr>
            <w:r>
              <w:rPr>
                <w:sz w:val="17"/>
              </w:rPr>
              <w:t xml:space="preserve">−3.01</w:t>
            </w:r>
          </w:p>
        </w:tc>
        <w:tc>
          <w:tcPr>
            <w:tcW w:type="dxa" w:w="1134"/>
            <w:tcBorders>
              <w:bottom w:val="single" w:sz="6" w:space="0" w:color="000000"/>
            </w:tcBorders>
          </w:tcPr>
          <w:p>
            <w:pPr>
              <w:pStyle w:val="Compact"/>
              <w:spacing w:line="240" w:lineRule="auto" w:after="20"/>
              <w:jc w:val="center"/>
            </w:pPr>
            <w:r>
              <w:rPr>
                <w:sz w:val="17"/>
              </w:rPr>
              <w:t xml:space="preserve">−2.81</w:t>
            </w:r>
          </w:p>
        </w:tc>
        <w:tc>
          <w:tcPr>
            <w:tcW w:type="dxa" w:w="1134"/>
            <w:tcBorders>
              <w:bottom w:val="single" w:sz="6" w:space="0" w:color="000000"/>
            </w:tcBorders>
          </w:tcPr>
          <w:p>
            <w:pPr>
              <w:pStyle w:val="Compact"/>
              <w:spacing w:line="240" w:lineRule="auto" w:after="20"/>
              <w:jc w:val="center"/>
            </w:pPr>
            <w:r>
              <w:rPr>
                <w:sz w:val="17"/>
              </w:rPr>
              <w:t xml:space="preserve">−8.7 / −1.1</w:t>
            </w:r>
          </w:p>
        </w:tc>
        <w:tc>
          <w:tcPr>
            <w:tcW w:type="dxa" w:w="1134"/>
            <w:tcBorders>
              <w:bottom w:val="single" w:sz="6" w:space="0" w:color="000000"/>
            </w:tcBorders>
          </w:tcPr>
          <w:p>
            <w:pPr>
              <w:pStyle w:val="Compact"/>
              <w:spacing w:line="240" w:lineRule="auto" w:after="20"/>
              <w:jc w:val="center"/>
            </w:pPr>
            <w:r>
              <w:rPr>
                <w:sz w:val="17"/>
              </w:rPr>
              <w:t xml:space="preserve">2,105</w:t>
            </w:r>
          </w:p>
        </w:tc>
      </w:tr>
    </w:tbl>
    <w:p>
      <w:pPr>
        <w:pStyle w:val="BodyText"/>
        <w:spacing w:line="480" w:lineRule="auto" w:after="120"/>
        <w:jc w:val="both"/>
      </w:pPr>
      <w:r>
        <w:rPr>
          <w:iCs/>
          <w:i/>
        </w:rPr>
        <w:t xml:space="preserve">Note.</w:t>
      </w:r>
      <w:r>
        <w:t xml:space="preserve"> </w:t>
      </w:r>
      <w:r>
        <w:t xml:space="preserve">Mean returns in percent.</w:t>
      </w:r>
      <w:r>
        <w:t xml:space="preserve"> </w:t>
      </w:r>
      <w:r>
        <w:rPr>
          <w:iCs/>
          <w:i/>
        </w:rPr>
        <w:t xml:space="preserve">t</w:t>
      </w:r>
      <w:r>
        <w:t xml:space="preserve"> </w:t>
      </w:r>
      <w:r>
        <w:t xml:space="preserve">(date),</w:t>
      </w:r>
      <w:r>
        <w:t xml:space="preserve"> </w:t>
      </w:r>
      <w:r>
        <w:rPr>
          <w:iCs/>
          <w:i/>
        </w:rPr>
        <w:t xml:space="preserve">t</w:t>
      </w:r>
      <w:r>
        <w:t xml:space="preserve"> </w:t>
      </w:r>
      <w:r>
        <w:t xml:space="preserve">(week), and</w:t>
      </w:r>
      <w:r>
        <w:t xml:space="preserve"> </w:t>
      </w:r>
      <w:r>
        <w:rPr>
          <w:iCs/>
          <w:i/>
        </w:rPr>
        <w:t xml:space="preserve">t</w:t>
      </w:r>
      <w:r>
        <w:t xml:space="preserve"> </w:t>
      </w:r>
      <w:r>
        <w:t xml:space="preserve">(10-day) cluster by event date, calendar week, and 10-day block, with the factor</w:t>
      </w:r>
      <w:r>
        <w:t xml:space="preserve"> </w:t>
      </w:r>
      <w:r>
        <w:rPr>
          <w:iCs/>
          <w:i/>
        </w:rPr>
        <w:t xml:space="preserve">G</w:t>
      </w:r>
      <w:r>
        <w:t xml:space="preserve">/(</w:t>
      </w:r>
      <w:r>
        <w:rPr>
          <w:iCs/>
          <w:i/>
        </w:rPr>
        <w:t xml:space="preserve">G</w:t>
      </w:r>
      <w:r>
        <w:t xml:space="preserve"> </w:t>
      </w:r>
      <w:r>
        <w:t xml:space="preserve">− 1) and a</w:t>
      </w:r>
      <w:r>
        <w:t xml:space="preserve"> </w:t>
      </w:r>
      <w:r>
        <w:rPr>
          <w:iCs/>
          <w:i/>
        </w:rPr>
        <w:t xml:space="preserve">t</w:t>
      </w:r>
      <w:r>
        <w:t xml:space="preserve"> </w:t>
      </w:r>
      <w:r>
        <w:t xml:space="preserve">reference with</w:t>
      </w:r>
      <w:r>
        <w:t xml:space="preserve"> </w:t>
      </w:r>
      <w:r>
        <w:rPr>
          <w:iCs/>
          <w:i/>
        </w:rPr>
        <w:t xml:space="preserve">G</w:t>
      </w:r>
      <w:r>
        <w:t xml:space="preserve"> </w:t>
      </w:r>
      <w:r>
        <w:t xml:space="preserve">− 1 degrees of freedom;</w:t>
      </w:r>
      <w:r>
        <w:t xml:space="preserve"> </w:t>
      </w:r>
      <w:r>
        <w:rPr>
          <w:iCs/>
          <w:i/>
        </w:rPr>
        <w:t xml:space="preserve">t</w:t>
      </w:r>
      <w:r>
        <w:t xml:space="preserve"> </w:t>
      </w:r>
      <w:r>
        <w:t xml:space="preserve">(halves) is week-clustered for the first and second half of event dates.</w:t>
      </w:r>
      <w:r>
        <w:t xml:space="preserve"> </w:t>
      </w:r>
      <w:r>
        <w:rPr>
          <w:iCs/>
          <w:i/>
        </w:rPr>
        <w:t xml:space="preserve">P</w:t>
      </w:r>
      <w:r>
        <w:t xml:space="preserve"> </w:t>
      </w:r>
      <w:r>
        <w:t xml:space="preserve">values from the</w:t>
      </w:r>
      <w:r>
        <w:t xml:space="preserve"> </w:t>
      </w:r>
      <w:r>
        <w:rPr>
          <w:iCs/>
          <w:i/>
        </w:rPr>
        <w:t xml:space="preserve">t</w:t>
      </w:r>
      <w:r>
        <w:t xml:space="preserve"> </w:t>
      </w:r>
      <w:r>
        <w:t xml:space="preserve">distribution with</w:t>
      </w:r>
      <w:r>
        <w:t xml:space="preserve"> </w:t>
      </w:r>
      <w:r>
        <w:rPr>
          <w:iCs/>
          <w:i/>
        </w:rPr>
        <w:t xml:space="preserve">G</w:t>
      </w:r>
      <w:r>
        <w:t xml:space="preserve"> </w:t>
      </w:r>
      <w:r>
        <w:t xml:space="preserve">− 1 degrees of freedom are below 0.001 for every</w:t>
      </w:r>
      <w:r>
        <w:t xml:space="preserve"> </w:t>
      </w:r>
      <w:r>
        <w:rPr>
          <w:iCs/>
          <w:i/>
        </w:rPr>
        <w:t xml:space="preserve">t</w:t>
      </w:r>
      <w:r>
        <w:t xml:space="preserve"> </w:t>
      </w:r>
      <w:r>
        <w:t xml:space="preserve">(date),</w:t>
      </w:r>
      <w:r>
        <w:t xml:space="preserve"> </w:t>
      </w:r>
      <w:r>
        <w:rPr>
          <w:iCs/>
          <w:i/>
        </w:rPr>
        <w:t xml:space="preserve">t</w:t>
      </w:r>
      <w:r>
        <w:t xml:space="preserve"> </w:t>
      </w:r>
      <w:r>
        <w:t xml:space="preserve">(week) and</w:t>
      </w:r>
      <w:r>
        <w:t xml:space="preserve"> </w:t>
      </w:r>
      <w:r>
        <w:rPr>
          <w:iCs/>
          <w:i/>
        </w:rPr>
        <w:t xml:space="preserve">t</w:t>
      </w:r>
      <w:r>
        <w:t xml:space="preserve"> </w:t>
      </w:r>
      <w:r>
        <w:t xml:space="preserve">(10-day) except for ceiling days</w:t>
      </w:r>
      <w:r>
        <w:t xml:space="preserve"> </w:t>
      </w:r>
      <w:r>
        <w:rPr>
          <w:iCs/>
          <w:i/>
        </w:rPr>
        <w:t xml:space="preserve">d</w:t>
      </w:r>
      <w:r>
        <w:t xml:space="preserve">+2 to</w:t>
      </w:r>
      <w:r>
        <w:t xml:space="preserve"> </w:t>
      </w:r>
      <w:r>
        <w:rPr>
          <w:iCs/>
          <w:i/>
        </w:rPr>
        <w:t xml:space="preserve">d</w:t>
      </w:r>
      <w:r>
        <w:t xml:space="preserve">+5 (</w:t>
      </w:r>
      <w:r>
        <w:rPr>
          <w:iCs/>
          <w:i/>
        </w:rPr>
        <w:t xml:space="preserve">P</w:t>
      </w:r>
      <w:r>
        <w:t xml:space="preserve"> </w:t>
      </w:r>
      <w:r>
        <w:t xml:space="preserve">= 0.127, 0.271, 0.218) and floor days</w:t>
      </w:r>
      <w:r>
        <w:t xml:space="preserve"> </w:t>
      </w:r>
      <w:r>
        <w:rPr>
          <w:iCs/>
          <w:i/>
        </w:rPr>
        <w:t xml:space="preserve">d</w:t>
      </w:r>
      <w:r>
        <w:t xml:space="preserve">+2 to</w:t>
      </w:r>
      <w:r>
        <w:t xml:space="preserve"> </w:t>
      </w:r>
      <w:r>
        <w:rPr>
          <w:iCs/>
          <w:i/>
        </w:rPr>
        <w:t xml:space="preserve">d</w:t>
      </w:r>
      <w:r>
        <w:t xml:space="preserve">+5 (</w:t>
      </w:r>
      <w:r>
        <w:rPr>
          <w:iCs/>
          <w:i/>
        </w:rPr>
        <w:t xml:space="preserve">P</w:t>
      </w:r>
      <w:r>
        <w:t xml:space="preserve"> </w:t>
      </w:r>
      <w:r>
        <w:t xml:space="preserve">= 0.004, 0.003, 0.007).</w:t>
      </w:r>
      <w:r>
        <w:t xml:space="preserve"> </w:t>
      </w:r>
      <w:r>
        <w:rPr>
          <w:iCs/>
          <w:i/>
        </w:rPr>
        <w:t xml:space="preserve">n</w:t>
      </w:r>
      <w:r>
        <w:t xml:space="preserve"> </w:t>
      </w:r>
      <w:r>
        <w:t xml:space="preserve">is the number of events.</w:t>
      </w:r>
    </w:p>
    <w:p>
      <w:pPr>
        <w:pStyle w:val="BodyText"/>
        <w:spacing w:line="480" w:lineRule="auto" w:after="120"/>
        <w:jc w:val="both"/>
      </w:pPr>
      <w:r>
        <w:t xml:space="preserve">For ceilings, the five-day result comes from the first day: over days</w:t>
      </w:r>
      <w:r>
        <w:t xml:space="preserve"> </w:t>
      </w:r>
      <w:r>
        <w:rPr>
          <w:iCs/>
          <w:i/>
        </w:rPr>
        <w:t xml:space="preserve">d</w:t>
      </w:r>
      <w:r>
        <w:t xml:space="preserve">+2 to</w:t>
      </w:r>
      <w:r>
        <w:t xml:space="preserve"> </w:t>
      </w:r>
      <w:r>
        <w:rPr>
          <w:iCs/>
          <w:i/>
        </w:rPr>
        <w:t xml:space="preserve">d</w:t>
      </w:r>
      <w:r>
        <w:t xml:space="preserve">+5 the ceiling return is −0.24% (</w:t>
      </w:r>
      <w:r>
        <w:rPr>
          <w:iCs/>
          <w:i/>
        </w:rPr>
        <w:t xml:space="preserve">t</w:t>
      </w:r>
      <w:r>
        <w:t xml:space="preserve"> </w:t>
      </w:r>
      <w:r>
        <w:t xml:space="preserve">= −1.5,</w:t>
      </w:r>
      <w:r>
        <w:t xml:space="preserve"> </w:t>
      </w:r>
      <w:r>
        <w:rPr>
          <w:iCs/>
          <w:i/>
        </w:rPr>
        <w:t xml:space="preserve">P</w:t>
      </w:r>
      <w:r>
        <w:t xml:space="preserve"> </w:t>
      </w:r>
      <w:r>
        <w:t xml:space="preserve">= 0.126). After floor closes, days</w:t>
      </w:r>
      <w:r>
        <w:t xml:space="preserve"> </w:t>
      </w:r>
      <w:r>
        <w:rPr>
          <w:iCs/>
          <w:i/>
        </w:rPr>
        <w:t xml:space="preserve">d</w:t>
      </w:r>
      <w:r>
        <w:t xml:space="preserve">+2 to</w:t>
      </w:r>
      <w:r>
        <w:t xml:space="preserve"> </w:t>
      </w:r>
      <w:r>
        <w:rPr>
          <w:iCs/>
          <w:i/>
        </w:rPr>
        <w:t xml:space="preserve">d</w:t>
      </w:r>
      <w:r>
        <w:t xml:space="preserve">+5 add −1.10% (</w:t>
      </w:r>
      <w:r>
        <w:rPr>
          <w:iCs/>
          <w:i/>
        </w:rPr>
        <w:t xml:space="preserve">t</w:t>
      </w:r>
      <w:r>
        <w:t xml:space="preserve"> </w:t>
      </w:r>
      <w:r>
        <w:t xml:space="preserve">= −2.9,</w:t>
      </w:r>
      <w:r>
        <w:t xml:space="preserve"> </w:t>
      </w:r>
      <w:r>
        <w:rPr>
          <w:iCs/>
          <w:i/>
        </w:rPr>
        <w:t xml:space="preserve">P</w:t>
      </w:r>
      <w:r>
        <w:t xml:space="preserve"> </w:t>
      </w:r>
      <w:r>
        <w:t xml:space="preserve">= 0.004), but the confirmation-half week-clustered</w:t>
      </w:r>
      <w:r>
        <w:t xml:space="preserve"> </w:t>
      </w:r>
      <w:r>
        <w:rPr>
          <w:iCs/>
          <w:i/>
        </w:rPr>
        <w:t xml:space="preserve">t</w:t>
      </w:r>
      <w:r>
        <w:t xml:space="preserve"> </w:t>
      </w:r>
      <w:r>
        <w:t xml:space="preserve">is −1.14 (</w:t>
      </w:r>
      <w:r>
        <w:rPr>
          <w:iCs/>
          <w:i/>
        </w:rPr>
        <w:t xml:space="preserve">P</w:t>
      </w:r>
      <w:r>
        <w:t xml:space="preserve"> </w:t>
      </w:r>
      <w:r>
        <w:t xml:space="preserve">= 0.254). With days</w:t>
      </w:r>
      <w:r>
        <w:t xml:space="preserve"> </w:t>
      </w:r>
      <w:r>
        <w:rPr>
          <w:iCs/>
          <w:i/>
        </w:rPr>
        <w:t xml:space="preserve">d</w:t>
      </w:r>
      <w:r>
        <w:t xml:space="preserve">+2 to</w:t>
      </w:r>
      <w:r>
        <w:t xml:space="preserve"> </w:t>
      </w:r>
      <w:r>
        <w:rPr>
          <w:iCs/>
          <w:i/>
        </w:rPr>
        <w:t xml:space="preserve">d</w:t>
      </w:r>
      <w:r>
        <w:t xml:space="preserve">+5 as the second horizon, the ceiling test would fail and the floor test would fail the confirmation criterion. Ceiling closes therefore carry a one-day effect, whereas floor closes carry a one-day effect plus some later drift. These tests support H</w:t>
      </w:r>
      <w:r>
        <w:rPr>
          <w:vertAlign w:val="subscript"/>
        </w:rPr>
        <w:t xml:space="preserve">1</w:t>
      </w:r>
      <w:r>
        <w:t xml:space="preserve">: limit closes predict the next day’s abnormal return, whereas none of the 22 characteristics passes the same screen at its weekly horizon.</w:t>
      </w:r>
    </w:p>
    <w:p>
      <w:pPr>
        <w:pStyle w:val="Heading3"/>
        <w:jc w:val="left"/>
      </w:pPr>
      <w:r>
        <w:t xml:space="preserve">The ceiling effect is an overnight gap</w:t>
      </w:r>
    </w:p>
    <w:p>
      <w:pPr>
        <w:pStyle w:val="FirstParagraph"/>
        <w:spacing w:line="480" w:lineRule="auto" w:after="120"/>
        <w:jc w:val="both"/>
      </w:pPr>
      <w:r>
        <w:t xml:space="preserve">Table 2 decomposes the next-day return (equation (5)). After a ceiling close, the overnight gap is 2.24% (two-way-clustered</w:t>
      </w:r>
      <w:r>
        <w:t xml:space="preserve"> </w:t>
      </w:r>
      <w:r>
        <w:rPr>
          <w:iCs/>
          <w:i/>
        </w:rPr>
        <w:t xml:space="preserve">t</w:t>
      </w:r>
      <w:r>
        <w:t xml:space="preserve"> </w:t>
      </w:r>
      <w:r>
        <w:t xml:space="preserve">= 9.7,</w:t>
      </w:r>
      <w:r>
        <w:t xml:space="preserve"> </w:t>
      </w:r>
      <w:r>
        <w:rPr>
          <w:iCs/>
          <w:i/>
        </w:rPr>
        <w:t xml:space="preserve">P</w:t>
      </w:r>
      <w:r>
        <w:t xml:space="preserve"> </w:t>
      </w:r>
      <w:r>
        <w:t xml:space="preserve">&lt; 0.001) and the intraday return is −0.54% (</w:t>
      </w:r>
      <w:r>
        <w:rPr>
          <w:iCs/>
          <w:i/>
        </w:rPr>
        <w:t xml:space="preserve">t</w:t>
      </w:r>
      <w:r>
        <w:t xml:space="preserve"> </w:t>
      </w:r>
      <w:r>
        <w:t xml:space="preserve">= −3.5,</w:t>
      </w:r>
      <w:r>
        <w:t xml:space="preserve"> </w:t>
      </w:r>
      <w:r>
        <w:rPr>
          <w:iCs/>
          <w:i/>
        </w:rPr>
        <w:t xml:space="preserve">P</w:t>
      </w:r>
      <w:r>
        <w:t xml:space="preserve"> </w:t>
      </w:r>
      <w:r>
        <w:t xml:space="preserve">&lt; 0.001): the session reverses about 24% of the gap, and the close-to-close effect is positive because the gap exceeds the giveback. The effect occurs in the opening auction, as H</w:t>
      </w:r>
      <w:r>
        <w:rPr>
          <w:vertAlign w:val="subscript"/>
        </w:rPr>
        <w:t xml:space="preserve">2</w:t>
      </w:r>
      <w:r>
        <w:t xml:space="preserve"> </w:t>
      </w:r>
      <w:r>
        <w:t xml:space="preserve">predicts. A stock that closes at its ceiling may carry unfilled buy orders into the night; those orders and any overnight news set the opening price, and the intraday reversal suggests that part of that price reflects transient demand. After a floor close, the gap is −0.97% (</w:t>
      </w:r>
      <w:r>
        <w:rPr>
          <w:iCs/>
          <w:i/>
        </w:rPr>
        <w:t xml:space="preserve">t</w:t>
      </w:r>
      <w:r>
        <w:t xml:space="preserve"> </w:t>
      </w:r>
      <w:r>
        <w:t xml:space="preserve">= −4.6,</w:t>
      </w:r>
      <w:r>
        <w:t xml:space="preserve"> </w:t>
      </w:r>
      <w:r>
        <w:rPr>
          <w:iCs/>
          <w:i/>
        </w:rPr>
        <w:t xml:space="preserve">P</w:t>
      </w:r>
      <w:r>
        <w:t xml:space="preserve"> </w:t>
      </w:r>
      <w:r>
        <w:t xml:space="preserve">&lt; 0.001), and the intraday return is a weak reversal of 0.30% (</w:t>
      </w:r>
      <w:r>
        <w:rPr>
          <w:iCs/>
          <w:i/>
        </w:rPr>
        <w:t xml:space="preserve">t</w:t>
      </w:r>
      <w:r>
        <w:t xml:space="preserve"> </w:t>
      </w:r>
      <w:r>
        <w:t xml:space="preserve">= 1.4,</w:t>
      </w:r>
      <w:r>
        <w:t xml:space="preserve"> </w:t>
      </w:r>
      <w:r>
        <w:rPr>
          <w:iCs/>
          <w:i/>
        </w:rPr>
        <w:t xml:space="preserve">P</w:t>
      </w:r>
      <w:r>
        <w:t xml:space="preserve"> </w:t>
      </w:r>
      <w:r>
        <w:t xml:space="preserve">= 0.162).</w:t>
      </w:r>
    </w:p>
    <w:p>
      <w:pPr>
        <w:pStyle w:val="BodyText"/>
        <w:spacing w:line="480" w:lineRule="auto" w:after="120"/>
        <w:jc w:val="both"/>
      </w:pPr>
      <w:r>
        <w:rPr>
          <w:bCs/>
          <w:b/>
        </w:rPr>
        <w:t xml:space="preserve">Table 2.</w:t>
      </w:r>
      <w:r>
        <w:t xml:space="preserve"> </w:t>
      </w:r>
      <w:r>
        <w:t xml:space="preserve">Decomposition of the next-day abnormal return</w:t>
      </w:r>
    </w:p>
    <w:tbl>
      <w:tblPr>
        <w:tblStyle w:val="Table"/>
        <w:tblW w:type="pct" w:w="5000"/>
        <w:tblLayout w:type="fixed"/>
        <w:tblLook w:firstRow="1" w:lastRow="0" w:firstColumn="0" w:lastColumn="0" w:noHBand="0" w:noVBand="0" w:val="0020"/>
        <w:jc w:val="start"/>
      </w:tblPr>
      <w:tblGrid>
        <w:gridCol w:w="2204"/>
        <w:gridCol w:w="1356"/>
        <w:gridCol w:w="1356"/>
        <w:gridCol w:w="1356"/>
        <w:gridCol w:w="1441"/>
        <w:gridCol w:w="1356"/>
      </w:tblGrid>
      <w:tr>
        <w:trPr>
          <w:tblHeader w:val="true"/>
        </w:trPr>
        <w:tc>
          <w:tcPr>
            <w:tcW w:type="dxa" w:w="2204"/>
            <w:tcBorders>
              <w:top w:val="single" w:sz="6" w:space="0" w:color="000000"/>
              <w:bottom w:val="single" w:sz="6" w:space="0" w:color="000000"/>
            </w:tcBorders>
          </w:tcPr>
          <w:p>
            <w:pPr>
              <w:pStyle w:val="Compact"/>
              <w:spacing w:line="240" w:lineRule="auto" w:after="20"/>
              <w:jc w:val="left"/>
            </w:pPr>
            <w:r>
              <w:rPr>
                <w:b/>
                <w:sz w:val="17"/>
              </w:rPr>
              <w:t xml:space="preserve">Sample</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Events</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Overnight gap</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Intraday</w:t>
            </w:r>
          </w:p>
        </w:tc>
        <w:tc>
          <w:tcPr>
            <w:tcW w:type="dxa" w:w="1441"/>
            <w:tcBorders>
              <w:top w:val="single" w:sz="6" w:space="0" w:color="000000"/>
              <w:bottom w:val="single" w:sz="6" w:space="0" w:color="000000"/>
            </w:tcBorders>
          </w:tcPr>
          <w:p>
            <w:pPr>
              <w:pStyle w:val="Compact"/>
              <w:spacing w:line="240" w:lineRule="auto" w:after="20"/>
              <w:jc w:val="center"/>
            </w:pPr>
            <w:r>
              <w:rPr>
                <w:b/>
                <w:sz w:val="17"/>
              </w:rPr>
              <w:t xml:space="preserve">Close-to-close</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Open to day</w:t>
            </w:r>
            <w:r>
              <w:rPr>
                <w:b/>
                <w:sz w:val="17"/>
              </w:rPr>
              <w:t xml:space="preserve"> </w:t>
            </w:r>
            <w:r>
              <w:rPr>
                <w:iCs/>
                <w:b/>
                <w:i/>
                <w:sz w:val="17"/>
              </w:rPr>
              <w:t xml:space="preserve">d</w:t>
            </w:r>
            <w:r>
              <w:rPr>
                <w:b/>
                <w:sz w:val="17"/>
              </w:rPr>
              <w:t xml:space="preserve">+5</w:t>
            </w:r>
          </w:p>
        </w:tc>
      </w:tr>
      <w:tr>
        <w:tc>
          <w:tcPr>
            <w:tcW w:type="dxa" w:w="2204"/>
          </w:tcPr>
          <w:p>
            <w:pPr>
              <w:pStyle w:val="Compact"/>
              <w:spacing w:line="240" w:lineRule="auto" w:after="20"/>
              <w:jc w:val="left"/>
            </w:pPr>
            <w:r>
              <w:rPr>
                <w:sz w:val="17"/>
              </w:rPr>
              <w:t xml:space="preserve">Ceiling closes</w:t>
            </w:r>
          </w:p>
        </w:tc>
        <w:tc>
          <w:tcPr>
            <w:tcW w:type="dxa" w:w="1356"/>
          </w:tcPr>
          <w:p>
            <w:pPr>
              <w:pStyle w:val="Compact"/>
              <w:spacing w:line="240" w:lineRule="auto" w:after="20"/>
              <w:jc w:val="center"/>
            </w:pPr>
          </w:p>
        </w:tc>
        <w:tc>
          <w:tcPr>
            <w:tcW w:type="dxa" w:w="1356"/>
          </w:tcPr>
          <w:p>
            <w:pPr>
              <w:pStyle w:val="Compact"/>
              <w:spacing w:line="240" w:lineRule="auto" w:after="20"/>
              <w:jc w:val="center"/>
            </w:pPr>
          </w:p>
        </w:tc>
        <w:tc>
          <w:tcPr>
            <w:tcW w:type="dxa" w:w="1356"/>
          </w:tcPr>
          <w:p>
            <w:pPr>
              <w:pStyle w:val="Compact"/>
              <w:spacing w:line="240" w:lineRule="auto" w:after="20"/>
              <w:jc w:val="center"/>
            </w:pPr>
          </w:p>
        </w:tc>
        <w:tc>
          <w:tcPr>
            <w:tcW w:type="dxa" w:w="1441"/>
          </w:tcPr>
          <w:p>
            <w:pPr>
              <w:pStyle w:val="Compact"/>
              <w:spacing w:line="240" w:lineRule="auto" w:after="20"/>
              <w:jc w:val="center"/>
            </w:pPr>
          </w:p>
        </w:tc>
        <w:tc>
          <w:tcPr>
            <w:tcW w:type="dxa" w:w="1356"/>
          </w:tcPr>
          <w:p>
            <w:pPr>
              <w:pStyle w:val="Compact"/>
              <w:spacing w:line="240" w:lineRule="auto" w:after="20"/>
              <w:jc w:val="center"/>
            </w:pPr>
          </w:p>
        </w:tc>
      </w:tr>
      <w:tr>
        <w:tc>
          <w:tcPr>
            <w:tcW w:type="dxa" w:w="2204"/>
          </w:tcPr>
          <w:p>
            <w:pPr>
              <w:pStyle w:val="Compact"/>
              <w:spacing w:line="240" w:lineRule="auto" w:after="20"/>
              <w:jc w:val="left"/>
            </w:pPr>
            <w:r>
              <w:rPr>
                <w:sz w:val="17"/>
              </w:rPr>
              <w:t xml:space="preserve">All, vs market</w:t>
            </w:r>
          </w:p>
        </w:tc>
        <w:tc>
          <w:tcPr>
            <w:tcW w:type="dxa" w:w="1356"/>
          </w:tcPr>
          <w:p>
            <w:pPr>
              <w:pStyle w:val="Compact"/>
              <w:spacing w:line="240" w:lineRule="auto" w:after="20"/>
              <w:jc w:val="center"/>
            </w:pPr>
            <w:r>
              <w:rPr>
                <w:sz w:val="17"/>
              </w:rPr>
              <w:t xml:space="preserve">3,199</w:t>
            </w:r>
          </w:p>
        </w:tc>
        <w:tc>
          <w:tcPr>
            <w:tcW w:type="dxa" w:w="1356"/>
          </w:tcPr>
          <w:p>
            <w:pPr>
              <w:pStyle w:val="Compact"/>
              <w:spacing w:line="240" w:lineRule="auto" w:after="20"/>
              <w:jc w:val="center"/>
            </w:pPr>
            <w:r>
              <w:rPr>
                <w:sz w:val="17"/>
              </w:rPr>
              <w:t xml:space="preserve">2.24 (9.7)</w:t>
            </w:r>
          </w:p>
        </w:tc>
        <w:tc>
          <w:tcPr>
            <w:tcW w:type="dxa" w:w="1356"/>
          </w:tcPr>
          <w:p>
            <w:pPr>
              <w:pStyle w:val="Compact"/>
              <w:spacing w:line="240" w:lineRule="auto" w:after="20"/>
              <w:jc w:val="center"/>
            </w:pPr>
            <w:r>
              <w:rPr>
                <w:sz w:val="17"/>
              </w:rPr>
              <w:t xml:space="preserve">−0.54 (−3.5)</w:t>
            </w:r>
          </w:p>
        </w:tc>
        <w:tc>
          <w:tcPr>
            <w:tcW w:type="dxa" w:w="1441"/>
          </w:tcPr>
          <w:p>
            <w:pPr>
              <w:pStyle w:val="Compact"/>
              <w:spacing w:line="240" w:lineRule="auto" w:after="20"/>
              <w:jc w:val="center"/>
            </w:pPr>
            <w:r>
              <w:rPr>
                <w:sz w:val="17"/>
              </w:rPr>
              <w:t xml:space="preserve">1.66 (4.8)</w:t>
            </w:r>
          </w:p>
        </w:tc>
        <w:tc>
          <w:tcPr>
            <w:tcW w:type="dxa" w:w="1356"/>
          </w:tcPr>
          <w:p>
            <w:pPr>
              <w:pStyle w:val="Compact"/>
              <w:spacing w:line="240" w:lineRule="auto" w:after="20"/>
              <w:jc w:val="center"/>
            </w:pPr>
            <w:r>
              <w:rPr>
                <w:sz w:val="17"/>
              </w:rPr>
              <w:t xml:space="preserve">−0.75 (−2.7)</w:t>
            </w:r>
          </w:p>
        </w:tc>
      </w:tr>
      <w:tr>
        <w:tc>
          <w:tcPr>
            <w:tcW w:type="dxa" w:w="2204"/>
          </w:tcPr>
          <w:p>
            <w:pPr>
              <w:pStyle w:val="Compact"/>
              <w:spacing w:line="240" w:lineRule="auto" w:after="20"/>
              <w:jc w:val="left"/>
            </w:pPr>
            <w:r>
              <w:rPr>
                <w:sz w:val="17"/>
              </w:rPr>
              <w:t xml:space="preserve">All, vs same-date controls</w:t>
            </w:r>
          </w:p>
        </w:tc>
        <w:tc>
          <w:tcPr>
            <w:tcW w:type="dxa" w:w="1356"/>
          </w:tcPr>
          <w:p>
            <w:pPr>
              <w:pStyle w:val="Compact"/>
              <w:spacing w:line="240" w:lineRule="auto" w:after="20"/>
              <w:jc w:val="center"/>
            </w:pPr>
            <w:r>
              <w:rPr>
                <w:sz w:val="17"/>
              </w:rPr>
              <w:t xml:space="preserve">3,100</w:t>
            </w:r>
          </w:p>
        </w:tc>
        <w:tc>
          <w:tcPr>
            <w:tcW w:type="dxa" w:w="1356"/>
          </w:tcPr>
          <w:p>
            <w:pPr>
              <w:pStyle w:val="Compact"/>
              <w:spacing w:line="240" w:lineRule="auto" w:after="20"/>
              <w:jc w:val="center"/>
            </w:pPr>
            <w:r>
              <w:rPr>
                <w:sz w:val="17"/>
              </w:rPr>
              <w:t xml:space="preserve">2.70 (20.2)</w:t>
            </w:r>
          </w:p>
        </w:tc>
        <w:tc>
          <w:tcPr>
            <w:tcW w:type="dxa" w:w="1356"/>
          </w:tcPr>
          <w:p>
            <w:pPr>
              <w:pStyle w:val="Compact"/>
              <w:spacing w:line="240" w:lineRule="auto" w:after="20"/>
              <w:jc w:val="center"/>
            </w:pPr>
            <w:r>
              <w:rPr>
                <w:sz w:val="17"/>
              </w:rPr>
              <w:t xml:space="preserve">−0.50 (−6.0)</w:t>
            </w:r>
          </w:p>
        </w:tc>
        <w:tc>
          <w:tcPr>
            <w:tcW w:type="dxa" w:w="1441"/>
          </w:tcPr>
          <w:p>
            <w:pPr>
              <w:pStyle w:val="Compact"/>
              <w:spacing w:line="240" w:lineRule="auto" w:after="20"/>
              <w:jc w:val="center"/>
            </w:pPr>
            <w:r>
              <w:rPr>
                <w:sz w:val="17"/>
              </w:rPr>
              <w:t xml:space="preserve">2.16 (18.0)</w:t>
            </w:r>
          </w:p>
        </w:tc>
        <w:tc>
          <w:tcPr>
            <w:tcW w:type="dxa" w:w="1356"/>
          </w:tcPr>
          <w:p>
            <w:pPr>
              <w:pStyle w:val="Compact"/>
              <w:spacing w:line="240" w:lineRule="auto" w:after="20"/>
              <w:jc w:val="center"/>
            </w:pPr>
            <w:r>
              <w:rPr>
                <w:sz w:val="17"/>
              </w:rPr>
              <w:t xml:space="preserve">−0.53 (−1.8)</w:t>
            </w:r>
          </w:p>
        </w:tc>
      </w:tr>
      <w:tr>
        <w:tc>
          <w:tcPr>
            <w:tcW w:type="dxa" w:w="2204"/>
          </w:tcPr>
          <w:p>
            <w:pPr>
              <w:pStyle w:val="Compact"/>
              <w:spacing w:line="240" w:lineRule="auto" w:after="20"/>
              <w:jc w:val="left"/>
            </w:pPr>
            <w:r>
              <w:rPr>
                <w:sz w:val="17"/>
              </w:rPr>
              <w:t xml:space="preserve">Exact limit hit</w:t>
            </w:r>
          </w:p>
        </w:tc>
        <w:tc>
          <w:tcPr>
            <w:tcW w:type="dxa" w:w="1356"/>
          </w:tcPr>
          <w:p>
            <w:pPr>
              <w:pStyle w:val="Compact"/>
              <w:spacing w:line="240" w:lineRule="auto" w:after="20"/>
              <w:jc w:val="center"/>
            </w:pPr>
            <w:r>
              <w:rPr>
                <w:sz w:val="17"/>
              </w:rPr>
              <w:t xml:space="preserve">1,642</w:t>
            </w:r>
          </w:p>
        </w:tc>
        <w:tc>
          <w:tcPr>
            <w:tcW w:type="dxa" w:w="1356"/>
          </w:tcPr>
          <w:p>
            <w:pPr>
              <w:pStyle w:val="Compact"/>
              <w:spacing w:line="240" w:lineRule="auto" w:after="20"/>
              <w:jc w:val="center"/>
            </w:pPr>
            <w:r>
              <w:rPr>
                <w:sz w:val="17"/>
              </w:rPr>
              <w:t xml:space="preserve">2.79 (13.8)</w:t>
            </w:r>
          </w:p>
        </w:tc>
        <w:tc>
          <w:tcPr>
            <w:tcW w:type="dxa" w:w="1356"/>
          </w:tcPr>
          <w:p>
            <w:pPr>
              <w:pStyle w:val="Compact"/>
              <w:spacing w:line="240" w:lineRule="auto" w:after="20"/>
              <w:jc w:val="center"/>
            </w:pPr>
            <w:r>
              <w:rPr>
                <w:sz w:val="17"/>
              </w:rPr>
              <w:t xml:space="preserve">−0.74 (−5.3)</w:t>
            </w:r>
          </w:p>
        </w:tc>
        <w:tc>
          <w:tcPr>
            <w:tcW w:type="dxa" w:w="1441"/>
          </w:tcPr>
          <w:p>
            <w:pPr>
              <w:pStyle w:val="Compact"/>
              <w:spacing w:line="240" w:lineRule="auto" w:after="20"/>
              <w:jc w:val="center"/>
            </w:pPr>
            <w:r>
              <w:rPr>
                <w:sz w:val="17"/>
              </w:rPr>
              <w:t xml:space="preserve">2.00 (7.1)</w:t>
            </w:r>
          </w:p>
        </w:tc>
        <w:tc>
          <w:tcPr>
            <w:tcW w:type="dxa" w:w="1356"/>
          </w:tcPr>
          <w:p>
            <w:pPr>
              <w:pStyle w:val="Compact"/>
              <w:spacing w:line="240" w:lineRule="auto" w:after="20"/>
              <w:jc w:val="center"/>
            </w:pPr>
            <w:r>
              <w:rPr>
                <w:sz w:val="17"/>
              </w:rPr>
              <w:t xml:space="preserve">−1.02 (−3.0)</w:t>
            </w:r>
          </w:p>
        </w:tc>
      </w:tr>
      <w:tr>
        <w:tc>
          <w:tcPr>
            <w:tcW w:type="dxa" w:w="2204"/>
          </w:tcPr>
          <w:p>
            <w:pPr>
              <w:pStyle w:val="Compact"/>
              <w:spacing w:line="240" w:lineRule="auto" w:after="20"/>
              <w:jc w:val="left"/>
            </w:pPr>
            <w:r>
              <w:rPr>
                <w:sz w:val="17"/>
              </w:rPr>
              <w:t xml:space="preserve">Near hit</w:t>
            </w:r>
          </w:p>
        </w:tc>
        <w:tc>
          <w:tcPr>
            <w:tcW w:type="dxa" w:w="1356"/>
          </w:tcPr>
          <w:p>
            <w:pPr>
              <w:pStyle w:val="Compact"/>
              <w:spacing w:line="240" w:lineRule="auto" w:after="20"/>
              <w:jc w:val="center"/>
            </w:pPr>
            <w:r>
              <w:rPr>
                <w:sz w:val="17"/>
              </w:rPr>
              <w:t xml:space="preserve">1,557</w:t>
            </w:r>
          </w:p>
        </w:tc>
        <w:tc>
          <w:tcPr>
            <w:tcW w:type="dxa" w:w="1356"/>
          </w:tcPr>
          <w:p>
            <w:pPr>
              <w:pStyle w:val="Compact"/>
              <w:spacing w:line="240" w:lineRule="auto" w:after="20"/>
              <w:jc w:val="center"/>
            </w:pPr>
            <w:r>
              <w:rPr>
                <w:sz w:val="17"/>
              </w:rPr>
              <w:t xml:space="preserve">1.67 (6.4)</w:t>
            </w:r>
          </w:p>
        </w:tc>
        <w:tc>
          <w:tcPr>
            <w:tcW w:type="dxa" w:w="1356"/>
          </w:tcPr>
          <w:p>
            <w:pPr>
              <w:pStyle w:val="Compact"/>
              <w:spacing w:line="240" w:lineRule="auto" w:after="20"/>
              <w:jc w:val="center"/>
            </w:pPr>
            <w:r>
              <w:rPr>
                <w:sz w:val="17"/>
              </w:rPr>
              <w:t xml:space="preserve">−0.32 (−1.6)</w:t>
            </w:r>
          </w:p>
        </w:tc>
        <w:tc>
          <w:tcPr>
            <w:tcW w:type="dxa" w:w="1441"/>
          </w:tcPr>
          <w:p>
            <w:pPr>
              <w:pStyle w:val="Compact"/>
              <w:spacing w:line="240" w:lineRule="auto" w:after="20"/>
              <w:jc w:val="center"/>
            </w:pPr>
            <w:r>
              <w:rPr>
                <w:sz w:val="17"/>
              </w:rPr>
              <w:t xml:space="preserve">1.31 (3.1)</w:t>
            </w:r>
          </w:p>
        </w:tc>
        <w:tc>
          <w:tcPr>
            <w:tcW w:type="dxa" w:w="1356"/>
          </w:tcPr>
          <w:p>
            <w:pPr>
              <w:pStyle w:val="Compact"/>
              <w:spacing w:line="240" w:lineRule="auto" w:after="20"/>
              <w:jc w:val="center"/>
            </w:pPr>
            <w:r>
              <w:rPr>
                <w:sz w:val="17"/>
              </w:rPr>
              <w:t xml:space="preserve">−0.46 (−1.3)</w:t>
            </w:r>
          </w:p>
        </w:tc>
      </w:tr>
      <w:tr>
        <w:tc>
          <w:tcPr>
            <w:tcW w:type="dxa" w:w="2204"/>
          </w:tcPr>
          <w:p>
            <w:pPr>
              <w:pStyle w:val="Compact"/>
              <w:spacing w:line="240" w:lineRule="auto" w:after="20"/>
              <w:jc w:val="left"/>
            </w:pPr>
            <w:r>
              <w:rPr>
                <w:sz w:val="17"/>
              </w:rPr>
              <w:t xml:space="preserve">Locked all day</w:t>
            </w:r>
          </w:p>
        </w:tc>
        <w:tc>
          <w:tcPr>
            <w:tcW w:type="dxa" w:w="1356"/>
          </w:tcPr>
          <w:p>
            <w:pPr>
              <w:pStyle w:val="Compact"/>
              <w:spacing w:line="240" w:lineRule="auto" w:after="20"/>
              <w:jc w:val="center"/>
            </w:pPr>
            <w:r>
              <w:rPr>
                <w:sz w:val="17"/>
              </w:rPr>
              <w:t xml:space="preserve">522</w:t>
            </w:r>
          </w:p>
        </w:tc>
        <w:tc>
          <w:tcPr>
            <w:tcW w:type="dxa" w:w="1356"/>
          </w:tcPr>
          <w:p>
            <w:pPr>
              <w:pStyle w:val="Compact"/>
              <w:spacing w:line="240" w:lineRule="auto" w:after="20"/>
              <w:jc w:val="center"/>
            </w:pPr>
            <w:r>
              <w:rPr>
                <w:sz w:val="17"/>
              </w:rPr>
              <w:t xml:space="preserve">2.91 (3.0)</w:t>
            </w:r>
          </w:p>
        </w:tc>
        <w:tc>
          <w:tcPr>
            <w:tcW w:type="dxa" w:w="1356"/>
          </w:tcPr>
          <w:p>
            <w:pPr>
              <w:pStyle w:val="Compact"/>
              <w:spacing w:line="240" w:lineRule="auto" w:after="20"/>
              <w:jc w:val="center"/>
            </w:pPr>
            <w:r>
              <w:rPr>
                <w:sz w:val="17"/>
              </w:rPr>
              <w:t xml:space="preserve">−1.30 (−5.9)</w:t>
            </w:r>
          </w:p>
        </w:tc>
        <w:tc>
          <w:tcPr>
            <w:tcW w:type="dxa" w:w="1441"/>
          </w:tcPr>
          <w:p>
            <w:pPr>
              <w:pStyle w:val="Compact"/>
              <w:spacing w:line="240" w:lineRule="auto" w:after="20"/>
              <w:jc w:val="center"/>
            </w:pPr>
            <w:r>
              <w:rPr>
                <w:sz w:val="17"/>
              </w:rPr>
              <w:t xml:space="preserve">1.54 (1.4)</w:t>
            </w:r>
          </w:p>
        </w:tc>
        <w:tc>
          <w:tcPr>
            <w:tcW w:type="dxa" w:w="1356"/>
          </w:tcPr>
          <w:p>
            <w:pPr>
              <w:pStyle w:val="Compact"/>
              <w:spacing w:line="240" w:lineRule="auto" w:after="20"/>
              <w:jc w:val="center"/>
            </w:pPr>
            <w:r>
              <w:rPr>
                <w:sz w:val="17"/>
              </w:rPr>
              <w:t xml:space="preserve">−0.76 (−1.5)</w:t>
            </w:r>
          </w:p>
        </w:tc>
      </w:tr>
      <w:tr>
        <w:tc>
          <w:tcPr>
            <w:tcW w:type="dxa" w:w="2204"/>
          </w:tcPr>
          <w:p>
            <w:pPr>
              <w:pStyle w:val="Compact"/>
              <w:spacing w:line="240" w:lineRule="auto" w:after="20"/>
              <w:jc w:val="left"/>
            </w:pPr>
            <w:r>
              <w:rPr>
                <w:sz w:val="17"/>
              </w:rPr>
              <w:t xml:space="preserve">First half of sample</w:t>
            </w:r>
          </w:p>
        </w:tc>
        <w:tc>
          <w:tcPr>
            <w:tcW w:type="dxa" w:w="1356"/>
          </w:tcPr>
          <w:p>
            <w:pPr>
              <w:pStyle w:val="Compact"/>
              <w:spacing w:line="240" w:lineRule="auto" w:after="20"/>
              <w:jc w:val="center"/>
            </w:pPr>
            <w:r>
              <w:rPr>
                <w:sz w:val="17"/>
              </w:rPr>
              <w:t xml:space="preserve">1,615</w:t>
            </w:r>
          </w:p>
        </w:tc>
        <w:tc>
          <w:tcPr>
            <w:tcW w:type="dxa" w:w="1356"/>
          </w:tcPr>
          <w:p>
            <w:pPr>
              <w:pStyle w:val="Compact"/>
              <w:spacing w:line="240" w:lineRule="auto" w:after="20"/>
              <w:jc w:val="center"/>
            </w:pPr>
            <w:r>
              <w:rPr>
                <w:sz w:val="17"/>
              </w:rPr>
              <w:t xml:space="preserve">2.24 (5.4)</w:t>
            </w:r>
          </w:p>
        </w:tc>
        <w:tc>
          <w:tcPr>
            <w:tcW w:type="dxa" w:w="1356"/>
          </w:tcPr>
          <w:p>
            <w:pPr>
              <w:pStyle w:val="Compact"/>
              <w:spacing w:line="240" w:lineRule="auto" w:after="20"/>
              <w:jc w:val="center"/>
            </w:pPr>
            <w:r>
              <w:rPr>
                <w:sz w:val="17"/>
              </w:rPr>
              <w:t xml:space="preserve">−0.77 (−3.3)</w:t>
            </w:r>
          </w:p>
        </w:tc>
        <w:tc>
          <w:tcPr>
            <w:tcW w:type="dxa" w:w="1441"/>
          </w:tcPr>
          <w:p>
            <w:pPr>
              <w:pStyle w:val="Compact"/>
              <w:spacing w:line="240" w:lineRule="auto" w:after="20"/>
              <w:jc w:val="center"/>
            </w:pPr>
            <w:r>
              <w:rPr>
                <w:sz w:val="17"/>
              </w:rPr>
              <w:t xml:space="preserve">1.42 (2.3)</w:t>
            </w:r>
          </w:p>
        </w:tc>
        <w:tc>
          <w:tcPr>
            <w:tcW w:type="dxa" w:w="1356"/>
          </w:tcPr>
          <w:p>
            <w:pPr>
              <w:pStyle w:val="Compact"/>
              <w:spacing w:line="240" w:lineRule="auto" w:after="20"/>
              <w:jc w:val="center"/>
            </w:pPr>
            <w:r>
              <w:rPr>
                <w:sz w:val="17"/>
              </w:rPr>
              <w:t xml:space="preserve">−1.13 (−2.9)</w:t>
            </w:r>
          </w:p>
        </w:tc>
      </w:tr>
      <w:tr>
        <w:tc>
          <w:tcPr>
            <w:tcW w:type="dxa" w:w="2204"/>
          </w:tcPr>
          <w:p>
            <w:pPr>
              <w:pStyle w:val="Compact"/>
              <w:spacing w:line="240" w:lineRule="auto" w:after="20"/>
              <w:jc w:val="left"/>
            </w:pPr>
            <w:r>
              <w:rPr>
                <w:sz w:val="17"/>
              </w:rPr>
              <w:t xml:space="preserve">Second half of sample</w:t>
            </w:r>
          </w:p>
        </w:tc>
        <w:tc>
          <w:tcPr>
            <w:tcW w:type="dxa" w:w="1356"/>
          </w:tcPr>
          <w:p>
            <w:pPr>
              <w:pStyle w:val="Compact"/>
              <w:spacing w:line="240" w:lineRule="auto" w:after="20"/>
              <w:jc w:val="center"/>
            </w:pPr>
            <w:r>
              <w:rPr>
                <w:sz w:val="17"/>
              </w:rPr>
              <w:t xml:space="preserve">1,584</w:t>
            </w:r>
          </w:p>
        </w:tc>
        <w:tc>
          <w:tcPr>
            <w:tcW w:type="dxa" w:w="1356"/>
          </w:tcPr>
          <w:p>
            <w:pPr>
              <w:pStyle w:val="Compact"/>
              <w:spacing w:line="240" w:lineRule="auto" w:after="20"/>
              <w:jc w:val="center"/>
            </w:pPr>
            <w:r>
              <w:rPr>
                <w:sz w:val="17"/>
              </w:rPr>
              <w:t xml:space="preserve">2.25 (13.0)</w:t>
            </w:r>
          </w:p>
        </w:tc>
        <w:tc>
          <w:tcPr>
            <w:tcW w:type="dxa" w:w="1356"/>
          </w:tcPr>
          <w:p>
            <w:pPr>
              <w:pStyle w:val="Compact"/>
              <w:spacing w:line="240" w:lineRule="auto" w:after="20"/>
              <w:jc w:val="center"/>
            </w:pPr>
            <w:r>
              <w:rPr>
                <w:sz w:val="17"/>
              </w:rPr>
              <w:t xml:space="preserve">−0.29 (−2.5)</w:t>
            </w:r>
          </w:p>
        </w:tc>
        <w:tc>
          <w:tcPr>
            <w:tcW w:type="dxa" w:w="1441"/>
          </w:tcPr>
          <w:p>
            <w:pPr>
              <w:pStyle w:val="Compact"/>
              <w:spacing w:line="240" w:lineRule="auto" w:after="20"/>
              <w:jc w:val="center"/>
            </w:pPr>
            <w:r>
              <w:rPr>
                <w:sz w:val="17"/>
              </w:rPr>
              <w:t xml:space="preserve">1.91 (11.3)</w:t>
            </w:r>
          </w:p>
        </w:tc>
        <w:tc>
          <w:tcPr>
            <w:tcW w:type="dxa" w:w="1356"/>
          </w:tcPr>
          <w:p>
            <w:pPr>
              <w:pStyle w:val="Compact"/>
              <w:spacing w:line="240" w:lineRule="auto" w:after="20"/>
              <w:jc w:val="center"/>
            </w:pPr>
            <w:r>
              <w:rPr>
                <w:sz w:val="17"/>
              </w:rPr>
              <w:t xml:space="preserve">−0.36 (−1.2)</w:t>
            </w:r>
          </w:p>
        </w:tc>
      </w:tr>
      <w:tr>
        <w:tc>
          <w:tcPr>
            <w:tcW w:type="dxa" w:w="2204"/>
          </w:tcPr>
          <w:p>
            <w:pPr>
              <w:pStyle w:val="Compact"/>
              <w:spacing w:line="240" w:lineRule="auto" w:after="20"/>
              <w:jc w:val="left"/>
            </w:pPr>
            <w:r>
              <w:rPr>
                <w:sz w:val="17"/>
              </w:rPr>
              <w:t xml:space="preserve">Excluding days with market &lt; −2%</w:t>
            </w:r>
          </w:p>
        </w:tc>
        <w:tc>
          <w:tcPr>
            <w:tcW w:type="dxa" w:w="1356"/>
          </w:tcPr>
          <w:p>
            <w:pPr>
              <w:pStyle w:val="Compact"/>
              <w:spacing w:line="240" w:lineRule="auto" w:after="20"/>
              <w:jc w:val="center"/>
            </w:pPr>
            <w:r>
              <w:rPr>
                <w:sz w:val="17"/>
              </w:rPr>
              <w:t xml:space="preserve">3,125</w:t>
            </w:r>
          </w:p>
        </w:tc>
        <w:tc>
          <w:tcPr>
            <w:tcW w:type="dxa" w:w="1356"/>
          </w:tcPr>
          <w:p>
            <w:pPr>
              <w:pStyle w:val="Compact"/>
              <w:spacing w:line="240" w:lineRule="auto" w:after="20"/>
              <w:jc w:val="center"/>
            </w:pPr>
            <w:r>
              <w:rPr>
                <w:sz w:val="17"/>
              </w:rPr>
              <w:t xml:space="preserve">2.24 (9.6)</w:t>
            </w:r>
          </w:p>
        </w:tc>
        <w:tc>
          <w:tcPr>
            <w:tcW w:type="dxa" w:w="1356"/>
          </w:tcPr>
          <w:p>
            <w:pPr>
              <w:pStyle w:val="Compact"/>
              <w:spacing w:line="240" w:lineRule="auto" w:after="20"/>
              <w:jc w:val="center"/>
            </w:pPr>
            <w:r>
              <w:rPr>
                <w:sz w:val="17"/>
              </w:rPr>
              <w:t xml:space="preserve">−0.53 (−3.4)</w:t>
            </w:r>
          </w:p>
        </w:tc>
        <w:tc>
          <w:tcPr>
            <w:tcW w:type="dxa" w:w="1441"/>
          </w:tcPr>
          <w:p>
            <w:pPr>
              <w:pStyle w:val="Compact"/>
              <w:spacing w:line="240" w:lineRule="auto" w:after="20"/>
              <w:jc w:val="center"/>
            </w:pPr>
            <w:r>
              <w:rPr>
                <w:sz w:val="17"/>
              </w:rPr>
              <w:t xml:space="preserve">1.67 (4.7)</w:t>
            </w:r>
          </w:p>
        </w:tc>
        <w:tc>
          <w:tcPr>
            <w:tcW w:type="dxa" w:w="1356"/>
          </w:tcPr>
          <w:p>
            <w:pPr>
              <w:pStyle w:val="Compact"/>
              <w:spacing w:line="240" w:lineRule="auto" w:after="20"/>
              <w:jc w:val="center"/>
            </w:pPr>
            <w:r>
              <w:rPr>
                <w:sz w:val="17"/>
              </w:rPr>
              <w:t xml:space="preserve">−0.70 (−2.6)</w:t>
            </w:r>
          </w:p>
        </w:tc>
      </w:tr>
      <w:tr>
        <w:tc>
          <w:tcPr>
            <w:tcW w:type="dxa" w:w="2204"/>
          </w:tcPr>
          <w:p>
            <w:pPr>
              <w:pStyle w:val="Compact"/>
              <w:spacing w:line="240" w:lineRule="auto" w:after="20"/>
              <w:jc w:val="left"/>
            </w:pPr>
            <w:r>
              <w:rPr>
                <w:sz w:val="17"/>
              </w:rPr>
              <w:t xml:space="preserve">Floor closes</w:t>
            </w:r>
          </w:p>
        </w:tc>
        <w:tc>
          <w:tcPr>
            <w:tcW w:type="dxa" w:w="1356"/>
          </w:tcPr>
          <w:p>
            <w:pPr>
              <w:pStyle w:val="Compact"/>
              <w:spacing w:line="240" w:lineRule="auto" w:after="20"/>
              <w:jc w:val="center"/>
            </w:pPr>
          </w:p>
        </w:tc>
        <w:tc>
          <w:tcPr>
            <w:tcW w:type="dxa" w:w="1356"/>
          </w:tcPr>
          <w:p>
            <w:pPr>
              <w:pStyle w:val="Compact"/>
              <w:spacing w:line="240" w:lineRule="auto" w:after="20"/>
              <w:jc w:val="center"/>
            </w:pPr>
          </w:p>
        </w:tc>
        <w:tc>
          <w:tcPr>
            <w:tcW w:type="dxa" w:w="1356"/>
          </w:tcPr>
          <w:p>
            <w:pPr>
              <w:pStyle w:val="Compact"/>
              <w:spacing w:line="240" w:lineRule="auto" w:after="20"/>
              <w:jc w:val="center"/>
            </w:pPr>
          </w:p>
        </w:tc>
        <w:tc>
          <w:tcPr>
            <w:tcW w:type="dxa" w:w="1441"/>
          </w:tcPr>
          <w:p>
            <w:pPr>
              <w:pStyle w:val="Compact"/>
              <w:spacing w:line="240" w:lineRule="auto" w:after="20"/>
              <w:jc w:val="center"/>
            </w:pPr>
          </w:p>
        </w:tc>
        <w:tc>
          <w:tcPr>
            <w:tcW w:type="dxa" w:w="1356"/>
          </w:tcPr>
          <w:p>
            <w:pPr>
              <w:pStyle w:val="Compact"/>
              <w:spacing w:line="240" w:lineRule="auto" w:after="20"/>
              <w:jc w:val="center"/>
            </w:pPr>
          </w:p>
        </w:tc>
      </w:tr>
      <w:tr>
        <w:tc>
          <w:tcPr>
            <w:tcW w:type="dxa" w:w="2204"/>
          </w:tcPr>
          <w:p>
            <w:pPr>
              <w:pStyle w:val="Compact"/>
              <w:spacing w:line="240" w:lineRule="auto" w:after="20"/>
              <w:jc w:val="left"/>
            </w:pPr>
            <w:r>
              <w:rPr>
                <w:sz w:val="17"/>
              </w:rPr>
              <w:t xml:space="preserve">All, vs market</w:t>
            </w:r>
          </w:p>
        </w:tc>
        <w:tc>
          <w:tcPr>
            <w:tcW w:type="dxa" w:w="1356"/>
          </w:tcPr>
          <w:p>
            <w:pPr>
              <w:pStyle w:val="Compact"/>
              <w:spacing w:line="240" w:lineRule="auto" w:after="20"/>
              <w:jc w:val="center"/>
            </w:pPr>
            <w:r>
              <w:rPr>
                <w:sz w:val="17"/>
              </w:rPr>
              <w:t xml:space="preserve">2,111</w:t>
            </w:r>
          </w:p>
        </w:tc>
        <w:tc>
          <w:tcPr>
            <w:tcW w:type="dxa" w:w="1356"/>
          </w:tcPr>
          <w:p>
            <w:pPr>
              <w:pStyle w:val="Compact"/>
              <w:spacing w:line="240" w:lineRule="auto" w:after="20"/>
              <w:jc w:val="center"/>
            </w:pPr>
            <w:r>
              <w:rPr>
                <w:sz w:val="17"/>
              </w:rPr>
              <w:t xml:space="preserve">−0.97 (−4.6)</w:t>
            </w:r>
          </w:p>
        </w:tc>
        <w:tc>
          <w:tcPr>
            <w:tcW w:type="dxa" w:w="1356"/>
          </w:tcPr>
          <w:p>
            <w:pPr>
              <w:pStyle w:val="Compact"/>
              <w:spacing w:line="240" w:lineRule="auto" w:after="20"/>
              <w:jc w:val="center"/>
            </w:pPr>
            <w:r>
              <w:rPr>
                <w:sz w:val="17"/>
              </w:rPr>
              <w:t xml:space="preserve">0.30 (1.4)</w:t>
            </w:r>
          </w:p>
        </w:tc>
        <w:tc>
          <w:tcPr>
            <w:tcW w:type="dxa" w:w="1441"/>
          </w:tcPr>
          <w:p>
            <w:pPr>
              <w:pStyle w:val="Compact"/>
              <w:spacing w:line="240" w:lineRule="auto" w:after="20"/>
              <w:jc w:val="center"/>
            </w:pPr>
            <w:r>
              <w:rPr>
                <w:sz w:val="17"/>
              </w:rPr>
              <w:t xml:space="preserve">−0.69 (−4.8)</w:t>
            </w:r>
          </w:p>
        </w:tc>
        <w:tc>
          <w:tcPr>
            <w:tcW w:type="dxa" w:w="1356"/>
          </w:tcPr>
          <w:p>
            <w:pPr>
              <w:pStyle w:val="Compact"/>
              <w:spacing w:line="240" w:lineRule="auto" w:after="20"/>
              <w:jc w:val="center"/>
            </w:pPr>
            <w:r>
              <w:rPr>
                <w:sz w:val="17"/>
              </w:rPr>
              <w:t xml:space="preserve">−0.82 (−1.7)</w:t>
            </w:r>
          </w:p>
        </w:tc>
      </w:tr>
      <w:tr>
        <w:tc>
          <w:tcPr>
            <w:tcW w:type="dxa" w:w="2204"/>
          </w:tcPr>
          <w:p>
            <w:pPr>
              <w:pStyle w:val="Compact"/>
              <w:spacing w:line="240" w:lineRule="auto" w:after="20"/>
              <w:jc w:val="left"/>
            </w:pPr>
            <w:r>
              <w:rPr>
                <w:sz w:val="17"/>
              </w:rPr>
              <w:t xml:space="preserve">All, vs same-date controls</w:t>
            </w:r>
          </w:p>
        </w:tc>
        <w:tc>
          <w:tcPr>
            <w:tcW w:type="dxa" w:w="1356"/>
          </w:tcPr>
          <w:p>
            <w:pPr>
              <w:pStyle w:val="Compact"/>
              <w:spacing w:line="240" w:lineRule="auto" w:after="20"/>
              <w:jc w:val="center"/>
            </w:pPr>
            <w:r>
              <w:rPr>
                <w:sz w:val="17"/>
              </w:rPr>
              <w:t xml:space="preserve">2,047</w:t>
            </w:r>
          </w:p>
        </w:tc>
        <w:tc>
          <w:tcPr>
            <w:tcW w:type="dxa" w:w="1356"/>
          </w:tcPr>
          <w:p>
            <w:pPr>
              <w:pStyle w:val="Compact"/>
              <w:spacing w:line="240" w:lineRule="auto" w:after="20"/>
              <w:jc w:val="center"/>
            </w:pPr>
            <w:r>
              <w:rPr>
                <w:sz w:val="17"/>
              </w:rPr>
              <w:t xml:space="preserve">−1.75 (−4.0)</w:t>
            </w:r>
          </w:p>
        </w:tc>
        <w:tc>
          <w:tcPr>
            <w:tcW w:type="dxa" w:w="1356"/>
          </w:tcPr>
          <w:p>
            <w:pPr>
              <w:pStyle w:val="Compact"/>
              <w:spacing w:line="240" w:lineRule="auto" w:after="20"/>
              <w:jc w:val="center"/>
            </w:pPr>
            <w:r>
              <w:rPr>
                <w:sz w:val="17"/>
              </w:rPr>
              <w:t xml:space="preserve">0.14 (0.6)</w:t>
            </w:r>
          </w:p>
        </w:tc>
        <w:tc>
          <w:tcPr>
            <w:tcW w:type="dxa" w:w="1441"/>
          </w:tcPr>
          <w:p>
            <w:pPr>
              <w:pStyle w:val="Compact"/>
              <w:spacing w:line="240" w:lineRule="auto" w:after="20"/>
              <w:jc w:val="center"/>
            </w:pPr>
            <w:r>
              <w:rPr>
                <w:sz w:val="17"/>
              </w:rPr>
              <w:t xml:space="preserve">−1.65 (−3.4)</w:t>
            </w:r>
          </w:p>
        </w:tc>
        <w:tc>
          <w:tcPr>
            <w:tcW w:type="dxa" w:w="1356"/>
          </w:tcPr>
          <w:p>
            <w:pPr>
              <w:pStyle w:val="Compact"/>
              <w:spacing w:line="240" w:lineRule="auto" w:after="20"/>
              <w:jc w:val="center"/>
            </w:pPr>
            <w:r>
              <w:rPr>
                <w:sz w:val="17"/>
              </w:rPr>
              <w:t xml:space="preserve">−0.36 (−0.6)</w:t>
            </w:r>
          </w:p>
        </w:tc>
      </w:tr>
      <w:tr>
        <w:tc>
          <w:tcPr>
            <w:tcW w:type="dxa" w:w="2204"/>
          </w:tcPr>
          <w:p>
            <w:pPr>
              <w:pStyle w:val="Compact"/>
              <w:spacing w:line="240" w:lineRule="auto" w:after="20"/>
              <w:jc w:val="left"/>
            </w:pPr>
            <w:r>
              <w:rPr>
                <w:sz w:val="17"/>
              </w:rPr>
              <w:t xml:space="preserve">Exact limit hit</w:t>
            </w:r>
          </w:p>
        </w:tc>
        <w:tc>
          <w:tcPr>
            <w:tcW w:type="dxa" w:w="1356"/>
          </w:tcPr>
          <w:p>
            <w:pPr>
              <w:pStyle w:val="Compact"/>
              <w:spacing w:line="240" w:lineRule="auto" w:after="20"/>
              <w:jc w:val="center"/>
            </w:pPr>
            <w:r>
              <w:rPr>
                <w:sz w:val="17"/>
              </w:rPr>
              <w:t xml:space="preserve">1,025</w:t>
            </w:r>
          </w:p>
        </w:tc>
        <w:tc>
          <w:tcPr>
            <w:tcW w:type="dxa" w:w="1356"/>
          </w:tcPr>
          <w:p>
            <w:pPr>
              <w:pStyle w:val="Compact"/>
              <w:spacing w:line="240" w:lineRule="auto" w:after="20"/>
              <w:jc w:val="center"/>
            </w:pPr>
            <w:r>
              <w:rPr>
                <w:sz w:val="17"/>
              </w:rPr>
              <w:t xml:space="preserve">−1.30 (−5.1)</w:t>
            </w:r>
          </w:p>
        </w:tc>
        <w:tc>
          <w:tcPr>
            <w:tcW w:type="dxa" w:w="1356"/>
          </w:tcPr>
          <w:p>
            <w:pPr>
              <w:pStyle w:val="Compact"/>
              <w:spacing w:line="240" w:lineRule="auto" w:after="20"/>
              <w:jc w:val="center"/>
            </w:pPr>
            <w:r>
              <w:rPr>
                <w:sz w:val="17"/>
              </w:rPr>
              <w:t xml:space="preserve">0.41 (1.7)</w:t>
            </w:r>
          </w:p>
        </w:tc>
        <w:tc>
          <w:tcPr>
            <w:tcW w:type="dxa" w:w="1441"/>
          </w:tcPr>
          <w:p>
            <w:pPr>
              <w:pStyle w:val="Compact"/>
              <w:spacing w:line="240" w:lineRule="auto" w:after="20"/>
              <w:jc w:val="center"/>
            </w:pPr>
            <w:r>
              <w:rPr>
                <w:sz w:val="17"/>
              </w:rPr>
              <w:t xml:space="preserve">−0.93 (−5.7)</w:t>
            </w:r>
          </w:p>
        </w:tc>
        <w:tc>
          <w:tcPr>
            <w:tcW w:type="dxa" w:w="1356"/>
          </w:tcPr>
          <w:p>
            <w:pPr>
              <w:pStyle w:val="Compact"/>
              <w:spacing w:line="240" w:lineRule="auto" w:after="20"/>
              <w:jc w:val="center"/>
            </w:pPr>
            <w:r>
              <w:rPr>
                <w:sz w:val="17"/>
              </w:rPr>
              <w:t xml:space="preserve">−0.98 (−1.9)</w:t>
            </w:r>
          </w:p>
        </w:tc>
      </w:tr>
      <w:tr>
        <w:tc>
          <w:tcPr>
            <w:tcW w:type="dxa" w:w="2204"/>
          </w:tcPr>
          <w:p>
            <w:pPr>
              <w:pStyle w:val="Compact"/>
              <w:spacing w:line="240" w:lineRule="auto" w:after="20"/>
              <w:jc w:val="left"/>
            </w:pPr>
            <w:r>
              <w:rPr>
                <w:sz w:val="17"/>
              </w:rPr>
              <w:t xml:space="preserve">Near hit</w:t>
            </w:r>
          </w:p>
        </w:tc>
        <w:tc>
          <w:tcPr>
            <w:tcW w:type="dxa" w:w="1356"/>
          </w:tcPr>
          <w:p>
            <w:pPr>
              <w:pStyle w:val="Compact"/>
              <w:spacing w:line="240" w:lineRule="auto" w:after="20"/>
              <w:jc w:val="center"/>
            </w:pPr>
            <w:r>
              <w:rPr>
                <w:sz w:val="17"/>
              </w:rPr>
              <w:t xml:space="preserve">1,086</w:t>
            </w:r>
          </w:p>
        </w:tc>
        <w:tc>
          <w:tcPr>
            <w:tcW w:type="dxa" w:w="1356"/>
          </w:tcPr>
          <w:p>
            <w:pPr>
              <w:pStyle w:val="Compact"/>
              <w:spacing w:line="240" w:lineRule="auto" w:after="20"/>
              <w:jc w:val="center"/>
            </w:pPr>
            <w:r>
              <w:rPr>
                <w:sz w:val="17"/>
              </w:rPr>
              <w:t xml:space="preserve">−0.66 (−3.7)</w:t>
            </w:r>
          </w:p>
        </w:tc>
        <w:tc>
          <w:tcPr>
            <w:tcW w:type="dxa" w:w="1356"/>
          </w:tcPr>
          <w:p>
            <w:pPr>
              <w:pStyle w:val="Compact"/>
              <w:spacing w:line="240" w:lineRule="auto" w:after="20"/>
              <w:jc w:val="center"/>
            </w:pPr>
            <w:r>
              <w:rPr>
                <w:sz w:val="17"/>
              </w:rPr>
              <w:t xml:space="preserve">0.20 (0.9)</w:t>
            </w:r>
          </w:p>
        </w:tc>
        <w:tc>
          <w:tcPr>
            <w:tcW w:type="dxa" w:w="1441"/>
          </w:tcPr>
          <w:p>
            <w:pPr>
              <w:pStyle w:val="Compact"/>
              <w:spacing w:line="240" w:lineRule="auto" w:after="20"/>
              <w:jc w:val="center"/>
            </w:pPr>
            <w:r>
              <w:rPr>
                <w:sz w:val="17"/>
              </w:rPr>
              <w:t xml:space="preserve">−0.47 (−2.9)</w:t>
            </w:r>
          </w:p>
        </w:tc>
        <w:tc>
          <w:tcPr>
            <w:tcW w:type="dxa" w:w="1356"/>
          </w:tcPr>
          <w:p>
            <w:pPr>
              <w:pStyle w:val="Compact"/>
              <w:spacing w:line="240" w:lineRule="auto" w:after="20"/>
              <w:jc w:val="center"/>
            </w:pPr>
            <w:r>
              <w:rPr>
                <w:sz w:val="17"/>
              </w:rPr>
              <w:t xml:space="preserve">−0.66 (−1.4)</w:t>
            </w:r>
          </w:p>
        </w:tc>
      </w:tr>
      <w:tr>
        <w:tc>
          <w:tcPr>
            <w:tcW w:type="dxa" w:w="2204"/>
          </w:tcPr>
          <w:p>
            <w:pPr>
              <w:pStyle w:val="Compact"/>
              <w:spacing w:line="240" w:lineRule="auto" w:after="20"/>
              <w:jc w:val="left"/>
            </w:pPr>
            <w:r>
              <w:rPr>
                <w:sz w:val="17"/>
              </w:rPr>
              <w:t xml:space="preserve">Locked all day</w:t>
            </w:r>
          </w:p>
        </w:tc>
        <w:tc>
          <w:tcPr>
            <w:tcW w:type="dxa" w:w="1356"/>
          </w:tcPr>
          <w:p>
            <w:pPr>
              <w:pStyle w:val="Compact"/>
              <w:spacing w:line="240" w:lineRule="auto" w:after="20"/>
              <w:jc w:val="center"/>
            </w:pPr>
            <w:r>
              <w:rPr>
                <w:sz w:val="17"/>
              </w:rPr>
              <w:t xml:space="preserve">260</w:t>
            </w:r>
          </w:p>
        </w:tc>
        <w:tc>
          <w:tcPr>
            <w:tcW w:type="dxa" w:w="1356"/>
          </w:tcPr>
          <w:p>
            <w:pPr>
              <w:pStyle w:val="Compact"/>
              <w:spacing w:line="240" w:lineRule="auto" w:after="20"/>
              <w:jc w:val="center"/>
            </w:pPr>
            <w:r>
              <w:rPr>
                <w:sz w:val="17"/>
              </w:rPr>
              <w:t xml:space="preserve">−2.50 (−4.8)</w:t>
            </w:r>
          </w:p>
        </w:tc>
        <w:tc>
          <w:tcPr>
            <w:tcW w:type="dxa" w:w="1356"/>
          </w:tcPr>
          <w:p>
            <w:pPr>
              <w:pStyle w:val="Compact"/>
              <w:spacing w:line="240" w:lineRule="auto" w:after="20"/>
              <w:jc w:val="center"/>
            </w:pPr>
            <w:r>
              <w:rPr>
                <w:sz w:val="17"/>
              </w:rPr>
              <w:t xml:space="preserve">1.11 (2.4)</w:t>
            </w:r>
          </w:p>
        </w:tc>
        <w:tc>
          <w:tcPr>
            <w:tcW w:type="dxa" w:w="1441"/>
          </w:tcPr>
          <w:p>
            <w:pPr>
              <w:pStyle w:val="Compact"/>
              <w:spacing w:line="240" w:lineRule="auto" w:after="20"/>
              <w:jc w:val="center"/>
            </w:pPr>
            <w:r>
              <w:rPr>
                <w:sz w:val="17"/>
              </w:rPr>
              <w:t xml:space="preserve">−1.44 (−3.4)</w:t>
            </w:r>
          </w:p>
        </w:tc>
        <w:tc>
          <w:tcPr>
            <w:tcW w:type="dxa" w:w="1356"/>
          </w:tcPr>
          <w:p>
            <w:pPr>
              <w:pStyle w:val="Compact"/>
              <w:spacing w:line="240" w:lineRule="auto" w:after="20"/>
              <w:jc w:val="center"/>
            </w:pPr>
            <w:r>
              <w:rPr>
                <w:sz w:val="17"/>
              </w:rPr>
              <w:t xml:space="preserve">−3.91 (−3.0)</w:t>
            </w:r>
          </w:p>
        </w:tc>
      </w:tr>
      <w:tr>
        <w:tc>
          <w:tcPr>
            <w:tcW w:type="dxa" w:w="2204"/>
          </w:tcPr>
          <w:p>
            <w:pPr>
              <w:pStyle w:val="Compact"/>
              <w:spacing w:line="240" w:lineRule="auto" w:after="20"/>
              <w:jc w:val="left"/>
            </w:pPr>
            <w:r>
              <w:rPr>
                <w:sz w:val="17"/>
              </w:rPr>
              <w:t xml:space="preserve">First half of sample</w:t>
            </w:r>
          </w:p>
        </w:tc>
        <w:tc>
          <w:tcPr>
            <w:tcW w:type="dxa" w:w="1356"/>
          </w:tcPr>
          <w:p>
            <w:pPr>
              <w:pStyle w:val="Compact"/>
              <w:spacing w:line="240" w:lineRule="auto" w:after="20"/>
              <w:jc w:val="center"/>
            </w:pPr>
            <w:r>
              <w:rPr>
                <w:sz w:val="17"/>
              </w:rPr>
              <w:t xml:space="preserve">1,059</w:t>
            </w:r>
          </w:p>
        </w:tc>
        <w:tc>
          <w:tcPr>
            <w:tcW w:type="dxa" w:w="1356"/>
          </w:tcPr>
          <w:p>
            <w:pPr>
              <w:pStyle w:val="Compact"/>
              <w:spacing w:line="240" w:lineRule="auto" w:after="20"/>
              <w:jc w:val="center"/>
            </w:pPr>
            <w:r>
              <w:rPr>
                <w:sz w:val="17"/>
              </w:rPr>
              <w:t xml:space="preserve">−0.55 (−2.4)</w:t>
            </w:r>
          </w:p>
        </w:tc>
        <w:tc>
          <w:tcPr>
            <w:tcW w:type="dxa" w:w="1356"/>
          </w:tcPr>
          <w:p>
            <w:pPr>
              <w:pStyle w:val="Compact"/>
              <w:spacing w:line="240" w:lineRule="auto" w:after="20"/>
              <w:jc w:val="center"/>
            </w:pPr>
            <w:r>
              <w:rPr>
                <w:sz w:val="17"/>
              </w:rPr>
              <w:t xml:space="preserve">−0.09 (−0.3)</w:t>
            </w:r>
          </w:p>
        </w:tc>
        <w:tc>
          <w:tcPr>
            <w:tcW w:type="dxa" w:w="1441"/>
          </w:tcPr>
          <w:p>
            <w:pPr>
              <w:pStyle w:val="Compact"/>
              <w:spacing w:line="240" w:lineRule="auto" w:after="20"/>
              <w:jc w:val="center"/>
            </w:pPr>
            <w:r>
              <w:rPr>
                <w:sz w:val="17"/>
              </w:rPr>
              <w:t xml:space="preserve">−0.63 (−2.9)</w:t>
            </w:r>
          </w:p>
        </w:tc>
        <w:tc>
          <w:tcPr>
            <w:tcW w:type="dxa" w:w="1356"/>
          </w:tcPr>
          <w:p>
            <w:pPr>
              <w:pStyle w:val="Compact"/>
              <w:spacing w:line="240" w:lineRule="auto" w:after="20"/>
              <w:jc w:val="center"/>
            </w:pPr>
            <w:r>
              <w:rPr>
                <w:sz w:val="17"/>
              </w:rPr>
              <w:t xml:space="preserve">−1.69 (−5.1)</w:t>
            </w:r>
          </w:p>
        </w:tc>
      </w:tr>
      <w:tr>
        <w:tc>
          <w:tcPr>
            <w:tcW w:type="dxa" w:w="2204"/>
          </w:tcPr>
          <w:p>
            <w:pPr>
              <w:pStyle w:val="Compact"/>
              <w:spacing w:line="240" w:lineRule="auto" w:after="20"/>
              <w:jc w:val="left"/>
            </w:pPr>
            <w:r>
              <w:rPr>
                <w:sz w:val="17"/>
              </w:rPr>
              <w:t xml:space="preserve">Second half of sample</w:t>
            </w:r>
          </w:p>
        </w:tc>
        <w:tc>
          <w:tcPr>
            <w:tcW w:type="dxa" w:w="1356"/>
          </w:tcPr>
          <w:p>
            <w:pPr>
              <w:pStyle w:val="Compact"/>
              <w:spacing w:line="240" w:lineRule="auto" w:after="20"/>
              <w:jc w:val="center"/>
            </w:pPr>
            <w:r>
              <w:rPr>
                <w:sz w:val="17"/>
              </w:rPr>
              <w:t xml:space="preserve">1,052</w:t>
            </w:r>
          </w:p>
        </w:tc>
        <w:tc>
          <w:tcPr>
            <w:tcW w:type="dxa" w:w="1356"/>
          </w:tcPr>
          <w:p>
            <w:pPr>
              <w:pStyle w:val="Compact"/>
              <w:spacing w:line="240" w:lineRule="auto" w:after="20"/>
              <w:jc w:val="center"/>
            </w:pPr>
            <w:r>
              <w:rPr>
                <w:sz w:val="17"/>
              </w:rPr>
              <w:t xml:space="preserve">−1.40 (−6.5)</w:t>
            </w:r>
          </w:p>
        </w:tc>
        <w:tc>
          <w:tcPr>
            <w:tcW w:type="dxa" w:w="1356"/>
          </w:tcPr>
          <w:p>
            <w:pPr>
              <w:pStyle w:val="Compact"/>
              <w:spacing w:line="240" w:lineRule="auto" w:after="20"/>
              <w:jc w:val="center"/>
            </w:pPr>
            <w:r>
              <w:rPr>
                <w:sz w:val="17"/>
              </w:rPr>
              <w:t xml:space="preserve">0.70 (4.9)</w:t>
            </w:r>
          </w:p>
        </w:tc>
        <w:tc>
          <w:tcPr>
            <w:tcW w:type="dxa" w:w="1441"/>
          </w:tcPr>
          <w:p>
            <w:pPr>
              <w:pStyle w:val="Compact"/>
              <w:spacing w:line="240" w:lineRule="auto" w:after="20"/>
              <w:jc w:val="center"/>
            </w:pPr>
            <w:r>
              <w:rPr>
                <w:sz w:val="17"/>
              </w:rPr>
              <w:t xml:space="preserve">−0.75 (−4.3)</w:t>
            </w:r>
          </w:p>
        </w:tc>
        <w:tc>
          <w:tcPr>
            <w:tcW w:type="dxa" w:w="1356"/>
          </w:tcPr>
          <w:p>
            <w:pPr>
              <w:pStyle w:val="Compact"/>
              <w:spacing w:line="240" w:lineRule="auto" w:after="20"/>
              <w:jc w:val="center"/>
            </w:pPr>
            <w:r>
              <w:rPr>
                <w:sz w:val="17"/>
              </w:rPr>
              <w:t xml:space="preserve">0.07 (0.1)</w:t>
            </w:r>
          </w:p>
        </w:tc>
      </w:tr>
      <w:tr>
        <w:tc>
          <w:tcPr>
            <w:tcW w:type="dxa" w:w="2204"/>
            <w:tcBorders>
              <w:bottom w:val="single" w:sz="6" w:space="0" w:color="000000"/>
            </w:tcBorders>
          </w:tcPr>
          <w:p>
            <w:pPr>
              <w:pStyle w:val="Compact"/>
              <w:spacing w:line="240" w:lineRule="auto" w:after="20"/>
              <w:jc w:val="left"/>
            </w:pPr>
            <w:r>
              <w:rPr>
                <w:sz w:val="17"/>
              </w:rPr>
              <w:t xml:space="preserve">Excluding days with market &lt; −2%</w:t>
            </w:r>
          </w:p>
        </w:tc>
        <w:tc>
          <w:tcPr>
            <w:tcW w:type="dxa" w:w="1356"/>
            <w:tcBorders>
              <w:bottom w:val="single" w:sz="6" w:space="0" w:color="000000"/>
            </w:tcBorders>
          </w:tcPr>
          <w:p>
            <w:pPr>
              <w:pStyle w:val="Compact"/>
              <w:spacing w:line="240" w:lineRule="auto" w:after="20"/>
              <w:jc w:val="center"/>
            </w:pPr>
            <w:r>
              <w:rPr>
                <w:sz w:val="17"/>
              </w:rPr>
              <w:t xml:space="preserve">740</w:t>
            </w:r>
          </w:p>
        </w:tc>
        <w:tc>
          <w:tcPr>
            <w:tcW w:type="dxa" w:w="1356"/>
            <w:tcBorders>
              <w:bottom w:val="single" w:sz="6" w:space="0" w:color="000000"/>
            </w:tcBorders>
          </w:tcPr>
          <w:p>
            <w:pPr>
              <w:pStyle w:val="Compact"/>
              <w:spacing w:line="240" w:lineRule="auto" w:after="20"/>
              <w:jc w:val="center"/>
            </w:pPr>
            <w:r>
              <w:rPr>
                <w:sz w:val="17"/>
              </w:rPr>
              <w:t xml:space="preserve">−1.83 (−8.7)</w:t>
            </w:r>
          </w:p>
        </w:tc>
        <w:tc>
          <w:tcPr>
            <w:tcW w:type="dxa" w:w="1356"/>
            <w:tcBorders>
              <w:bottom w:val="single" w:sz="6" w:space="0" w:color="000000"/>
            </w:tcBorders>
          </w:tcPr>
          <w:p>
            <w:pPr>
              <w:pStyle w:val="Compact"/>
              <w:spacing w:line="240" w:lineRule="auto" w:after="20"/>
              <w:jc w:val="center"/>
            </w:pPr>
            <w:r>
              <w:rPr>
                <w:sz w:val="17"/>
              </w:rPr>
              <w:t xml:space="preserve">0.90 (5.3)</w:t>
            </w:r>
          </w:p>
        </w:tc>
        <w:tc>
          <w:tcPr>
            <w:tcW w:type="dxa" w:w="1441"/>
            <w:tcBorders>
              <w:bottom w:val="single" w:sz="6" w:space="0" w:color="000000"/>
            </w:tcBorders>
          </w:tcPr>
          <w:p>
            <w:pPr>
              <w:pStyle w:val="Compact"/>
              <w:spacing w:line="240" w:lineRule="auto" w:after="20"/>
              <w:jc w:val="center"/>
            </w:pPr>
            <w:r>
              <w:rPr>
                <w:sz w:val="17"/>
              </w:rPr>
              <w:t xml:space="preserve">−0.99 (−4.5)</w:t>
            </w:r>
          </w:p>
        </w:tc>
        <w:tc>
          <w:tcPr>
            <w:tcW w:type="dxa" w:w="1356"/>
            <w:tcBorders>
              <w:bottom w:val="single" w:sz="6" w:space="0" w:color="000000"/>
            </w:tcBorders>
          </w:tcPr>
          <w:p>
            <w:pPr>
              <w:pStyle w:val="Compact"/>
              <w:spacing w:line="240" w:lineRule="auto" w:after="20"/>
              <w:jc w:val="center"/>
            </w:pPr>
            <w:r>
              <w:rPr>
                <w:sz w:val="17"/>
              </w:rPr>
              <w:t xml:space="preserve">−0.81 (−1.7)</w:t>
            </w:r>
          </w:p>
        </w:tc>
      </w:tr>
    </w:tbl>
    <w:p>
      <w:pPr>
        <w:pStyle w:val="BodyText"/>
        <w:spacing w:line="480" w:lineRule="auto" w:after="120"/>
        <w:jc w:val="both"/>
      </w:pPr>
      <w:r>
        <w:rPr>
          <w:iCs/>
          <w:i/>
        </w:rPr>
        <w:t xml:space="preserve">Note.</w:t>
      </w:r>
      <w:r>
        <w:t xml:space="preserve"> </w:t>
      </w:r>
      <w:r>
        <w:t xml:space="preserve">Percent; two-way-clustered</w:t>
      </w:r>
      <w:r>
        <w:t xml:space="preserve"> </w:t>
      </w:r>
      <w:r>
        <w:rPr>
          <w:iCs/>
          <w:i/>
        </w:rPr>
        <w:t xml:space="preserve">t</w:t>
      </w:r>
      <w:r>
        <w:t xml:space="preserve">-statistics in parentheses. Benchmarks are the volume-weighted market (weights lagged to day</w:t>
      </w:r>
      <w:r>
        <w:t xml:space="preserve"> </w:t>
      </w:r>
      <w:r>
        <w:rPr>
          <w:iCs/>
          <w:i/>
        </w:rPr>
        <w:t xml:space="preserve">d</w:t>
      </w:r>
      <w:r>
        <w:t xml:space="preserve">) or same-date controls in the same liquidity tercile. Crash days have a market return below −2%. Components compound, so they need not sum.</w:t>
      </w:r>
      <w:r>
        <w:t xml:space="preserve"> </w:t>
      </w:r>
      <w:r>
        <w:rPr>
          <w:iCs/>
          <w:i/>
        </w:rPr>
        <w:t xml:space="preserve">P</w:t>
      </w:r>
      <w:r>
        <w:t xml:space="preserve"> </w:t>
      </w:r>
      <w:r>
        <w:t xml:space="preserve">values are from the standard normal distribution (|</w:t>
      </w:r>
      <w:r>
        <w:rPr>
          <w:iCs/>
          <w:i/>
        </w:rPr>
        <w:t xml:space="preserve">t</w:t>
      </w:r>
      <w:r>
        <w:t xml:space="preserve">| ≥ 3.29 gives</w:t>
      </w:r>
      <w:r>
        <w:t xml:space="preserve"> </w:t>
      </w:r>
      <w:r>
        <w:rPr>
          <w:iCs/>
          <w:i/>
        </w:rPr>
        <w:t xml:space="preserve">P</w:t>
      </w:r>
      <w:r>
        <w:t xml:space="preserve"> </w:t>
      </w:r>
      <w:r>
        <w:t xml:space="preserve">≤ 0.001; |</w:t>
      </w:r>
      <w:r>
        <w:rPr>
          <w:iCs/>
          <w:i/>
        </w:rPr>
        <w:t xml:space="preserve">t</w:t>
      </w:r>
      <w:r>
        <w:t xml:space="preserve">| = 1.96 gives</w:t>
      </w:r>
      <w:r>
        <w:t xml:space="preserve"> </w:t>
      </w:r>
      <w:r>
        <w:rPr>
          <w:iCs/>
          <w:i/>
        </w:rPr>
        <w:t xml:space="preserve">P</w:t>
      </w:r>
      <w:r>
        <w:t xml:space="preserve"> </w:t>
      </w:r>
      <w:r>
        <w:t xml:space="preserve">= 0.05).</w:t>
      </w:r>
    </w:p>
    <w:p>
      <w:pPr>
        <w:pStyle w:val="BodyText"/>
        <w:spacing w:line="480" w:lineRule="auto" w:after="120"/>
        <w:jc w:val="both"/>
      </w:pPr>
      <w:r>
        <w:t xml:space="preserve">The ceiling gap holds for exact limit hits (2.79%) and for the first day of a streak of exact hits (2.39%). Near hits show a smaller gap (1.67%) and no reliable intraday return. However, their median day-</w:t>
      </w:r>
      <w:r>
        <w:rPr>
          <w:iCs/>
          <w:i/>
        </w:rPr>
        <w:t xml:space="preserve">d</w:t>
      </w:r>
      <w:r>
        <w:t xml:space="preserve"> </w:t>
      </w:r>
      <w:r>
        <w:t xml:space="preserve">return is 6.89%, almost the same as the 6.90% of exact hits, and 83% of their closes are not multiples of the tick size. This points to later price adjustment by the data vendor rather than to closes below the limit; the split is therefore weighted toward higher-priced stocks, where the tick is coarser, and we do not read the difference as a gradient toward the limit. The ceiling gap appears in both halves of the sample and on days locked at one price from open to close. It also appears in each tercile of the 60-day average dollar volume (1.52% in the most liquid tercile). Against same-date controls, the ceiling gap is 2.70%.</w:t>
      </w:r>
    </w:p>
    <w:p>
      <w:pPr>
        <w:pStyle w:val="BodyText"/>
        <w:spacing w:line="480" w:lineRule="auto" w:after="120"/>
        <w:jc w:val="both"/>
      </w:pPr>
      <w:r>
        <w:t xml:space="preserve">The floor effect is less robust. Against same-date controls the floor close-to-close return is −1.65%, so its size depends on the benchmark. Floor events also cluster on market-wide down days: excluding days on which the market fell by more than 2% removes 1,371 of the 2,111 floor events. The floor gap is not significant in the least liquid tercile (</w:t>
      </w:r>
      <w:r>
        <w:rPr>
          <w:iCs/>
          <w:i/>
        </w:rPr>
        <w:t xml:space="preserve">t</w:t>
      </w:r>
      <w:r>
        <w:t xml:space="preserve"> </w:t>
      </w:r>
      <w:r>
        <w:t xml:space="preserve">= −1.0,</w:t>
      </w:r>
      <w:r>
        <w:t xml:space="preserve"> </w:t>
      </w:r>
      <w:r>
        <w:rPr>
          <w:iCs/>
          <w:i/>
        </w:rPr>
        <w:t xml:space="preserve">P</w:t>
      </w:r>
      <w:r>
        <w:t xml:space="preserve"> </w:t>
      </w:r>
      <w:r>
        <w:t xml:space="preserve">= 0.317).</w:t>
      </w:r>
    </w:p>
    <w:p>
      <w:pPr>
        <w:pStyle w:val="BodyText"/>
        <w:spacing w:line="480" w:lineRule="auto" w:after="120"/>
        <w:jc w:val="both"/>
      </w:pPr>
      <w:r>
        <w:t xml:space="preserve">An outside buyer cannot capture the close-to-close continuation. A buyer who wants a stock at its ceiling joins a queue at the close, so the first obtainable price is the next open, which already contains the gap. From that open, the ceiling return through the fifth close is −0.75% against the market (</w:t>
      </w:r>
      <w:r>
        <w:rPr>
          <w:iCs/>
          <w:i/>
        </w:rPr>
        <w:t xml:space="preserve">t</w:t>
      </w:r>
      <w:r>
        <w:t xml:space="preserve"> </w:t>
      </w:r>
      <w:r>
        <w:t xml:space="preserve">= −2.7,</w:t>
      </w:r>
      <w:r>
        <w:t xml:space="preserve"> </w:t>
      </w:r>
      <w:r>
        <w:rPr>
          <w:iCs/>
          <w:i/>
        </w:rPr>
        <w:t xml:space="preserve">P</w:t>
      </w:r>
      <w:r>
        <w:t xml:space="preserve"> </w:t>
      </w:r>
      <w:r>
        <w:t xml:space="preserve">= 0.007) and −0.53% against same-date controls (</w:t>
      </w:r>
      <w:r>
        <w:rPr>
          <w:iCs/>
          <w:i/>
        </w:rPr>
        <w:t xml:space="preserve">t</w:t>
      </w:r>
      <w:r>
        <w:t xml:space="preserve"> </w:t>
      </w:r>
      <w:r>
        <w:t xml:space="preserve">= −1.8,</w:t>
      </w:r>
      <w:r>
        <w:t xml:space="preserve"> </w:t>
      </w:r>
      <w:r>
        <w:rPr>
          <w:iCs/>
          <w:i/>
        </w:rPr>
        <w:t xml:space="preserve">P</w:t>
      </w:r>
      <w:r>
        <w:t xml:space="preserve"> </w:t>
      </w:r>
      <w:r>
        <w:t xml:space="preserve">= 0.072), which supports H</w:t>
      </w:r>
      <w:r>
        <w:rPr>
          <w:vertAlign w:val="subscript"/>
        </w:rPr>
        <w:t xml:space="preserve">4</w:t>
      </w:r>
      <w:r>
        <w:t xml:space="preserve">; a holder who sells at the next open avoids the intraday giveback. These figures use quoted prices and ignore achievable fills: 522 ceiling events were locked at one price all day, and some of these stocks opened at the limit the next day, where a buyer may be rationed. After floor closes, prices fall a further 0.82% from the next open to the fifth close against the market (</w:t>
      </w:r>
      <w:r>
        <w:rPr>
          <w:iCs/>
          <w:i/>
        </w:rPr>
        <w:t xml:space="preserve">t</w:t>
      </w:r>
      <w:r>
        <w:t xml:space="preserve"> </w:t>
      </w:r>
      <w:r>
        <w:t xml:space="preserve">= −1.7,</w:t>
      </w:r>
      <w:r>
        <w:t xml:space="preserve"> </w:t>
      </w:r>
      <w:r>
        <w:rPr>
          <w:iCs/>
          <w:i/>
        </w:rPr>
        <w:t xml:space="preserve">P</w:t>
      </w:r>
      <w:r>
        <w:t xml:space="preserve"> </w:t>
      </w:r>
      <w:r>
        <w:t xml:space="preserve">= 0.089), which is not significant at the 5% level.</w:t>
      </w:r>
    </w:p>
    <w:p>
      <w:pPr>
        <w:pStyle w:val="Heading3"/>
        <w:jc w:val="left"/>
      </w:pPr>
      <w:r>
        <w:t xml:space="preserve">The gap breaks at the limit</w:t>
      </w:r>
    </w:p>
    <w:p>
      <w:pPr>
        <w:pStyle w:val="FirstParagraph"/>
        <w:spacing w:line="480" w:lineRule="auto" w:after="120"/>
        <w:jc w:val="both"/>
      </w:pPr>
      <w:r>
        <w:t xml:space="preserve">Fig 2 plots the three next-day measures against the size of the day-</w:t>
      </w:r>
      <w:r>
        <w:rPr>
          <w:iCs/>
          <w:i/>
        </w:rPr>
        <w:t xml:space="preserve">d</w:t>
      </w:r>
      <w:r>
        <w:t xml:space="preserve"> </w:t>
      </w:r>
      <w:r>
        <w:t xml:space="preserve">move. Inside the band, the close-to-close relation is negative, a short-term reversal. At the limit the relation breaks: the overnight gap jumps up at the ceiling and down at the floor. Table 3 quantifies the break. Ceiling closers have a gap 2.66 percentage points larger than stocks that rose 5% to 6.5% (</w:t>
      </w:r>
      <w:r>
        <w:rPr>
          <w:iCs/>
          <w:i/>
        </w:rPr>
        <w:t xml:space="preserve">t</w:t>
      </w:r>
      <w:r>
        <w:t xml:space="preserve"> </w:t>
      </w:r>
      <w:r>
        <w:t xml:space="preserve">= 14.0,</w:t>
      </w:r>
      <w:r>
        <w:t xml:space="preserve"> </w:t>
      </w:r>
      <w:r>
        <w:rPr>
          <w:iCs/>
          <w:i/>
        </w:rPr>
        <w:t xml:space="preserve">P</w:t>
      </w:r>
      <w:r>
        <w:t xml:space="preserve"> </w:t>
      </w:r>
      <w:r>
        <w:t xml:space="preserve">&lt; 0.001), and their intraday return is 0.31 points lower. Floor closers have a gap 1.59 points lower than stocks that fell 5% to 6.5% (</w:t>
      </w:r>
      <w:r>
        <w:rPr>
          <w:iCs/>
          <w:i/>
        </w:rPr>
        <w:t xml:space="preserve">t</w:t>
      </w:r>
      <w:r>
        <w:t xml:space="preserve"> </w:t>
      </w:r>
      <w:r>
        <w:t xml:space="preserve">= −9.7,</w:t>
      </w:r>
      <w:r>
        <w:t xml:space="preserve"> </w:t>
      </w:r>
      <w:r>
        <w:rPr>
          <w:iCs/>
          <w:i/>
        </w:rPr>
        <w:t xml:space="preserve">P</w:t>
      </w:r>
      <w:r>
        <w:t xml:space="preserve"> </w:t>
      </w:r>
      <w:r>
        <w:t xml:space="preserve">&lt; 0.001). Because the event rule requires a close at the day’s high (low), we repeat the comparison with stocks that also closed at their high (low). The ceiling gap is then 3.14 points larger (</w:t>
      </w:r>
      <w:r>
        <w:rPr>
          <w:iCs/>
          <w:i/>
        </w:rPr>
        <w:t xml:space="preserve">t</w:t>
      </w:r>
      <w:r>
        <w:t xml:space="preserve"> </w:t>
      </w:r>
      <w:r>
        <w:t xml:space="preserve">= 14.5,</w:t>
      </w:r>
      <w:r>
        <w:t xml:space="preserve"> </w:t>
      </w:r>
      <w:r>
        <w:rPr>
          <w:iCs/>
          <w:i/>
        </w:rPr>
        <w:t xml:space="preserve">P</w:t>
      </w:r>
      <w:r>
        <w:t xml:space="preserve"> </w:t>
      </w:r>
      <w:r>
        <w:t xml:space="preserve">&lt; 0.001), and the floor gap is 1.81 points lower (</w:t>
      </w:r>
      <w:r>
        <w:rPr>
          <w:iCs/>
          <w:i/>
        </w:rPr>
        <w:t xml:space="preserve">t</w:t>
      </w:r>
      <w:r>
        <w:t xml:space="preserve"> </w:t>
      </w:r>
      <w:r>
        <w:t xml:space="preserve">= −8.7,</w:t>
      </w:r>
      <w:r>
        <w:t xml:space="preserve"> </w:t>
      </w:r>
      <w:r>
        <w:rPr>
          <w:iCs/>
          <w:i/>
        </w:rPr>
        <w:t xml:space="preserve">P</w:t>
      </w:r>
      <w:r>
        <w:t xml:space="preserve"> </w:t>
      </w:r>
      <w:r>
        <w:t xml:space="preserve">&lt; 0.001). A strong close therefore does not explain the contrast, which supports H</w:t>
      </w:r>
      <w:r>
        <w:rPr>
          <w:vertAlign w:val="subscript"/>
        </w:rPr>
        <w:t xml:space="preserve">3</w:t>
      </w:r>
      <w:r>
        <w:t xml:space="preserve">. The comparison is an association around a rule-based threshold, not a regression-discontinuity design, and stocks that reach the limit may differ in news content.</w:t>
      </w:r>
    </w:p>
    <w:p>
      <w:pPr>
        <w:pStyle w:val="BodyText"/>
        <w:spacing w:line="480" w:lineRule="auto" w:after="120"/>
        <w:jc w:val="both"/>
      </w:pPr>
      <w:r>
        <w:rPr>
          <w:bCs/>
          <w:b/>
        </w:rPr>
        <w:t xml:space="preserve">Fig 2. Next-day abnormal return by the size of the day-</w:t>
      </w:r>
      <w:r>
        <w:rPr>
          <w:iCs/>
          <w:i/>
          <w:bCs/>
          <w:b/>
        </w:rPr>
        <w:t xml:space="preserve">d</w:t>
      </w:r>
      <w:r>
        <w:rPr>
          <w:bCs/>
          <w:b/>
        </w:rPr>
        <w:t xml:space="preserve"> </w:t>
      </w:r>
      <w:r>
        <w:rPr>
          <w:bCs/>
          <w:b/>
        </w:rPr>
        <w:t xml:space="preserve">move.</w:t>
      </w:r>
      <w:r>
        <w:t xml:space="preserve"> </w:t>
      </w:r>
      <w:r>
        <w:t xml:space="preserve">Panels show the overnight gap (a), the intraday return (b) and the close-to-close return (c). Circles show 1-point bins inside the band, triangles ceiling and floor closes, and squares other moves of 6.5% to 10%. Error bars are 95% confidence intervals clustered by date. Market weights are lagged to day</w:t>
      </w:r>
      <w:r>
        <w:t xml:space="preserve"> </w:t>
      </w:r>
      <w:r>
        <w:rPr>
          <w:iCs/>
          <w:i/>
        </w:rPr>
        <w:t xml:space="preserve">d</w:t>
      </w:r>
      <w:r>
        <w:t xml:space="preserve">.</w:t>
      </w:r>
    </w:p>
    <w:p>
      <w:pPr>
        <w:pStyle w:val="BodyText"/>
        <w:spacing w:line="480" w:lineRule="auto" w:after="120"/>
        <w:jc w:val="both"/>
      </w:pPr>
      <w:r>
        <w:rPr>
          <w:bCs/>
          <w:b/>
        </w:rPr>
        <w:t xml:space="preserve">Table 3.</w:t>
      </w:r>
      <w:r>
        <w:t xml:space="preserve"> </w:t>
      </w:r>
      <w:r>
        <w:t xml:space="preserve">Limit closes versus near-limit moves</w:t>
      </w:r>
    </w:p>
    <w:tbl>
      <w:tblPr>
        <w:tblStyle w:val="Table"/>
        <w:tblW w:type="pct" w:w="5000"/>
        <w:tblLayout w:type="fixed"/>
        <w:tblLook w:firstRow="1" w:lastRow="0" w:firstColumn="0" w:lastColumn="0" w:noHBand="0" w:noVBand="0" w:val="0020"/>
        <w:jc w:val="start"/>
      </w:tblPr>
      <w:tblGrid>
        <w:gridCol w:w="2105"/>
        <w:gridCol w:w="1295"/>
        <w:gridCol w:w="1295"/>
        <w:gridCol w:w="1376"/>
        <w:gridCol w:w="1295"/>
        <w:gridCol w:w="1700"/>
      </w:tblGrid>
      <w:tr>
        <w:trPr>
          <w:tblHeader w:val="true"/>
        </w:trPr>
        <w:tc>
          <w:tcPr>
            <w:tcW w:type="dxa" w:w="2106"/>
            <w:tcBorders>
              <w:top w:val="single" w:sz="6" w:space="0" w:color="000000"/>
              <w:bottom w:val="single" w:sz="6" w:space="0" w:color="000000"/>
            </w:tcBorders>
          </w:tcPr>
          <w:p>
            <w:pPr>
              <w:pStyle w:val="Compact"/>
              <w:spacing w:line="240" w:lineRule="auto" w:after="20"/>
              <w:jc w:val="left"/>
            </w:pPr>
            <w:r>
              <w:rPr>
                <w:b/>
                <w:sz w:val="17"/>
              </w:rPr>
              <w:t xml:space="preserve">Contrast</w:t>
            </w:r>
          </w:p>
        </w:tc>
        <w:tc>
          <w:tcPr>
            <w:tcW w:type="dxa" w:w="1296"/>
            <w:tcBorders>
              <w:top w:val="single" w:sz="6" w:space="0" w:color="000000"/>
              <w:bottom w:val="single" w:sz="6" w:space="0" w:color="000000"/>
            </w:tcBorders>
          </w:tcPr>
          <w:p>
            <w:pPr>
              <w:pStyle w:val="Compact"/>
              <w:spacing w:line="240" w:lineRule="auto" w:after="20"/>
              <w:jc w:val="center"/>
            </w:pPr>
            <w:r>
              <w:rPr>
                <w:b/>
                <w:sz w:val="17"/>
              </w:rPr>
              <w:t xml:space="preserve">Overnight gap</w:t>
            </w:r>
          </w:p>
        </w:tc>
        <w:tc>
          <w:tcPr>
            <w:tcW w:type="dxa" w:w="1296"/>
            <w:tcBorders>
              <w:top w:val="single" w:sz="6" w:space="0" w:color="000000"/>
              <w:bottom w:val="single" w:sz="6" w:space="0" w:color="000000"/>
            </w:tcBorders>
          </w:tcPr>
          <w:p>
            <w:pPr>
              <w:pStyle w:val="Compact"/>
              <w:spacing w:line="240" w:lineRule="auto" w:after="20"/>
              <w:jc w:val="center"/>
            </w:pPr>
            <w:r>
              <w:rPr>
                <w:b/>
                <w:sz w:val="17"/>
              </w:rPr>
              <w:t xml:space="preserve">Intraday</w:t>
            </w:r>
          </w:p>
        </w:tc>
        <w:tc>
          <w:tcPr>
            <w:tcW w:type="dxa" w:w="1377"/>
            <w:tcBorders>
              <w:top w:val="single" w:sz="6" w:space="0" w:color="000000"/>
              <w:bottom w:val="single" w:sz="6" w:space="0" w:color="000000"/>
            </w:tcBorders>
          </w:tcPr>
          <w:p>
            <w:pPr>
              <w:pStyle w:val="Compact"/>
              <w:spacing w:line="240" w:lineRule="auto" w:after="20"/>
              <w:jc w:val="center"/>
            </w:pPr>
            <w:r>
              <w:rPr>
                <w:b/>
                <w:sz w:val="17"/>
              </w:rPr>
              <w:t xml:space="preserve">Close-to-close</w:t>
            </w:r>
          </w:p>
        </w:tc>
        <w:tc>
          <w:tcPr>
            <w:tcW w:type="dxa" w:w="1296"/>
            <w:tcBorders>
              <w:top w:val="single" w:sz="6" w:space="0" w:color="000000"/>
              <w:bottom w:val="single" w:sz="6" w:space="0" w:color="000000"/>
            </w:tcBorders>
          </w:tcPr>
          <w:p>
            <w:pPr>
              <w:pStyle w:val="Compact"/>
              <w:spacing w:line="240" w:lineRule="auto" w:after="20"/>
              <w:jc w:val="center"/>
            </w:pPr>
            <w:r>
              <w:rPr>
                <w:b/>
                <w:sz w:val="17"/>
              </w:rPr>
              <w:t xml:space="preserve">Open to day</w:t>
            </w:r>
            <w:r>
              <w:rPr>
                <w:b/>
                <w:sz w:val="17"/>
              </w:rPr>
              <w:t xml:space="preserve"> </w:t>
            </w:r>
            <w:r>
              <w:rPr>
                <w:iCs/>
                <w:b/>
                <w:i/>
                <w:sz w:val="17"/>
              </w:rPr>
              <w:t xml:space="preserve">d</w:t>
            </w:r>
            <w:r>
              <w:rPr>
                <w:b/>
                <w:sz w:val="17"/>
              </w:rPr>
              <w:t xml:space="preserve">+5</w:t>
            </w:r>
          </w:p>
        </w:tc>
        <w:tc>
          <w:tcPr>
            <w:tcW w:type="dxa" w:w="1701"/>
            <w:tcBorders>
              <w:top w:val="single" w:sz="6" w:space="0" w:color="000000"/>
              <w:bottom w:val="single" w:sz="6" w:space="0" w:color="000000"/>
            </w:tcBorders>
          </w:tcPr>
          <w:p>
            <w:pPr>
              <w:pStyle w:val="Compact"/>
              <w:spacing w:line="240" w:lineRule="auto" w:after="20"/>
              <w:jc w:val="center"/>
            </w:pPr>
            <w:r>
              <w:rPr>
                <w:b/>
                <w:sz w:val="17"/>
              </w:rPr>
              <w:t xml:space="preserve">Comparison stock-days</w:t>
            </w:r>
          </w:p>
        </w:tc>
      </w:tr>
      <w:tr>
        <w:tc>
          <w:tcPr>
            <w:tcW w:type="dxa" w:w="2106"/>
          </w:tcPr>
          <w:p>
            <w:pPr>
              <w:pStyle w:val="Compact"/>
              <w:spacing w:line="240" w:lineRule="auto" w:after="20"/>
              <w:jc w:val="left"/>
            </w:pPr>
            <w:r>
              <w:rPr>
                <w:sz w:val="17"/>
              </w:rPr>
              <w:t xml:space="preserve">Ceiling vs 5–6.5% rises</w:t>
            </w:r>
          </w:p>
        </w:tc>
        <w:tc>
          <w:tcPr>
            <w:tcW w:type="dxa" w:w="1296"/>
          </w:tcPr>
          <w:p>
            <w:pPr>
              <w:pStyle w:val="Compact"/>
              <w:spacing w:line="240" w:lineRule="auto" w:after="20"/>
              <w:jc w:val="center"/>
            </w:pPr>
            <w:r>
              <w:rPr>
                <w:sz w:val="17"/>
              </w:rPr>
              <w:t xml:space="preserve">2.66 (14.0)</w:t>
            </w:r>
          </w:p>
        </w:tc>
        <w:tc>
          <w:tcPr>
            <w:tcW w:type="dxa" w:w="1296"/>
          </w:tcPr>
          <w:p>
            <w:pPr>
              <w:pStyle w:val="Compact"/>
              <w:spacing w:line="240" w:lineRule="auto" w:after="20"/>
              <w:jc w:val="center"/>
            </w:pPr>
            <w:r>
              <w:rPr>
                <w:sz w:val="17"/>
              </w:rPr>
              <w:t xml:space="preserve">−0.31 (−2.1)</w:t>
            </w:r>
          </w:p>
        </w:tc>
        <w:tc>
          <w:tcPr>
            <w:tcW w:type="dxa" w:w="1377"/>
          </w:tcPr>
          <w:p>
            <w:pPr>
              <w:pStyle w:val="Compact"/>
              <w:spacing w:line="240" w:lineRule="auto" w:after="20"/>
              <w:jc w:val="center"/>
            </w:pPr>
            <w:r>
              <w:rPr>
                <w:sz w:val="17"/>
              </w:rPr>
              <w:t xml:space="preserve">2.32 (7.6)</w:t>
            </w:r>
          </w:p>
        </w:tc>
        <w:tc>
          <w:tcPr>
            <w:tcW w:type="dxa" w:w="1296"/>
          </w:tcPr>
          <w:p>
            <w:pPr>
              <w:pStyle w:val="Compact"/>
              <w:spacing w:line="240" w:lineRule="auto" w:after="20"/>
              <w:jc w:val="center"/>
            </w:pPr>
            <w:r>
              <w:rPr>
                <w:sz w:val="17"/>
              </w:rPr>
              <w:t xml:space="preserve">−0.02 (−0.1)</w:t>
            </w:r>
          </w:p>
        </w:tc>
        <w:tc>
          <w:tcPr>
            <w:tcW w:type="dxa" w:w="1701"/>
          </w:tcPr>
          <w:p>
            <w:pPr>
              <w:pStyle w:val="Compact"/>
              <w:spacing w:line="240" w:lineRule="auto" w:after="20"/>
              <w:jc w:val="center"/>
            </w:pPr>
            <w:r>
              <w:rPr>
                <w:sz w:val="17"/>
              </w:rPr>
              <w:t xml:space="preserve">1,751</w:t>
            </w:r>
          </w:p>
        </w:tc>
      </w:tr>
      <w:tr>
        <w:tc>
          <w:tcPr>
            <w:tcW w:type="dxa" w:w="2106"/>
          </w:tcPr>
          <w:p>
            <w:pPr>
              <w:pStyle w:val="Compact"/>
              <w:spacing w:line="240" w:lineRule="auto" w:after="20"/>
              <w:jc w:val="left"/>
            </w:pPr>
            <w:r>
              <w:rPr>
                <w:sz w:val="17"/>
              </w:rPr>
              <w:t xml:space="preserve">same, comparison closes at its high</w:t>
            </w:r>
          </w:p>
        </w:tc>
        <w:tc>
          <w:tcPr>
            <w:tcW w:type="dxa" w:w="1296"/>
          </w:tcPr>
          <w:p>
            <w:pPr>
              <w:pStyle w:val="Compact"/>
              <w:spacing w:line="240" w:lineRule="auto" w:after="20"/>
              <w:jc w:val="center"/>
            </w:pPr>
            <w:r>
              <w:rPr>
                <w:sz w:val="17"/>
              </w:rPr>
              <w:t xml:space="preserve">3.14 (14.5)</w:t>
            </w:r>
          </w:p>
        </w:tc>
        <w:tc>
          <w:tcPr>
            <w:tcW w:type="dxa" w:w="1296"/>
          </w:tcPr>
          <w:p>
            <w:pPr>
              <w:pStyle w:val="Compact"/>
              <w:spacing w:line="240" w:lineRule="auto" w:after="20"/>
              <w:jc w:val="center"/>
            </w:pPr>
            <w:r>
              <w:rPr>
                <w:sz w:val="17"/>
              </w:rPr>
              <w:t xml:space="preserve">−0.66 (−3.4)</w:t>
            </w:r>
          </w:p>
        </w:tc>
        <w:tc>
          <w:tcPr>
            <w:tcW w:type="dxa" w:w="1377"/>
          </w:tcPr>
          <w:p>
            <w:pPr>
              <w:pStyle w:val="Compact"/>
              <w:spacing w:line="240" w:lineRule="auto" w:after="20"/>
              <w:jc w:val="center"/>
            </w:pPr>
            <w:r>
              <w:rPr>
                <w:sz w:val="17"/>
              </w:rPr>
              <w:t xml:space="preserve">2.47 (7.2)</w:t>
            </w:r>
          </w:p>
        </w:tc>
        <w:tc>
          <w:tcPr>
            <w:tcW w:type="dxa" w:w="1296"/>
          </w:tcPr>
          <w:p>
            <w:pPr>
              <w:pStyle w:val="Compact"/>
              <w:spacing w:line="240" w:lineRule="auto" w:after="20"/>
              <w:jc w:val="center"/>
            </w:pPr>
            <w:r>
              <w:rPr>
                <w:sz w:val="17"/>
              </w:rPr>
              <w:t xml:space="preserve">−0.49 (−1.5)</w:t>
            </w:r>
          </w:p>
        </w:tc>
        <w:tc>
          <w:tcPr>
            <w:tcW w:type="dxa" w:w="1701"/>
          </w:tcPr>
          <w:p>
            <w:pPr>
              <w:pStyle w:val="Compact"/>
              <w:spacing w:line="240" w:lineRule="auto" w:after="20"/>
              <w:jc w:val="center"/>
            </w:pPr>
            <w:r>
              <w:rPr>
                <w:sz w:val="17"/>
              </w:rPr>
              <w:t xml:space="preserve">679</w:t>
            </w:r>
          </w:p>
        </w:tc>
      </w:tr>
      <w:tr>
        <w:tc>
          <w:tcPr>
            <w:tcW w:type="dxa" w:w="2106"/>
          </w:tcPr>
          <w:p>
            <w:pPr>
              <w:pStyle w:val="Compact"/>
              <w:spacing w:line="240" w:lineRule="auto" w:after="20"/>
              <w:jc w:val="left"/>
            </w:pPr>
            <w:r>
              <w:rPr>
                <w:sz w:val="17"/>
              </w:rPr>
              <w:t xml:space="preserve">Ceiling vs 3–5% rises</w:t>
            </w:r>
          </w:p>
        </w:tc>
        <w:tc>
          <w:tcPr>
            <w:tcW w:type="dxa" w:w="1296"/>
          </w:tcPr>
          <w:p>
            <w:pPr>
              <w:pStyle w:val="Compact"/>
              <w:spacing w:line="240" w:lineRule="auto" w:after="20"/>
              <w:jc w:val="center"/>
            </w:pPr>
            <w:r>
              <w:rPr>
                <w:sz w:val="17"/>
              </w:rPr>
              <w:t xml:space="preserve">2.40 (11.6)</w:t>
            </w:r>
          </w:p>
        </w:tc>
        <w:tc>
          <w:tcPr>
            <w:tcW w:type="dxa" w:w="1296"/>
          </w:tcPr>
          <w:p>
            <w:pPr>
              <w:pStyle w:val="Compact"/>
              <w:spacing w:line="240" w:lineRule="auto" w:after="20"/>
              <w:jc w:val="center"/>
            </w:pPr>
            <w:r>
              <w:rPr>
                <w:sz w:val="17"/>
              </w:rPr>
              <w:t xml:space="preserve">−0.32 (−2.2)</w:t>
            </w:r>
          </w:p>
        </w:tc>
        <w:tc>
          <w:tcPr>
            <w:tcW w:type="dxa" w:w="1377"/>
          </w:tcPr>
          <w:p>
            <w:pPr>
              <w:pStyle w:val="Compact"/>
              <w:spacing w:line="240" w:lineRule="auto" w:after="20"/>
              <w:jc w:val="center"/>
            </w:pPr>
            <w:r>
              <w:rPr>
                <w:sz w:val="17"/>
              </w:rPr>
              <w:t xml:space="preserve">2.05 (6.1)</w:t>
            </w:r>
          </w:p>
        </w:tc>
        <w:tc>
          <w:tcPr>
            <w:tcW w:type="dxa" w:w="1296"/>
          </w:tcPr>
          <w:p>
            <w:pPr>
              <w:pStyle w:val="Compact"/>
              <w:spacing w:line="240" w:lineRule="auto" w:after="20"/>
              <w:jc w:val="center"/>
            </w:pPr>
            <w:r>
              <w:rPr>
                <w:sz w:val="17"/>
              </w:rPr>
              <w:t xml:space="preserve">−0.45 (−2.2)</w:t>
            </w:r>
          </w:p>
        </w:tc>
        <w:tc>
          <w:tcPr>
            <w:tcW w:type="dxa" w:w="1701"/>
          </w:tcPr>
          <w:p>
            <w:pPr>
              <w:pStyle w:val="Compact"/>
              <w:spacing w:line="240" w:lineRule="auto" w:after="20"/>
              <w:jc w:val="center"/>
            </w:pPr>
            <w:r>
              <w:rPr>
                <w:sz w:val="17"/>
              </w:rPr>
              <w:t xml:space="preserve">5,932</w:t>
            </w:r>
          </w:p>
        </w:tc>
      </w:tr>
      <w:tr>
        <w:tc>
          <w:tcPr>
            <w:tcW w:type="dxa" w:w="2106"/>
          </w:tcPr>
          <w:p>
            <w:pPr>
              <w:pStyle w:val="Compact"/>
              <w:spacing w:line="240" w:lineRule="auto" w:after="20"/>
              <w:jc w:val="left"/>
            </w:pPr>
            <w:r>
              <w:rPr>
                <w:sz w:val="17"/>
              </w:rPr>
              <w:t xml:space="preserve">same, comparison closes at its high</w:t>
            </w:r>
          </w:p>
        </w:tc>
        <w:tc>
          <w:tcPr>
            <w:tcW w:type="dxa" w:w="1296"/>
          </w:tcPr>
          <w:p>
            <w:pPr>
              <w:pStyle w:val="Compact"/>
              <w:spacing w:line="240" w:lineRule="auto" w:after="20"/>
              <w:jc w:val="center"/>
            </w:pPr>
            <w:r>
              <w:rPr>
                <w:sz w:val="17"/>
              </w:rPr>
              <w:t xml:space="preserve">2.81 (13.1)</w:t>
            </w:r>
          </w:p>
        </w:tc>
        <w:tc>
          <w:tcPr>
            <w:tcW w:type="dxa" w:w="1296"/>
          </w:tcPr>
          <w:p>
            <w:pPr>
              <w:pStyle w:val="Compact"/>
              <w:spacing w:line="240" w:lineRule="auto" w:after="20"/>
              <w:jc w:val="center"/>
            </w:pPr>
            <w:r>
              <w:rPr>
                <w:sz w:val="17"/>
              </w:rPr>
              <w:t xml:space="preserve">−0.61 (−3.8)</w:t>
            </w:r>
          </w:p>
        </w:tc>
        <w:tc>
          <w:tcPr>
            <w:tcW w:type="dxa" w:w="1377"/>
          </w:tcPr>
          <w:p>
            <w:pPr>
              <w:pStyle w:val="Compact"/>
              <w:spacing w:line="240" w:lineRule="auto" w:after="20"/>
              <w:jc w:val="center"/>
            </w:pPr>
            <w:r>
              <w:rPr>
                <w:sz w:val="17"/>
              </w:rPr>
              <w:t xml:space="preserve">2.17 (6.4)</w:t>
            </w:r>
          </w:p>
        </w:tc>
        <w:tc>
          <w:tcPr>
            <w:tcW w:type="dxa" w:w="1296"/>
          </w:tcPr>
          <w:p>
            <w:pPr>
              <w:pStyle w:val="Compact"/>
              <w:spacing w:line="240" w:lineRule="auto" w:after="20"/>
              <w:jc w:val="center"/>
            </w:pPr>
            <w:r>
              <w:rPr>
                <w:sz w:val="17"/>
              </w:rPr>
              <w:t xml:space="preserve">−0.64 (−2.7)</w:t>
            </w:r>
          </w:p>
        </w:tc>
        <w:tc>
          <w:tcPr>
            <w:tcW w:type="dxa" w:w="1701"/>
          </w:tcPr>
          <w:p>
            <w:pPr>
              <w:pStyle w:val="Compact"/>
              <w:spacing w:line="240" w:lineRule="auto" w:after="20"/>
              <w:jc w:val="center"/>
            </w:pPr>
            <w:r>
              <w:rPr>
                <w:sz w:val="17"/>
              </w:rPr>
              <w:t xml:space="preserve">1,795</w:t>
            </w:r>
          </w:p>
        </w:tc>
      </w:tr>
      <w:tr>
        <w:tc>
          <w:tcPr>
            <w:tcW w:type="dxa" w:w="2106"/>
          </w:tcPr>
          <w:p>
            <w:pPr>
              <w:pStyle w:val="Compact"/>
              <w:spacing w:line="240" w:lineRule="auto" w:after="20"/>
              <w:jc w:val="left"/>
            </w:pPr>
            <w:r>
              <w:rPr>
                <w:sz w:val="17"/>
              </w:rPr>
              <w:t xml:space="preserve">Floor vs 5–6.5% falls</w:t>
            </w:r>
          </w:p>
        </w:tc>
        <w:tc>
          <w:tcPr>
            <w:tcW w:type="dxa" w:w="1296"/>
          </w:tcPr>
          <w:p>
            <w:pPr>
              <w:pStyle w:val="Compact"/>
              <w:spacing w:line="240" w:lineRule="auto" w:after="20"/>
              <w:jc w:val="center"/>
            </w:pPr>
            <w:r>
              <w:rPr>
                <w:sz w:val="17"/>
              </w:rPr>
              <w:t xml:space="preserve">−1.59 (−9.7)</w:t>
            </w:r>
          </w:p>
        </w:tc>
        <w:tc>
          <w:tcPr>
            <w:tcW w:type="dxa" w:w="1296"/>
          </w:tcPr>
          <w:p>
            <w:pPr>
              <w:pStyle w:val="Compact"/>
              <w:spacing w:line="240" w:lineRule="auto" w:after="20"/>
              <w:jc w:val="center"/>
            </w:pPr>
            <w:r>
              <w:rPr>
                <w:sz w:val="17"/>
              </w:rPr>
              <w:t xml:space="preserve">−0.07 (−0.3)</w:t>
            </w:r>
          </w:p>
        </w:tc>
        <w:tc>
          <w:tcPr>
            <w:tcW w:type="dxa" w:w="1377"/>
          </w:tcPr>
          <w:p>
            <w:pPr>
              <w:pStyle w:val="Compact"/>
              <w:spacing w:line="240" w:lineRule="auto" w:after="20"/>
              <w:jc w:val="center"/>
            </w:pPr>
            <w:r>
              <w:rPr>
                <w:sz w:val="17"/>
              </w:rPr>
              <w:t xml:space="preserve">−1.66 (−11.6)</w:t>
            </w:r>
          </w:p>
        </w:tc>
        <w:tc>
          <w:tcPr>
            <w:tcW w:type="dxa" w:w="1296"/>
          </w:tcPr>
          <w:p>
            <w:pPr>
              <w:pStyle w:val="Compact"/>
              <w:spacing w:line="240" w:lineRule="auto" w:after="20"/>
              <w:jc w:val="center"/>
            </w:pPr>
            <w:r>
              <w:rPr>
                <w:sz w:val="17"/>
              </w:rPr>
              <w:t xml:space="preserve">−1.01 (−2.6)</w:t>
            </w:r>
          </w:p>
        </w:tc>
        <w:tc>
          <w:tcPr>
            <w:tcW w:type="dxa" w:w="1701"/>
          </w:tcPr>
          <w:p>
            <w:pPr>
              <w:pStyle w:val="Compact"/>
              <w:spacing w:line="240" w:lineRule="auto" w:after="20"/>
              <w:jc w:val="center"/>
            </w:pPr>
            <w:r>
              <w:rPr>
                <w:sz w:val="17"/>
              </w:rPr>
              <w:t xml:space="preserve">1,522</w:t>
            </w:r>
          </w:p>
        </w:tc>
      </w:tr>
      <w:tr>
        <w:tc>
          <w:tcPr>
            <w:tcW w:type="dxa" w:w="2106"/>
          </w:tcPr>
          <w:p>
            <w:pPr>
              <w:pStyle w:val="Compact"/>
              <w:spacing w:line="240" w:lineRule="auto" w:after="20"/>
              <w:jc w:val="left"/>
            </w:pPr>
            <w:r>
              <w:rPr>
                <w:sz w:val="17"/>
              </w:rPr>
              <w:t xml:space="preserve">same, comparison closes at its low</w:t>
            </w:r>
          </w:p>
        </w:tc>
        <w:tc>
          <w:tcPr>
            <w:tcW w:type="dxa" w:w="1296"/>
          </w:tcPr>
          <w:p>
            <w:pPr>
              <w:pStyle w:val="Compact"/>
              <w:spacing w:line="240" w:lineRule="auto" w:after="20"/>
              <w:jc w:val="center"/>
            </w:pPr>
            <w:r>
              <w:rPr>
                <w:sz w:val="17"/>
              </w:rPr>
              <w:t xml:space="preserve">−1.81 (−8.7)</w:t>
            </w:r>
          </w:p>
        </w:tc>
        <w:tc>
          <w:tcPr>
            <w:tcW w:type="dxa" w:w="1296"/>
          </w:tcPr>
          <w:p>
            <w:pPr>
              <w:pStyle w:val="Compact"/>
              <w:spacing w:line="240" w:lineRule="auto" w:after="20"/>
              <w:jc w:val="center"/>
            </w:pPr>
            <w:r>
              <w:rPr>
                <w:sz w:val="17"/>
              </w:rPr>
              <w:t xml:space="preserve">−0.13 (−0.6)</w:t>
            </w:r>
          </w:p>
        </w:tc>
        <w:tc>
          <w:tcPr>
            <w:tcW w:type="dxa" w:w="1377"/>
          </w:tcPr>
          <w:p>
            <w:pPr>
              <w:pStyle w:val="Compact"/>
              <w:spacing w:line="240" w:lineRule="auto" w:after="20"/>
              <w:jc w:val="center"/>
            </w:pPr>
            <w:r>
              <w:rPr>
                <w:sz w:val="17"/>
              </w:rPr>
              <w:t xml:space="preserve">−1.95 (−10.7)</w:t>
            </w:r>
          </w:p>
        </w:tc>
        <w:tc>
          <w:tcPr>
            <w:tcW w:type="dxa" w:w="1296"/>
          </w:tcPr>
          <w:p>
            <w:pPr>
              <w:pStyle w:val="Compact"/>
              <w:spacing w:line="240" w:lineRule="auto" w:after="20"/>
              <w:jc w:val="center"/>
            </w:pPr>
            <w:r>
              <w:rPr>
                <w:sz w:val="17"/>
              </w:rPr>
              <w:t xml:space="preserve">−1.23 (−2.8)</w:t>
            </w:r>
          </w:p>
        </w:tc>
        <w:tc>
          <w:tcPr>
            <w:tcW w:type="dxa" w:w="1701"/>
          </w:tcPr>
          <w:p>
            <w:pPr>
              <w:pStyle w:val="Compact"/>
              <w:spacing w:line="240" w:lineRule="auto" w:after="20"/>
              <w:jc w:val="center"/>
            </w:pPr>
            <w:r>
              <w:rPr>
                <w:sz w:val="17"/>
              </w:rPr>
              <w:t xml:space="preserve">722</w:t>
            </w:r>
          </w:p>
        </w:tc>
      </w:tr>
      <w:tr>
        <w:tc>
          <w:tcPr>
            <w:tcW w:type="dxa" w:w="2106"/>
          </w:tcPr>
          <w:p>
            <w:pPr>
              <w:pStyle w:val="Compact"/>
              <w:spacing w:line="240" w:lineRule="auto" w:after="20"/>
              <w:jc w:val="left"/>
            </w:pPr>
            <w:r>
              <w:rPr>
                <w:sz w:val="17"/>
              </w:rPr>
              <w:t xml:space="preserve">Floor vs 3–5% falls</w:t>
            </w:r>
          </w:p>
        </w:tc>
        <w:tc>
          <w:tcPr>
            <w:tcW w:type="dxa" w:w="1296"/>
          </w:tcPr>
          <w:p>
            <w:pPr>
              <w:pStyle w:val="Compact"/>
              <w:spacing w:line="240" w:lineRule="auto" w:after="20"/>
              <w:jc w:val="center"/>
            </w:pPr>
            <w:r>
              <w:rPr>
                <w:sz w:val="17"/>
              </w:rPr>
              <w:t xml:space="preserve">−1.14 (−6.4)</w:t>
            </w:r>
          </w:p>
        </w:tc>
        <w:tc>
          <w:tcPr>
            <w:tcW w:type="dxa" w:w="1296"/>
          </w:tcPr>
          <w:p>
            <w:pPr>
              <w:pStyle w:val="Compact"/>
              <w:spacing w:line="240" w:lineRule="auto" w:after="20"/>
              <w:jc w:val="center"/>
            </w:pPr>
            <w:r>
              <w:rPr>
                <w:sz w:val="17"/>
              </w:rPr>
              <w:t xml:space="preserve">0.14 (0.6)</w:t>
            </w:r>
          </w:p>
        </w:tc>
        <w:tc>
          <w:tcPr>
            <w:tcW w:type="dxa" w:w="1377"/>
          </w:tcPr>
          <w:p>
            <w:pPr>
              <w:pStyle w:val="Compact"/>
              <w:spacing w:line="240" w:lineRule="auto" w:after="20"/>
              <w:jc w:val="center"/>
            </w:pPr>
            <w:r>
              <w:rPr>
                <w:sz w:val="17"/>
              </w:rPr>
              <w:t xml:space="preserve">−1.01 (−7.5)</w:t>
            </w:r>
          </w:p>
        </w:tc>
        <w:tc>
          <w:tcPr>
            <w:tcW w:type="dxa" w:w="1296"/>
          </w:tcPr>
          <w:p>
            <w:pPr>
              <w:pStyle w:val="Compact"/>
              <w:spacing w:line="240" w:lineRule="auto" w:after="20"/>
              <w:jc w:val="center"/>
            </w:pPr>
            <w:r>
              <w:rPr>
                <w:sz w:val="17"/>
              </w:rPr>
              <w:t xml:space="preserve">−0.90 (−2.2)</w:t>
            </w:r>
          </w:p>
        </w:tc>
        <w:tc>
          <w:tcPr>
            <w:tcW w:type="dxa" w:w="1701"/>
          </w:tcPr>
          <w:p>
            <w:pPr>
              <w:pStyle w:val="Compact"/>
              <w:spacing w:line="240" w:lineRule="auto" w:after="20"/>
              <w:jc w:val="center"/>
            </w:pPr>
            <w:r>
              <w:rPr>
                <w:sz w:val="17"/>
              </w:rPr>
              <w:t xml:space="preserve">5,237</w:t>
            </w:r>
          </w:p>
        </w:tc>
      </w:tr>
      <w:tr>
        <w:tc>
          <w:tcPr>
            <w:tcW w:type="dxa" w:w="2106"/>
            <w:tcBorders>
              <w:bottom w:val="single" w:sz="6" w:space="0" w:color="000000"/>
            </w:tcBorders>
          </w:tcPr>
          <w:p>
            <w:pPr>
              <w:pStyle w:val="Compact"/>
              <w:spacing w:line="240" w:lineRule="auto" w:after="20"/>
              <w:jc w:val="left"/>
            </w:pPr>
            <w:r>
              <w:rPr>
                <w:sz w:val="17"/>
              </w:rPr>
              <w:t xml:space="preserve">same, comparison closes at its low</w:t>
            </w:r>
          </w:p>
        </w:tc>
        <w:tc>
          <w:tcPr>
            <w:tcW w:type="dxa" w:w="1296"/>
            <w:tcBorders>
              <w:bottom w:val="single" w:sz="6" w:space="0" w:color="000000"/>
            </w:tcBorders>
          </w:tcPr>
          <w:p>
            <w:pPr>
              <w:pStyle w:val="Compact"/>
              <w:spacing w:line="240" w:lineRule="auto" w:after="20"/>
              <w:jc w:val="center"/>
            </w:pPr>
            <w:r>
              <w:rPr>
                <w:sz w:val="17"/>
              </w:rPr>
              <w:t xml:space="preserve">−1.35 (−7.4)</w:t>
            </w:r>
          </w:p>
        </w:tc>
        <w:tc>
          <w:tcPr>
            <w:tcW w:type="dxa" w:w="1296"/>
            <w:tcBorders>
              <w:bottom w:val="single" w:sz="6" w:space="0" w:color="000000"/>
            </w:tcBorders>
          </w:tcPr>
          <w:p>
            <w:pPr>
              <w:pStyle w:val="Compact"/>
              <w:spacing w:line="240" w:lineRule="auto" w:after="20"/>
              <w:jc w:val="center"/>
            </w:pPr>
            <w:r>
              <w:rPr>
                <w:sz w:val="17"/>
              </w:rPr>
              <w:t xml:space="preserve">0.18 (0.8)</w:t>
            </w:r>
          </w:p>
        </w:tc>
        <w:tc>
          <w:tcPr>
            <w:tcW w:type="dxa" w:w="1377"/>
            <w:tcBorders>
              <w:bottom w:val="single" w:sz="6" w:space="0" w:color="000000"/>
            </w:tcBorders>
          </w:tcPr>
          <w:p>
            <w:pPr>
              <w:pStyle w:val="Compact"/>
              <w:spacing w:line="240" w:lineRule="auto" w:after="20"/>
              <w:jc w:val="center"/>
            </w:pPr>
            <w:r>
              <w:rPr>
                <w:sz w:val="17"/>
              </w:rPr>
              <w:t xml:space="preserve">−1.19 (−8.0)</w:t>
            </w:r>
          </w:p>
        </w:tc>
        <w:tc>
          <w:tcPr>
            <w:tcW w:type="dxa" w:w="1296"/>
            <w:tcBorders>
              <w:bottom w:val="single" w:sz="6" w:space="0" w:color="000000"/>
            </w:tcBorders>
          </w:tcPr>
          <w:p>
            <w:pPr>
              <w:pStyle w:val="Compact"/>
              <w:spacing w:line="240" w:lineRule="auto" w:after="20"/>
              <w:jc w:val="center"/>
            </w:pPr>
            <w:r>
              <w:rPr>
                <w:sz w:val="17"/>
              </w:rPr>
              <w:t xml:space="preserve">−1.06 (−2.5)</w:t>
            </w:r>
          </w:p>
        </w:tc>
        <w:tc>
          <w:tcPr>
            <w:tcW w:type="dxa" w:w="1701"/>
            <w:tcBorders>
              <w:bottom w:val="single" w:sz="6" w:space="0" w:color="000000"/>
            </w:tcBorders>
          </w:tcPr>
          <w:p>
            <w:pPr>
              <w:pStyle w:val="Compact"/>
              <w:spacing w:line="240" w:lineRule="auto" w:after="20"/>
              <w:jc w:val="center"/>
            </w:pPr>
            <w:r>
              <w:rPr>
                <w:sz w:val="17"/>
              </w:rPr>
              <w:t xml:space="preserve">2,228</w:t>
            </w:r>
          </w:p>
        </w:tc>
      </w:tr>
    </w:tbl>
    <w:p>
      <w:pPr>
        <w:pStyle w:val="BodyText"/>
        <w:spacing w:line="480" w:lineRule="auto" w:after="120"/>
        <w:jc w:val="both"/>
      </w:pPr>
      <w:r>
        <w:rPr>
          <w:iCs/>
          <w:i/>
        </w:rPr>
        <w:t xml:space="preserve">Note.</w:t>
      </w:r>
      <w:r>
        <w:t xml:space="preserve"> </w:t>
      </w:r>
      <w:r>
        <w:t xml:space="preserve">Differences in percentage points from same-direction moves of 3–5% or 5–6.5% that did not close at the limit; market-adjusted returns; date-clustered</w:t>
      </w:r>
      <w:r>
        <w:t xml:space="preserve"> </w:t>
      </w:r>
      <w:r>
        <w:rPr>
          <w:iCs/>
          <w:i/>
        </w:rPr>
        <w:t xml:space="preserve">t</w:t>
      </w:r>
      <w:r>
        <w:t xml:space="preserve">-statistics in parentheses.</w:t>
      </w:r>
      <w:r>
        <w:t xml:space="preserve"> </w:t>
      </w:r>
      <w:r>
        <w:rPr>
          <w:iCs/>
          <w:i/>
        </w:rPr>
        <w:t xml:space="preserve">P</w:t>
      </w:r>
      <w:r>
        <w:t xml:space="preserve"> </w:t>
      </w:r>
      <w:r>
        <w:t xml:space="preserve">values are from the standard normal distribution (|</w:t>
      </w:r>
      <w:r>
        <w:rPr>
          <w:iCs/>
          <w:i/>
        </w:rPr>
        <w:t xml:space="preserve">t</w:t>
      </w:r>
      <w:r>
        <w:t xml:space="preserve">| ≥ 3.29 gives</w:t>
      </w:r>
      <w:r>
        <w:t xml:space="preserve"> </w:t>
      </w:r>
      <w:r>
        <w:rPr>
          <w:iCs/>
          <w:i/>
        </w:rPr>
        <w:t xml:space="preserve">P</w:t>
      </w:r>
      <w:r>
        <w:t xml:space="preserve"> </w:t>
      </w:r>
      <w:r>
        <w:t xml:space="preserve">≤ 0.001; |</w:t>
      </w:r>
      <w:r>
        <w:rPr>
          <w:iCs/>
          <w:i/>
        </w:rPr>
        <w:t xml:space="preserve">t</w:t>
      </w:r>
      <w:r>
        <w:t xml:space="preserve">| = 1.96 gives</w:t>
      </w:r>
      <w:r>
        <w:t xml:space="preserve"> </w:t>
      </w:r>
      <w:r>
        <w:rPr>
          <w:iCs/>
          <w:i/>
        </w:rPr>
        <w:t xml:space="preserve">P</w:t>
      </w:r>
      <w:r>
        <w:t xml:space="preserve"> </w:t>
      </w:r>
      <w:r>
        <w:t xml:space="preserve">= 0.05).</w:t>
      </w:r>
    </w:p>
    <w:p>
      <w:pPr>
        <w:pStyle w:val="BodyText"/>
        <w:spacing w:line="480" w:lineRule="auto" w:after="120"/>
        <w:jc w:val="both"/>
      </w:pPr>
      <w:r>
        <w:t xml:space="preserve">Three readings fit the pattern, and our data do not separate them: (1) demand or supply that the limit blocked on day</w:t>
      </w:r>
      <w:r>
        <w:t xml:space="preserve"> </w:t>
      </w:r>
      <w:r>
        <w:rPr>
          <w:iCs/>
          <w:i/>
        </w:rPr>
        <w:t xml:space="preserve">d</w:t>
      </w:r>
      <w:r>
        <w:t xml:space="preserve"> </w:t>
      </w:r>
      <w:r>
        <w:t xml:space="preserve">clears at the next opening, the delayed price discovery described by Kim and Rhee[7]; (2) news and retail attention persist overnight and produce the overnight gain and intraday reversal of attention-grabbing stocks[26], with or without a limit; and (3) the opening auction overshoots and corrects within the day. Lacking announcements, order books and limit-free stock-days, we run two partial checks. First, the ceiling gap rises across terciles of day-</w:t>
      </w:r>
      <w:r>
        <w:rPr>
          <w:iCs/>
          <w:i/>
        </w:rPr>
        <w:t xml:space="preserve">d</w:t>
      </w:r>
      <w:r>
        <w:t xml:space="preserve"> </w:t>
      </w:r>
      <w:r>
        <w:t xml:space="preserve">volume relative to its prior 60-day mean (1.97%, 2.16% and 2.63%) and of the prior 20-day return (1.41%, 2.18% and 3.16%), which fits readings (1) and (2) alike, and stays positive in the lowest tercile of each proxy (</w:t>
      </w:r>
      <w:r>
        <w:rPr>
          <w:iCs/>
          <w:i/>
        </w:rPr>
        <w:t xml:space="preserve">t</w:t>
      </w:r>
      <w:r>
        <w:t xml:space="preserve"> </w:t>
      </w:r>
      <w:r>
        <w:t xml:space="preserve">= 4.8,</w:t>
      </w:r>
      <w:r>
        <w:t xml:space="preserve"> </w:t>
      </w:r>
      <w:r>
        <w:rPr>
          <w:iCs/>
          <w:i/>
        </w:rPr>
        <w:t xml:space="preserve">P</w:t>
      </w:r>
      <w:r>
        <w:t xml:space="preserve"> </w:t>
      </w:r>
      <w:r>
        <w:t xml:space="preserve">&lt; 0.001 and</w:t>
      </w:r>
      <w:r>
        <w:t xml:space="preserve"> </w:t>
      </w:r>
      <w:r>
        <w:rPr>
          <w:iCs/>
          <w:i/>
        </w:rPr>
        <w:t xml:space="preserve">t</w:t>
      </w:r>
      <w:r>
        <w:t xml:space="preserve"> </w:t>
      </w:r>
      <w:r>
        <w:t xml:space="preserve">= 4.2,</w:t>
      </w:r>
      <w:r>
        <w:t xml:space="preserve"> </w:t>
      </w:r>
      <w:r>
        <w:rPr>
          <w:iCs/>
          <w:i/>
        </w:rPr>
        <w:t xml:space="preserve">P</w:t>
      </w:r>
      <w:r>
        <w:t xml:space="preserve"> </w:t>
      </w:r>
      <w:r>
        <w:t xml:space="preserve">&lt; 0.001). For floors, the gap moves from −1.20% to −0.68% across volume terciles and is not monotone in the prior return, so the attention reading does not carry over. Second, the comparison with stocks that closed at their high removes selection on the shape of the close, but not on news. The intraday giveback fits readings (2) and (3) at least as well as permanent price discovery, so</w:t>
      </w:r>
      <w:r>
        <w:t xml:space="preserve"> </w:t>
      </w:r>
      <w:r>
        <w:t xml:space="preserve">“</w:t>
      </w:r>
      <w:r>
        <w:t xml:space="preserve">break at the limit</w:t>
      </w:r>
      <w:r>
        <w:t xml:space="preserve">”</w:t>
      </w:r>
      <w:r>
        <w:t xml:space="preserve"> </w:t>
      </w:r>
      <w:r>
        <w:t xml:space="preserve">is a description and delayed price discovery is one hypothesis. Testing the magnet effect[5,6] requires intraday prices, which we lack.</w:t>
      </w:r>
    </w:p>
    <w:p>
      <w:pPr>
        <w:pStyle w:val="Heading3"/>
        <w:jc w:val="left"/>
      </w:pPr>
      <w:r>
        <w:t xml:space="preserve">Timing around the 2025 change of trading platform</w:t>
      </w:r>
    </w:p>
    <w:p>
      <w:pPr>
        <w:pStyle w:val="FirstParagraph"/>
        <w:spacing w:line="480" w:lineRule="auto" w:after="120"/>
        <w:jc w:val="both"/>
      </w:pPr>
      <w:r>
        <w:t xml:space="preserve">Table 4 splits the events on 5 May 2025, when the HOSE moved to the trading platform of the Korea Exchange (KRX). The ceiling gap, followed by an intraday reversal, appears in both periods: 1.65% before and 2.49% after (difference</w:t>
      </w:r>
      <w:r>
        <w:t xml:space="preserve"> </w:t>
      </w:r>
      <w:r>
        <w:rPr>
          <w:iCs/>
          <w:i/>
        </w:rPr>
        <w:t xml:space="preserve">t</w:t>
      </w:r>
      <w:r>
        <w:t xml:space="preserve"> </w:t>
      </w:r>
      <w:r>
        <w:t xml:space="preserve">= 1.6,</w:t>
      </w:r>
      <w:r>
        <w:t xml:space="preserve"> </w:t>
      </w:r>
      <w:r>
        <w:rPr>
          <w:iCs/>
          <w:i/>
        </w:rPr>
        <w:t xml:space="preserve">P</w:t>
      </w:r>
      <w:r>
        <w:t xml:space="preserve"> </w:t>
      </w:r>
      <w:r>
        <w:t xml:space="preserve">= 0.110). The floor gap is more negative after the move, at −0.42% before and −1.37% after (difference</w:t>
      </w:r>
      <w:r>
        <w:t xml:space="preserve"> </w:t>
      </w:r>
      <w:r>
        <w:rPr>
          <w:iCs/>
          <w:i/>
        </w:rPr>
        <w:t xml:space="preserve">t</w:t>
      </w:r>
      <w:r>
        <w:t xml:space="preserve"> </w:t>
      </w:r>
      <w:r>
        <w:t xml:space="preserve">= −3.2,</w:t>
      </w:r>
      <w:r>
        <w:t xml:space="preserve"> </w:t>
      </w:r>
      <w:r>
        <w:rPr>
          <w:iCs/>
          <w:i/>
        </w:rPr>
        <w:t xml:space="preserve">P</w:t>
      </w:r>
      <w:r>
        <w:t xml:space="preserve"> </w:t>
      </w:r>
      <w:r>
        <w:t xml:space="preserve">= 0.001). After the move the intraday return after floor closes turns positive (0.64%), and the floor drift from the next open to day</w:t>
      </w:r>
      <w:r>
        <w:t xml:space="preserve"> </w:t>
      </w:r>
      <w:r>
        <w:rPr>
          <w:iCs/>
          <w:i/>
        </w:rPr>
        <w:t xml:space="preserve">d</w:t>
      </w:r>
      <w:r>
        <w:t xml:space="preserve">+5 exists only before it (−1.73% before and −0.15% after). The change coincides with a different market period: the post-change sample accounts for 71% of the ceiling events and 58% of the floor events. Before the change, neither the ceiling close-to-close return (</w:t>
      </w:r>
      <w:r>
        <w:rPr>
          <w:iCs/>
          <w:i/>
        </w:rPr>
        <w:t xml:space="preserve">t</w:t>
      </w:r>
      <w:r>
        <w:t xml:space="preserve"> </w:t>
      </w:r>
      <w:r>
        <w:t xml:space="preserve">= 1.0,</w:t>
      </w:r>
      <w:r>
        <w:t xml:space="preserve"> </w:t>
      </w:r>
      <w:r>
        <w:rPr>
          <w:iCs/>
          <w:i/>
        </w:rPr>
        <w:t xml:space="preserve">P</w:t>
      </w:r>
      <w:r>
        <w:t xml:space="preserve"> </w:t>
      </w:r>
      <w:r>
        <w:t xml:space="preserve">= 0.317) nor the floor gap (</w:t>
      </w:r>
      <w:r>
        <w:rPr>
          <w:iCs/>
          <w:i/>
        </w:rPr>
        <w:t xml:space="preserve">t</w:t>
      </w:r>
      <w:r>
        <w:t xml:space="preserve"> </w:t>
      </w:r>
      <w:r>
        <w:t xml:space="preserve">= −1.9,</w:t>
      </w:r>
      <w:r>
        <w:t xml:space="preserve"> </w:t>
      </w:r>
      <w:r>
        <w:rPr>
          <w:iCs/>
          <w:i/>
        </w:rPr>
        <w:t xml:space="preserve">P</w:t>
      </w:r>
      <w:r>
        <w:t xml:space="preserve"> </w:t>
      </w:r>
      <w:r>
        <w:t xml:space="preserve">= 0.057) is significant at the 5% level, so the full-sample significance of these two measures rests mainly on post-change events. We cannot attribute the differences between the periods to the auction rules.</w:t>
      </w:r>
    </w:p>
    <w:p>
      <w:pPr>
        <w:pStyle w:val="BodyText"/>
        <w:spacing w:line="480" w:lineRule="auto" w:after="120"/>
        <w:jc w:val="both"/>
      </w:pPr>
      <w:r>
        <w:rPr>
          <w:bCs/>
          <w:b/>
        </w:rPr>
        <w:t xml:space="preserve">Table 4.</w:t>
      </w:r>
      <w:r>
        <w:t xml:space="preserve"> </w:t>
      </w:r>
      <w:r>
        <w:t xml:space="preserve">Returns before and after the KRX platform change of 5 May 2025</w:t>
      </w:r>
    </w:p>
    <w:tbl>
      <w:tblPr>
        <w:tblStyle w:val="Table"/>
        <w:tblW w:type="pct" w:w="5000"/>
        <w:tblLayout w:type="fixed"/>
        <w:tblLook w:firstRow="1" w:lastRow="0" w:firstColumn="0" w:lastColumn="0" w:noHBand="0" w:noVBand="0" w:val="0020"/>
        <w:jc w:val="start"/>
      </w:tblPr>
      <w:tblGrid>
        <w:gridCol w:w="1395"/>
        <w:gridCol w:w="1395"/>
        <w:gridCol w:w="1482"/>
        <w:gridCol w:w="1395"/>
        <w:gridCol w:w="1395"/>
        <w:gridCol w:w="2006"/>
      </w:tblGrid>
      <w:tr>
        <w:trPr>
          <w:tblHeader w:val="true"/>
        </w:trPr>
        <w:tc>
          <w:tcPr>
            <w:tcW w:type="dxa" w:w="1396"/>
            <w:tcBorders>
              <w:top w:val="single" w:sz="6" w:space="0" w:color="000000"/>
              <w:bottom w:val="single" w:sz="6" w:space="0" w:color="000000"/>
            </w:tcBorders>
          </w:tcPr>
          <w:p>
            <w:pPr>
              <w:pStyle w:val="Compact"/>
              <w:spacing w:line="240" w:lineRule="auto" w:after="20"/>
              <w:jc w:val="left"/>
            </w:pPr>
            <w:r>
              <w:rPr>
                <w:b/>
                <w:sz w:val="17"/>
              </w:rPr>
              <w:t xml:space="preserve">Event</w:t>
            </w:r>
          </w:p>
        </w:tc>
        <w:tc>
          <w:tcPr>
            <w:tcW w:type="dxa" w:w="1396"/>
            <w:tcBorders>
              <w:top w:val="single" w:sz="6" w:space="0" w:color="000000"/>
              <w:bottom w:val="single" w:sz="6" w:space="0" w:color="000000"/>
            </w:tcBorders>
          </w:tcPr>
          <w:p>
            <w:pPr>
              <w:pStyle w:val="Compact"/>
              <w:spacing w:line="240" w:lineRule="auto" w:after="20"/>
              <w:jc w:val="center"/>
            </w:pPr>
            <w:r>
              <w:rPr>
                <w:b/>
                <w:sz w:val="17"/>
              </w:rPr>
              <w:t xml:space="preserve">Outcome</w:t>
            </w:r>
          </w:p>
        </w:tc>
        <w:tc>
          <w:tcPr>
            <w:tcW w:type="dxa" w:w="1483"/>
            <w:tcBorders>
              <w:top w:val="single" w:sz="6" w:space="0" w:color="000000"/>
              <w:bottom w:val="single" w:sz="6" w:space="0" w:color="000000"/>
            </w:tcBorders>
          </w:tcPr>
          <w:p>
            <w:pPr>
              <w:pStyle w:val="Compact"/>
              <w:spacing w:line="240" w:lineRule="auto" w:after="20"/>
              <w:jc w:val="center"/>
            </w:pPr>
            <w:r>
              <w:rPr>
                <w:b/>
                <w:sz w:val="17"/>
              </w:rPr>
              <w:t xml:space="preserve">Before the change</w:t>
            </w:r>
          </w:p>
        </w:tc>
        <w:tc>
          <w:tcPr>
            <w:tcW w:type="dxa" w:w="1396"/>
            <w:tcBorders>
              <w:top w:val="single" w:sz="6" w:space="0" w:color="000000"/>
              <w:bottom w:val="single" w:sz="6" w:space="0" w:color="000000"/>
            </w:tcBorders>
          </w:tcPr>
          <w:p>
            <w:pPr>
              <w:pStyle w:val="Compact"/>
              <w:spacing w:line="240" w:lineRule="auto" w:after="20"/>
              <w:jc w:val="center"/>
            </w:pPr>
            <w:r>
              <w:rPr>
                <w:b/>
                <w:sz w:val="17"/>
              </w:rPr>
              <w:t xml:space="preserve">After the change</w:t>
            </w:r>
          </w:p>
        </w:tc>
        <w:tc>
          <w:tcPr>
            <w:tcW w:type="dxa" w:w="1396"/>
            <w:tcBorders>
              <w:top w:val="single" w:sz="6" w:space="0" w:color="000000"/>
              <w:bottom w:val="single" w:sz="6" w:space="0" w:color="000000"/>
            </w:tcBorders>
          </w:tcPr>
          <w:p>
            <w:pPr>
              <w:pStyle w:val="Compact"/>
              <w:spacing w:line="240" w:lineRule="auto" w:after="20"/>
              <w:jc w:val="center"/>
            </w:pPr>
            <w:r>
              <w:rPr>
                <w:b/>
                <w:sz w:val="17"/>
              </w:rPr>
              <w:t xml:space="preserve">Difference</w:t>
            </w:r>
          </w:p>
        </w:tc>
        <w:tc>
          <w:tcPr>
            <w:tcW w:type="dxa" w:w="2006"/>
            <w:tcBorders>
              <w:top w:val="single" w:sz="6" w:space="0" w:color="000000"/>
              <w:bottom w:val="single" w:sz="6" w:space="0" w:color="000000"/>
            </w:tcBorders>
          </w:tcPr>
          <w:p>
            <w:pPr>
              <w:pStyle w:val="Compact"/>
              <w:spacing w:line="240" w:lineRule="auto" w:after="20"/>
              <w:jc w:val="center"/>
            </w:pPr>
            <w:r>
              <w:rPr>
                <w:b/>
                <w:sz w:val="17"/>
              </w:rPr>
              <w:t xml:space="preserve">Events (before / after)</w:t>
            </w:r>
          </w:p>
        </w:tc>
      </w:tr>
      <w:tr>
        <w:tc>
          <w:tcPr>
            <w:tcW w:type="dxa" w:w="1396"/>
          </w:tcPr>
          <w:p>
            <w:pPr>
              <w:pStyle w:val="Compact"/>
              <w:spacing w:line="240" w:lineRule="auto" w:after="20"/>
              <w:jc w:val="left"/>
            </w:pPr>
            <w:r>
              <w:rPr>
                <w:sz w:val="17"/>
              </w:rPr>
              <w:t xml:space="preserve">Ceiling</w:t>
            </w:r>
          </w:p>
        </w:tc>
        <w:tc>
          <w:tcPr>
            <w:tcW w:type="dxa" w:w="1396"/>
          </w:tcPr>
          <w:p>
            <w:pPr>
              <w:pStyle w:val="Compact"/>
              <w:spacing w:line="240" w:lineRule="auto" w:after="20"/>
              <w:jc w:val="center"/>
            </w:pPr>
            <w:r>
              <w:rPr>
                <w:sz w:val="17"/>
              </w:rPr>
              <w:t xml:space="preserve">Overnight gap</w:t>
            </w:r>
          </w:p>
        </w:tc>
        <w:tc>
          <w:tcPr>
            <w:tcW w:type="dxa" w:w="1483"/>
          </w:tcPr>
          <w:p>
            <w:pPr>
              <w:pStyle w:val="Compact"/>
              <w:spacing w:line="240" w:lineRule="auto" w:after="20"/>
              <w:jc w:val="center"/>
            </w:pPr>
            <w:r>
              <w:rPr>
                <w:sz w:val="17"/>
              </w:rPr>
              <w:t xml:space="preserve">1.65 (3.2)</w:t>
            </w:r>
          </w:p>
        </w:tc>
        <w:tc>
          <w:tcPr>
            <w:tcW w:type="dxa" w:w="1396"/>
          </w:tcPr>
          <w:p>
            <w:pPr>
              <w:pStyle w:val="Compact"/>
              <w:spacing w:line="240" w:lineRule="auto" w:after="20"/>
              <w:jc w:val="center"/>
            </w:pPr>
            <w:r>
              <w:rPr>
                <w:sz w:val="17"/>
              </w:rPr>
              <w:t xml:space="preserve">2.49 (17.9)</w:t>
            </w:r>
          </w:p>
        </w:tc>
        <w:tc>
          <w:tcPr>
            <w:tcW w:type="dxa" w:w="1396"/>
          </w:tcPr>
          <w:p>
            <w:pPr>
              <w:pStyle w:val="Compact"/>
              <w:spacing w:line="240" w:lineRule="auto" w:after="20"/>
              <w:jc w:val="center"/>
            </w:pPr>
            <w:r>
              <w:rPr>
                <w:sz w:val="17"/>
              </w:rPr>
              <w:t xml:space="preserve">0.85 (1.6)</w:t>
            </w:r>
          </w:p>
        </w:tc>
        <w:tc>
          <w:tcPr>
            <w:tcW w:type="dxa" w:w="2006"/>
          </w:tcPr>
          <w:p>
            <w:pPr>
              <w:pStyle w:val="Compact"/>
              <w:spacing w:line="240" w:lineRule="auto" w:after="20"/>
              <w:jc w:val="center"/>
            </w:pPr>
            <w:r>
              <w:rPr>
                <w:sz w:val="17"/>
              </w:rPr>
              <w:t xml:space="preserve">936 / 2,263</w:t>
            </w:r>
          </w:p>
        </w:tc>
      </w:tr>
      <w:tr>
        <w:tc>
          <w:tcPr>
            <w:tcW w:type="dxa" w:w="1396"/>
          </w:tcPr>
          <w:p>
            <w:pPr>
              <w:pStyle w:val="Compact"/>
              <w:spacing w:line="240" w:lineRule="auto" w:after="20"/>
              <w:jc w:val="left"/>
            </w:pPr>
            <w:r>
              <w:rPr>
                <w:sz w:val="17"/>
              </w:rPr>
              <w:t xml:space="preserve">Ceiling</w:t>
            </w:r>
          </w:p>
        </w:tc>
        <w:tc>
          <w:tcPr>
            <w:tcW w:type="dxa" w:w="1396"/>
          </w:tcPr>
          <w:p>
            <w:pPr>
              <w:pStyle w:val="Compact"/>
              <w:spacing w:line="240" w:lineRule="auto" w:after="20"/>
              <w:jc w:val="center"/>
            </w:pPr>
            <w:r>
              <w:rPr>
                <w:sz w:val="17"/>
              </w:rPr>
              <w:t xml:space="preserve">Intraday</w:t>
            </w:r>
          </w:p>
        </w:tc>
        <w:tc>
          <w:tcPr>
            <w:tcW w:type="dxa" w:w="1483"/>
          </w:tcPr>
          <w:p>
            <w:pPr>
              <w:pStyle w:val="Compact"/>
              <w:spacing w:line="240" w:lineRule="auto" w:after="20"/>
              <w:jc w:val="center"/>
            </w:pPr>
            <w:r>
              <w:rPr>
                <w:sz w:val="17"/>
              </w:rPr>
              <w:t xml:space="preserve">−0.77 (−2.0)</w:t>
            </w:r>
          </w:p>
        </w:tc>
        <w:tc>
          <w:tcPr>
            <w:tcW w:type="dxa" w:w="1396"/>
          </w:tcPr>
          <w:p>
            <w:pPr>
              <w:pStyle w:val="Compact"/>
              <w:spacing w:line="240" w:lineRule="auto" w:after="20"/>
              <w:jc w:val="center"/>
            </w:pPr>
            <w:r>
              <w:rPr>
                <w:sz w:val="17"/>
              </w:rPr>
              <w:t xml:space="preserve">−0.44 (−4.3)</w:t>
            </w:r>
          </w:p>
        </w:tc>
        <w:tc>
          <w:tcPr>
            <w:tcW w:type="dxa" w:w="1396"/>
          </w:tcPr>
          <w:p>
            <w:pPr>
              <w:pStyle w:val="Compact"/>
              <w:spacing w:line="240" w:lineRule="auto" w:after="20"/>
              <w:jc w:val="center"/>
            </w:pPr>
            <w:r>
              <w:rPr>
                <w:sz w:val="17"/>
              </w:rPr>
              <w:t xml:space="preserve">0.34 (0.8)</w:t>
            </w:r>
          </w:p>
        </w:tc>
        <w:tc>
          <w:tcPr>
            <w:tcW w:type="dxa" w:w="2006"/>
          </w:tcPr>
          <w:p>
            <w:pPr>
              <w:pStyle w:val="Compact"/>
              <w:spacing w:line="240" w:lineRule="auto" w:after="20"/>
              <w:jc w:val="center"/>
            </w:pPr>
            <w:r>
              <w:rPr>
                <w:sz w:val="17"/>
              </w:rPr>
              <w:t xml:space="preserve">936 / 2,263</w:t>
            </w:r>
          </w:p>
        </w:tc>
      </w:tr>
      <w:tr>
        <w:tc>
          <w:tcPr>
            <w:tcW w:type="dxa" w:w="1396"/>
          </w:tcPr>
          <w:p>
            <w:pPr>
              <w:pStyle w:val="Compact"/>
              <w:spacing w:line="240" w:lineRule="auto" w:after="20"/>
              <w:jc w:val="left"/>
            </w:pPr>
            <w:r>
              <w:rPr>
                <w:sz w:val="17"/>
              </w:rPr>
              <w:t xml:space="preserve">Ceiling</w:t>
            </w:r>
          </w:p>
        </w:tc>
        <w:tc>
          <w:tcPr>
            <w:tcW w:type="dxa" w:w="1396"/>
          </w:tcPr>
          <w:p>
            <w:pPr>
              <w:pStyle w:val="Compact"/>
              <w:spacing w:line="240" w:lineRule="auto" w:after="20"/>
              <w:jc w:val="center"/>
            </w:pPr>
            <w:r>
              <w:rPr>
                <w:sz w:val="17"/>
              </w:rPr>
              <w:t xml:space="preserve">Close-to-close</w:t>
            </w:r>
          </w:p>
        </w:tc>
        <w:tc>
          <w:tcPr>
            <w:tcW w:type="dxa" w:w="1483"/>
          </w:tcPr>
          <w:p>
            <w:pPr>
              <w:pStyle w:val="Compact"/>
              <w:spacing w:line="240" w:lineRule="auto" w:after="20"/>
              <w:jc w:val="center"/>
            </w:pPr>
            <w:r>
              <w:rPr>
                <w:sz w:val="17"/>
              </w:rPr>
              <w:t xml:space="preserve">0.83 (1.0)</w:t>
            </w:r>
          </w:p>
        </w:tc>
        <w:tc>
          <w:tcPr>
            <w:tcW w:type="dxa" w:w="1396"/>
          </w:tcPr>
          <w:p>
            <w:pPr>
              <w:pStyle w:val="Compact"/>
              <w:spacing w:line="240" w:lineRule="auto" w:after="20"/>
              <w:jc w:val="center"/>
            </w:pPr>
            <w:r>
              <w:rPr>
                <w:sz w:val="17"/>
              </w:rPr>
              <w:t xml:space="preserve">2.01 (14.6)</w:t>
            </w:r>
          </w:p>
        </w:tc>
        <w:tc>
          <w:tcPr>
            <w:tcW w:type="dxa" w:w="1396"/>
          </w:tcPr>
          <w:p>
            <w:pPr>
              <w:pStyle w:val="Compact"/>
              <w:spacing w:line="240" w:lineRule="auto" w:after="20"/>
              <w:jc w:val="center"/>
            </w:pPr>
            <w:r>
              <w:rPr>
                <w:sz w:val="17"/>
              </w:rPr>
              <w:t xml:space="preserve">1.18 (1.3)</w:t>
            </w:r>
          </w:p>
        </w:tc>
        <w:tc>
          <w:tcPr>
            <w:tcW w:type="dxa" w:w="2006"/>
          </w:tcPr>
          <w:p>
            <w:pPr>
              <w:pStyle w:val="Compact"/>
              <w:spacing w:line="240" w:lineRule="auto" w:after="20"/>
              <w:jc w:val="center"/>
            </w:pPr>
            <w:r>
              <w:rPr>
                <w:sz w:val="17"/>
              </w:rPr>
              <w:t xml:space="preserve">936 / 2,263</w:t>
            </w:r>
          </w:p>
        </w:tc>
      </w:tr>
      <w:tr>
        <w:tc>
          <w:tcPr>
            <w:tcW w:type="dxa" w:w="1396"/>
          </w:tcPr>
          <w:p>
            <w:pPr>
              <w:pStyle w:val="Compact"/>
              <w:spacing w:line="240" w:lineRule="auto" w:after="20"/>
              <w:jc w:val="left"/>
            </w:pPr>
            <w:r>
              <w:rPr>
                <w:sz w:val="17"/>
              </w:rPr>
              <w:t xml:space="preserve">Ceiling</w:t>
            </w:r>
          </w:p>
        </w:tc>
        <w:tc>
          <w:tcPr>
            <w:tcW w:type="dxa" w:w="1396"/>
          </w:tcPr>
          <w:p>
            <w:pPr>
              <w:pStyle w:val="Compact"/>
              <w:spacing w:line="240" w:lineRule="auto" w:after="20"/>
              <w:jc w:val="center"/>
            </w:pPr>
            <w:r>
              <w:rPr>
                <w:sz w:val="17"/>
              </w:rPr>
              <w:t xml:space="preserve">Open to day</w:t>
            </w:r>
            <w:r>
              <w:rPr>
                <w:sz w:val="17"/>
              </w:rPr>
              <w:t xml:space="preserve"> </w:t>
            </w:r>
            <w:r>
              <w:rPr>
                <w:iCs/>
                <w:i/>
                <w:sz w:val="17"/>
              </w:rPr>
              <w:t xml:space="preserve">d</w:t>
            </w:r>
            <w:r>
              <w:rPr>
                <w:sz w:val="17"/>
              </w:rPr>
              <w:t xml:space="preserve">+5</w:t>
            </w:r>
          </w:p>
        </w:tc>
        <w:tc>
          <w:tcPr>
            <w:tcW w:type="dxa" w:w="1483"/>
          </w:tcPr>
          <w:p>
            <w:pPr>
              <w:pStyle w:val="Compact"/>
              <w:spacing w:line="240" w:lineRule="auto" w:after="20"/>
              <w:jc w:val="center"/>
            </w:pPr>
            <w:r>
              <w:rPr>
                <w:sz w:val="17"/>
              </w:rPr>
              <w:t xml:space="preserve">−0.71 (−1.3)</w:t>
            </w:r>
          </w:p>
        </w:tc>
        <w:tc>
          <w:tcPr>
            <w:tcW w:type="dxa" w:w="1396"/>
          </w:tcPr>
          <w:p>
            <w:pPr>
              <w:pStyle w:val="Compact"/>
              <w:spacing w:line="240" w:lineRule="auto" w:after="20"/>
              <w:jc w:val="center"/>
            </w:pPr>
            <w:r>
              <w:rPr>
                <w:sz w:val="17"/>
              </w:rPr>
              <w:t xml:space="preserve">−0.77 (−2.5)</w:t>
            </w:r>
          </w:p>
        </w:tc>
        <w:tc>
          <w:tcPr>
            <w:tcW w:type="dxa" w:w="1396"/>
          </w:tcPr>
          <w:p>
            <w:pPr>
              <w:pStyle w:val="Compact"/>
              <w:spacing w:line="240" w:lineRule="auto" w:after="20"/>
              <w:jc w:val="center"/>
            </w:pPr>
            <w:r>
              <w:rPr>
                <w:sz w:val="17"/>
              </w:rPr>
              <w:t xml:space="preserve">−0.06 (−0.1)</w:t>
            </w:r>
          </w:p>
        </w:tc>
        <w:tc>
          <w:tcPr>
            <w:tcW w:type="dxa" w:w="2006"/>
          </w:tcPr>
          <w:p>
            <w:pPr>
              <w:pStyle w:val="Compact"/>
              <w:spacing w:line="240" w:lineRule="auto" w:after="20"/>
              <w:jc w:val="center"/>
            </w:pPr>
            <w:r>
              <w:rPr>
                <w:sz w:val="17"/>
              </w:rPr>
              <w:t xml:space="preserve">936 / 2,257</w:t>
            </w:r>
          </w:p>
        </w:tc>
      </w:tr>
      <w:tr>
        <w:tc>
          <w:tcPr>
            <w:tcW w:type="dxa" w:w="1396"/>
          </w:tcPr>
          <w:p>
            <w:pPr>
              <w:pStyle w:val="Compact"/>
              <w:spacing w:line="240" w:lineRule="auto" w:after="20"/>
              <w:jc w:val="left"/>
            </w:pPr>
            <w:r>
              <w:rPr>
                <w:sz w:val="17"/>
              </w:rPr>
              <w:t xml:space="preserve">Floor</w:t>
            </w:r>
          </w:p>
        </w:tc>
        <w:tc>
          <w:tcPr>
            <w:tcW w:type="dxa" w:w="1396"/>
          </w:tcPr>
          <w:p>
            <w:pPr>
              <w:pStyle w:val="Compact"/>
              <w:spacing w:line="240" w:lineRule="auto" w:after="20"/>
              <w:jc w:val="center"/>
            </w:pPr>
            <w:r>
              <w:rPr>
                <w:sz w:val="17"/>
              </w:rPr>
              <w:t xml:space="preserve">Overnight gap</w:t>
            </w:r>
          </w:p>
        </w:tc>
        <w:tc>
          <w:tcPr>
            <w:tcW w:type="dxa" w:w="1483"/>
          </w:tcPr>
          <w:p>
            <w:pPr>
              <w:pStyle w:val="Compact"/>
              <w:spacing w:line="240" w:lineRule="auto" w:after="20"/>
              <w:jc w:val="center"/>
            </w:pPr>
            <w:r>
              <w:rPr>
                <w:sz w:val="17"/>
              </w:rPr>
              <w:t xml:space="preserve">−0.42 (−1.9)</w:t>
            </w:r>
          </w:p>
        </w:tc>
        <w:tc>
          <w:tcPr>
            <w:tcW w:type="dxa" w:w="1396"/>
          </w:tcPr>
          <w:p>
            <w:pPr>
              <w:pStyle w:val="Compact"/>
              <w:spacing w:line="240" w:lineRule="auto" w:after="20"/>
              <w:jc w:val="center"/>
            </w:pPr>
            <w:r>
              <w:rPr>
                <w:sz w:val="17"/>
              </w:rPr>
              <w:t xml:space="preserve">−1.37 (−7.0)</w:t>
            </w:r>
          </w:p>
        </w:tc>
        <w:tc>
          <w:tcPr>
            <w:tcW w:type="dxa" w:w="1396"/>
          </w:tcPr>
          <w:p>
            <w:pPr>
              <w:pStyle w:val="Compact"/>
              <w:spacing w:line="240" w:lineRule="auto" w:after="20"/>
              <w:jc w:val="center"/>
            </w:pPr>
            <w:r>
              <w:rPr>
                <w:sz w:val="17"/>
              </w:rPr>
              <w:t xml:space="preserve">−0.95 (−3.2)</w:t>
            </w:r>
          </w:p>
        </w:tc>
        <w:tc>
          <w:tcPr>
            <w:tcW w:type="dxa" w:w="2006"/>
          </w:tcPr>
          <w:p>
            <w:pPr>
              <w:pStyle w:val="Compact"/>
              <w:spacing w:line="240" w:lineRule="auto" w:after="20"/>
              <w:jc w:val="center"/>
            </w:pPr>
            <w:r>
              <w:rPr>
                <w:sz w:val="17"/>
              </w:rPr>
              <w:t xml:space="preserve">891 / 1,220</w:t>
            </w:r>
          </w:p>
        </w:tc>
      </w:tr>
      <w:tr>
        <w:tc>
          <w:tcPr>
            <w:tcW w:type="dxa" w:w="1396"/>
          </w:tcPr>
          <w:p>
            <w:pPr>
              <w:pStyle w:val="Compact"/>
              <w:spacing w:line="240" w:lineRule="auto" w:after="20"/>
              <w:jc w:val="left"/>
            </w:pPr>
            <w:r>
              <w:rPr>
                <w:sz w:val="17"/>
              </w:rPr>
              <w:t xml:space="preserve">Floor</w:t>
            </w:r>
          </w:p>
        </w:tc>
        <w:tc>
          <w:tcPr>
            <w:tcW w:type="dxa" w:w="1396"/>
          </w:tcPr>
          <w:p>
            <w:pPr>
              <w:pStyle w:val="Compact"/>
              <w:spacing w:line="240" w:lineRule="auto" w:after="20"/>
              <w:jc w:val="center"/>
            </w:pPr>
            <w:r>
              <w:rPr>
                <w:sz w:val="17"/>
              </w:rPr>
              <w:t xml:space="preserve">Intraday</w:t>
            </w:r>
          </w:p>
        </w:tc>
        <w:tc>
          <w:tcPr>
            <w:tcW w:type="dxa" w:w="1483"/>
          </w:tcPr>
          <w:p>
            <w:pPr>
              <w:pStyle w:val="Compact"/>
              <w:spacing w:line="240" w:lineRule="auto" w:after="20"/>
              <w:jc w:val="center"/>
            </w:pPr>
            <w:r>
              <w:rPr>
                <w:sz w:val="17"/>
              </w:rPr>
              <w:t xml:space="preserve">−0.15 (−0.4)</w:t>
            </w:r>
          </w:p>
        </w:tc>
        <w:tc>
          <w:tcPr>
            <w:tcW w:type="dxa" w:w="1396"/>
          </w:tcPr>
          <w:p>
            <w:pPr>
              <w:pStyle w:val="Compact"/>
              <w:spacing w:line="240" w:lineRule="auto" w:after="20"/>
              <w:jc w:val="center"/>
            </w:pPr>
            <w:r>
              <w:rPr>
                <w:sz w:val="17"/>
              </w:rPr>
              <w:t xml:space="preserve">0.64 (4.6)</w:t>
            </w:r>
          </w:p>
        </w:tc>
        <w:tc>
          <w:tcPr>
            <w:tcW w:type="dxa" w:w="1396"/>
          </w:tcPr>
          <w:p>
            <w:pPr>
              <w:pStyle w:val="Compact"/>
              <w:spacing w:line="240" w:lineRule="auto" w:after="20"/>
              <w:jc w:val="center"/>
            </w:pPr>
            <w:r>
              <w:rPr>
                <w:sz w:val="17"/>
              </w:rPr>
              <w:t xml:space="preserve">0.79 (2.0)</w:t>
            </w:r>
          </w:p>
        </w:tc>
        <w:tc>
          <w:tcPr>
            <w:tcW w:type="dxa" w:w="2006"/>
          </w:tcPr>
          <w:p>
            <w:pPr>
              <w:pStyle w:val="Compact"/>
              <w:spacing w:line="240" w:lineRule="auto" w:after="20"/>
              <w:jc w:val="center"/>
            </w:pPr>
            <w:r>
              <w:rPr>
                <w:sz w:val="17"/>
              </w:rPr>
              <w:t xml:space="preserve">891 / 1,220</w:t>
            </w:r>
          </w:p>
        </w:tc>
      </w:tr>
      <w:tr>
        <w:tc>
          <w:tcPr>
            <w:tcW w:type="dxa" w:w="1396"/>
          </w:tcPr>
          <w:p>
            <w:pPr>
              <w:pStyle w:val="Compact"/>
              <w:spacing w:line="240" w:lineRule="auto" w:after="20"/>
              <w:jc w:val="left"/>
            </w:pPr>
            <w:r>
              <w:rPr>
                <w:sz w:val="17"/>
              </w:rPr>
              <w:t xml:space="preserve">Floor</w:t>
            </w:r>
          </w:p>
        </w:tc>
        <w:tc>
          <w:tcPr>
            <w:tcW w:type="dxa" w:w="1396"/>
          </w:tcPr>
          <w:p>
            <w:pPr>
              <w:pStyle w:val="Compact"/>
              <w:spacing w:line="240" w:lineRule="auto" w:after="20"/>
              <w:jc w:val="center"/>
            </w:pPr>
            <w:r>
              <w:rPr>
                <w:sz w:val="17"/>
              </w:rPr>
              <w:t xml:space="preserve">Close-to-close</w:t>
            </w:r>
          </w:p>
        </w:tc>
        <w:tc>
          <w:tcPr>
            <w:tcW w:type="dxa" w:w="1483"/>
          </w:tcPr>
          <w:p>
            <w:pPr>
              <w:pStyle w:val="Compact"/>
              <w:spacing w:line="240" w:lineRule="auto" w:after="20"/>
              <w:jc w:val="center"/>
            </w:pPr>
            <w:r>
              <w:rPr>
                <w:sz w:val="17"/>
              </w:rPr>
              <w:t xml:space="preserve">−0.57 (−2.3)</w:t>
            </w:r>
          </w:p>
        </w:tc>
        <w:tc>
          <w:tcPr>
            <w:tcW w:type="dxa" w:w="1396"/>
          </w:tcPr>
          <w:p>
            <w:pPr>
              <w:pStyle w:val="Compact"/>
              <w:spacing w:line="240" w:lineRule="auto" w:after="20"/>
              <w:jc w:val="center"/>
            </w:pPr>
            <w:r>
              <w:rPr>
                <w:sz w:val="17"/>
              </w:rPr>
              <w:t xml:space="preserve">−0.78 (−5.0)</w:t>
            </w:r>
          </w:p>
        </w:tc>
        <w:tc>
          <w:tcPr>
            <w:tcW w:type="dxa" w:w="1396"/>
          </w:tcPr>
          <w:p>
            <w:pPr>
              <w:pStyle w:val="Compact"/>
              <w:spacing w:line="240" w:lineRule="auto" w:after="20"/>
              <w:jc w:val="center"/>
            </w:pPr>
            <w:r>
              <w:rPr>
                <w:sz w:val="17"/>
              </w:rPr>
              <w:t xml:space="preserve">−0.21 (−0.7)</w:t>
            </w:r>
          </w:p>
        </w:tc>
        <w:tc>
          <w:tcPr>
            <w:tcW w:type="dxa" w:w="2006"/>
          </w:tcPr>
          <w:p>
            <w:pPr>
              <w:pStyle w:val="Compact"/>
              <w:spacing w:line="240" w:lineRule="auto" w:after="20"/>
              <w:jc w:val="center"/>
            </w:pPr>
            <w:r>
              <w:rPr>
                <w:sz w:val="17"/>
              </w:rPr>
              <w:t xml:space="preserve">891 / 1,220</w:t>
            </w:r>
          </w:p>
        </w:tc>
      </w:tr>
      <w:tr>
        <w:tc>
          <w:tcPr>
            <w:tcW w:type="dxa" w:w="1396"/>
            <w:tcBorders>
              <w:bottom w:val="single" w:sz="6" w:space="0" w:color="000000"/>
            </w:tcBorders>
          </w:tcPr>
          <w:p>
            <w:pPr>
              <w:pStyle w:val="Compact"/>
              <w:spacing w:line="240" w:lineRule="auto" w:after="20"/>
              <w:jc w:val="left"/>
            </w:pPr>
            <w:r>
              <w:rPr>
                <w:sz w:val="17"/>
              </w:rPr>
              <w:t xml:space="preserve">Floor</w:t>
            </w:r>
          </w:p>
        </w:tc>
        <w:tc>
          <w:tcPr>
            <w:tcW w:type="dxa" w:w="1396"/>
            <w:tcBorders>
              <w:bottom w:val="single" w:sz="6" w:space="0" w:color="000000"/>
            </w:tcBorders>
          </w:tcPr>
          <w:p>
            <w:pPr>
              <w:pStyle w:val="Compact"/>
              <w:spacing w:line="240" w:lineRule="auto" w:after="20"/>
              <w:jc w:val="center"/>
            </w:pPr>
            <w:r>
              <w:rPr>
                <w:sz w:val="17"/>
              </w:rPr>
              <w:t xml:space="preserve">Open to day</w:t>
            </w:r>
            <w:r>
              <w:rPr>
                <w:sz w:val="17"/>
              </w:rPr>
              <w:t xml:space="preserve"> </w:t>
            </w:r>
            <w:r>
              <w:rPr>
                <w:iCs/>
                <w:i/>
                <w:sz w:val="17"/>
              </w:rPr>
              <w:t xml:space="preserve">d</w:t>
            </w:r>
            <w:r>
              <w:rPr>
                <w:sz w:val="17"/>
              </w:rPr>
              <w:t xml:space="preserve">+5</w:t>
            </w:r>
          </w:p>
        </w:tc>
        <w:tc>
          <w:tcPr>
            <w:tcW w:type="dxa" w:w="1483"/>
            <w:tcBorders>
              <w:bottom w:val="single" w:sz="6" w:space="0" w:color="000000"/>
            </w:tcBorders>
          </w:tcPr>
          <w:p>
            <w:pPr>
              <w:pStyle w:val="Compact"/>
              <w:spacing w:line="240" w:lineRule="auto" w:after="20"/>
              <w:jc w:val="center"/>
            </w:pPr>
            <w:r>
              <w:rPr>
                <w:sz w:val="17"/>
              </w:rPr>
              <w:t xml:space="preserve">−1.73 (−4.7)</w:t>
            </w:r>
          </w:p>
        </w:tc>
        <w:tc>
          <w:tcPr>
            <w:tcW w:type="dxa" w:w="1396"/>
            <w:tcBorders>
              <w:bottom w:val="single" w:sz="6" w:space="0" w:color="000000"/>
            </w:tcBorders>
          </w:tcPr>
          <w:p>
            <w:pPr>
              <w:pStyle w:val="Compact"/>
              <w:spacing w:line="240" w:lineRule="auto" w:after="20"/>
              <w:jc w:val="center"/>
            </w:pPr>
            <w:r>
              <w:rPr>
                <w:sz w:val="17"/>
              </w:rPr>
              <w:t xml:space="preserve">−0.15 (−0.3)</w:t>
            </w:r>
          </w:p>
        </w:tc>
        <w:tc>
          <w:tcPr>
            <w:tcW w:type="dxa" w:w="1396"/>
            <w:tcBorders>
              <w:bottom w:val="single" w:sz="6" w:space="0" w:color="000000"/>
            </w:tcBorders>
          </w:tcPr>
          <w:p>
            <w:pPr>
              <w:pStyle w:val="Compact"/>
              <w:spacing w:line="240" w:lineRule="auto" w:after="20"/>
              <w:jc w:val="center"/>
            </w:pPr>
            <w:r>
              <w:rPr>
                <w:sz w:val="17"/>
              </w:rPr>
              <w:t xml:space="preserve">1.58 (2.5)</w:t>
            </w:r>
          </w:p>
        </w:tc>
        <w:tc>
          <w:tcPr>
            <w:tcW w:type="dxa" w:w="2006"/>
            <w:tcBorders>
              <w:bottom w:val="single" w:sz="6" w:space="0" w:color="000000"/>
            </w:tcBorders>
          </w:tcPr>
          <w:p>
            <w:pPr>
              <w:pStyle w:val="Compact"/>
              <w:spacing w:line="240" w:lineRule="auto" w:after="20"/>
              <w:jc w:val="center"/>
            </w:pPr>
            <w:r>
              <w:rPr>
                <w:sz w:val="17"/>
              </w:rPr>
              <w:t xml:space="preserve">891 / 1,217</w:t>
            </w:r>
          </w:p>
        </w:tc>
      </w:tr>
    </w:tbl>
    <w:p>
      <w:pPr>
        <w:pStyle w:val="BodyText"/>
        <w:spacing w:line="480" w:lineRule="auto" w:after="120"/>
        <w:jc w:val="both"/>
      </w:pPr>
      <w:r>
        <w:rPr>
          <w:iCs/>
          <w:i/>
        </w:rPr>
        <w:t xml:space="preserve">Note.</w:t>
      </w:r>
      <w:r>
        <w:t xml:space="preserve"> </w:t>
      </w:r>
      <w:r>
        <w:t xml:space="preserve">Percent; two-way-clustered</w:t>
      </w:r>
      <w:r>
        <w:t xml:space="preserve"> </w:t>
      </w:r>
      <w:r>
        <w:rPr>
          <w:iCs/>
          <w:i/>
        </w:rPr>
        <w:t xml:space="preserve">t</w:t>
      </w:r>
      <w:r>
        <w:t xml:space="preserve">-statistics in parentheses. Periods are split by the date of the opening that defines the gap; the difference</w:t>
      </w:r>
      <w:r>
        <w:t xml:space="preserve"> </w:t>
      </w:r>
      <w:r>
        <w:rPr>
          <w:iCs/>
          <w:i/>
        </w:rPr>
        <w:t xml:space="preserve">t</w:t>
      </w:r>
      <w:r>
        <w:t xml:space="preserve">-statistic treats the periods as independent.</w:t>
      </w:r>
      <w:r>
        <w:t xml:space="preserve"> </w:t>
      </w:r>
      <w:r>
        <w:rPr>
          <w:iCs/>
          <w:i/>
        </w:rPr>
        <w:t xml:space="preserve">P</w:t>
      </w:r>
      <w:r>
        <w:t xml:space="preserve"> </w:t>
      </w:r>
      <w:r>
        <w:t xml:space="preserve">values are from the standard normal distribution (|</w:t>
      </w:r>
      <w:r>
        <w:rPr>
          <w:iCs/>
          <w:i/>
        </w:rPr>
        <w:t xml:space="preserve">t</w:t>
      </w:r>
      <w:r>
        <w:t xml:space="preserve">| ≥ 3.29 gives</w:t>
      </w:r>
      <w:r>
        <w:t xml:space="preserve"> </w:t>
      </w:r>
      <w:r>
        <w:rPr>
          <w:iCs/>
          <w:i/>
        </w:rPr>
        <w:t xml:space="preserve">P</w:t>
      </w:r>
      <w:r>
        <w:t xml:space="preserve"> </w:t>
      </w:r>
      <w:r>
        <w:t xml:space="preserve">≤ 0.001; |</w:t>
      </w:r>
      <w:r>
        <w:rPr>
          <w:iCs/>
          <w:i/>
        </w:rPr>
        <w:t xml:space="preserve">t</w:t>
      </w:r>
      <w:r>
        <w:t xml:space="preserve">| = 1.96 gives</w:t>
      </w:r>
      <w:r>
        <w:t xml:space="preserve"> </w:t>
      </w:r>
      <w:r>
        <w:rPr>
          <w:iCs/>
          <w:i/>
        </w:rPr>
        <w:t xml:space="preserve">P</w:t>
      </w:r>
      <w:r>
        <w:t xml:space="preserve"> </w:t>
      </w:r>
      <w:r>
        <w:t xml:space="preserve">= 0.05).</w:t>
      </w:r>
    </w:p>
    <w:p>
      <w:pPr>
        <w:pStyle w:val="BodyText"/>
        <w:spacing w:line="480" w:lineRule="auto" w:after="120"/>
        <w:jc w:val="both"/>
      </w:pPr>
      <w:r>
        <w:t xml:space="preserve">Because the events are unbalanced in time, Table 5 reports them by calendar quarter. The ceiling gap is positive in each of the eight quarters (</w:t>
      </w:r>
      <w:r>
        <w:rPr>
          <w:iCs/>
          <w:i/>
        </w:rPr>
        <w:t xml:space="preserve">t</w:t>
      </w:r>
      <w:r>
        <w:t xml:space="preserve"> </w:t>
      </w:r>
      <w:r>
        <w:t xml:space="preserve">from 2.5 to 16.8;</w:t>
      </w:r>
      <w:r>
        <w:t xml:space="preserve"> </w:t>
      </w:r>
      <w:r>
        <w:rPr>
          <w:iCs/>
          <w:i/>
        </w:rPr>
        <w:t xml:space="preserve">P</w:t>
      </w:r>
      <w:r>
        <w:t xml:space="preserve"> </w:t>
      </w:r>
      <w:r>
        <w:t xml:space="preserve">≤ 0.013), and the floor gap is negative in every quarter and significant at the 5% level in seven of them. We also move the break date to the first trading day of each month from January 2025 to April 2026. These placebo dates give ceiling-gap differences between −0.45 and 0.72 percentage points, all with |</w:t>
      </w:r>
      <w:r>
        <w:rPr>
          <w:iCs/>
          <w:i/>
        </w:rPr>
        <w:t xml:space="preserve">t</w:t>
      </w:r>
      <w:r>
        <w:t xml:space="preserve">| ≤ 1.4 (</w:t>
      </w:r>
      <w:r>
        <w:rPr>
          <w:iCs/>
          <w:i/>
        </w:rPr>
        <w:t xml:space="preserve">P</w:t>
      </w:r>
      <w:r>
        <w:t xml:space="preserve"> </w:t>
      </w:r>
      <w:r>
        <w:t xml:space="preserve">≥ 0.162). The split at 5 May 2025 gives the largest difference, 0.85 points, which is not significant either (</w:t>
      </w:r>
      <w:r>
        <w:rPr>
          <w:iCs/>
          <w:i/>
        </w:rPr>
        <w:t xml:space="preserve">t</w:t>
      </w:r>
      <w:r>
        <w:t xml:space="preserve"> </w:t>
      </w:r>
      <w:r>
        <w:t xml:space="preserve">= 1.6,</w:t>
      </w:r>
      <w:r>
        <w:t xml:space="preserve"> </w:t>
      </w:r>
      <w:r>
        <w:rPr>
          <w:iCs/>
          <w:i/>
        </w:rPr>
        <w:t xml:space="preserve">P</w:t>
      </w:r>
      <w:r>
        <w:t xml:space="preserve"> </w:t>
      </w:r>
      <w:r>
        <w:t xml:space="preserve">= 0.110). For floors, the difference is positive at the four placebo dates before the platform change and negative at 11 of the 11 later ones; the split at 5 May 2025 gives −0.95 points (</w:t>
      </w:r>
      <w:r>
        <w:rPr>
          <w:iCs/>
          <w:i/>
        </w:rPr>
        <w:t xml:space="preserve">t</w:t>
      </w:r>
      <w:r>
        <w:t xml:space="preserve"> </w:t>
      </w:r>
      <w:r>
        <w:t xml:space="preserve">= −3.2,</w:t>
      </w:r>
      <w:r>
        <w:t xml:space="preserve"> </w:t>
      </w:r>
      <w:r>
        <w:rPr>
          <w:iCs/>
          <w:i/>
        </w:rPr>
        <w:t xml:space="preserve">P</w:t>
      </w:r>
      <w:r>
        <w:t xml:space="preserve"> </w:t>
      </w:r>
      <w:r>
        <w:t xml:space="preserve">= 0.001), close to the placebo dates that follow it. Table 5 shows no trend in the floor gap, but the floor gap is weak in 2025-Q2 (−0.34%,</w:t>
      </w:r>
      <w:r>
        <w:t xml:space="preserve"> </w:t>
      </w:r>
      <w:r>
        <w:rPr>
          <w:iCs/>
          <w:i/>
        </w:rPr>
        <w:t xml:space="preserve">t</w:t>
      </w:r>
      <w:r>
        <w:t xml:space="preserve"> </w:t>
      </w:r>
      <w:r>
        <w:t xml:space="preserve">= −1.5,</w:t>
      </w:r>
      <w:r>
        <w:t xml:space="preserve"> </w:t>
      </w:r>
      <w:r>
        <w:rPr>
          <w:iCs/>
          <w:i/>
        </w:rPr>
        <w:t xml:space="preserve">P</w:t>
      </w:r>
      <w:r>
        <w:t xml:space="preserve"> </w:t>
      </w:r>
      <w:r>
        <w:t xml:space="preserve">= 0.134), the quarter with the most floor events (802). The placebo dates therefore cannot separate a break at the platform change from a shift specific to that quarter.</w:t>
      </w:r>
    </w:p>
    <w:p>
      <w:pPr>
        <w:pStyle w:val="BodyText"/>
        <w:spacing w:line="480" w:lineRule="auto" w:after="120"/>
        <w:jc w:val="both"/>
      </w:pPr>
      <w:r>
        <w:rPr>
          <w:bCs/>
          <w:b/>
        </w:rPr>
        <w:t xml:space="preserve">Table 5.</w:t>
      </w:r>
      <w:r>
        <w:t xml:space="preserve"> </w:t>
      </w:r>
      <w:r>
        <w:t xml:space="preserve">Events and overnight gaps by calendar quarter</w:t>
      </w:r>
    </w:p>
    <w:tbl>
      <w:tblPr>
        <w:tblStyle w:val="Table"/>
        <w:tblW w:type="auto" w:w="0"/>
        <w:tblLayout w:type="fixed"/>
        <w:tblLook w:firstRow="1" w:lastRow="0" w:firstColumn="0" w:lastColumn="0" w:noHBand="0" w:noVBand="0" w:val="0020"/>
        <w:jc w:val="start"/>
      </w:tblPr>
      <w:tblGrid>
        <w:gridCol w:w="1814"/>
        <w:gridCol w:w="1814"/>
        <w:gridCol w:w="1814"/>
        <w:gridCol w:w="1814"/>
        <w:gridCol w:w="1814"/>
      </w:tblGrid>
      <w:tr>
        <w:trPr>
          <w:tblHeader w:val="true"/>
        </w:trPr>
        <w:tc>
          <w:tcPr>
            <w:tcW w:type="dxa" w:w="1814"/>
            <w:tcBorders>
              <w:top w:val="single" w:sz="6" w:space="0" w:color="000000"/>
              <w:bottom w:val="single" w:sz="6" w:space="0" w:color="000000"/>
            </w:tcBorders>
          </w:tcPr>
          <w:p>
            <w:pPr>
              <w:pStyle w:val="Compact"/>
              <w:spacing w:line="240" w:lineRule="auto" w:after="20"/>
              <w:jc w:val="left"/>
            </w:pPr>
            <w:r>
              <w:rPr>
                <w:b/>
                <w:sz w:val="17"/>
              </w:rPr>
              <w:t xml:space="preserve">Quarter</w:t>
            </w:r>
          </w:p>
        </w:tc>
        <w:tc>
          <w:tcPr>
            <w:tcW w:type="dxa" w:w="1814"/>
            <w:tcBorders>
              <w:top w:val="single" w:sz="6" w:space="0" w:color="000000"/>
              <w:bottom w:val="single" w:sz="6" w:space="0" w:color="000000"/>
            </w:tcBorders>
          </w:tcPr>
          <w:p>
            <w:pPr>
              <w:pStyle w:val="Compact"/>
              <w:spacing w:line="240" w:lineRule="auto" w:after="20"/>
              <w:jc w:val="center"/>
            </w:pPr>
            <w:r>
              <w:rPr>
                <w:b/>
                <w:sz w:val="17"/>
              </w:rPr>
              <w:t xml:space="preserve">Ceiling events</w:t>
            </w:r>
          </w:p>
        </w:tc>
        <w:tc>
          <w:tcPr>
            <w:tcW w:type="dxa" w:w="1814"/>
            <w:tcBorders>
              <w:top w:val="single" w:sz="6" w:space="0" w:color="000000"/>
              <w:bottom w:val="single" w:sz="6" w:space="0" w:color="000000"/>
            </w:tcBorders>
          </w:tcPr>
          <w:p>
            <w:pPr>
              <w:pStyle w:val="Compact"/>
              <w:spacing w:line="240" w:lineRule="auto" w:after="20"/>
              <w:jc w:val="center"/>
            </w:pPr>
            <w:r>
              <w:rPr>
                <w:b/>
                <w:sz w:val="17"/>
              </w:rPr>
              <w:t xml:space="preserve">Ceiling gap</w:t>
            </w:r>
          </w:p>
        </w:tc>
        <w:tc>
          <w:tcPr>
            <w:tcW w:type="dxa" w:w="1814"/>
            <w:tcBorders>
              <w:top w:val="single" w:sz="6" w:space="0" w:color="000000"/>
              <w:bottom w:val="single" w:sz="6" w:space="0" w:color="000000"/>
            </w:tcBorders>
          </w:tcPr>
          <w:p>
            <w:pPr>
              <w:pStyle w:val="Compact"/>
              <w:spacing w:line="240" w:lineRule="auto" w:after="20"/>
              <w:jc w:val="center"/>
            </w:pPr>
            <w:r>
              <w:rPr>
                <w:b/>
                <w:sz w:val="17"/>
              </w:rPr>
              <w:t xml:space="preserve">Floor events</w:t>
            </w:r>
          </w:p>
        </w:tc>
        <w:tc>
          <w:tcPr>
            <w:tcW w:type="dxa" w:w="1814"/>
            <w:tcBorders>
              <w:top w:val="single" w:sz="6" w:space="0" w:color="000000"/>
              <w:bottom w:val="single" w:sz="6" w:space="0" w:color="000000"/>
            </w:tcBorders>
          </w:tcPr>
          <w:p>
            <w:pPr>
              <w:pStyle w:val="Compact"/>
              <w:spacing w:line="240" w:lineRule="auto" w:after="20"/>
              <w:jc w:val="center"/>
            </w:pPr>
            <w:r>
              <w:rPr>
                <w:b/>
                <w:sz w:val="17"/>
              </w:rPr>
              <w:t xml:space="preserve">Floor gap</w:t>
            </w:r>
          </w:p>
        </w:tc>
      </w:tr>
      <w:tr>
        <w:tc>
          <w:tcPr>
            <w:tcW w:type="dxa" w:w="1814"/>
          </w:tcPr>
          <w:p>
            <w:pPr>
              <w:pStyle w:val="Compact"/>
              <w:spacing w:line="240" w:lineRule="auto" w:after="20"/>
              <w:jc w:val="left"/>
            </w:pPr>
            <w:r>
              <w:rPr>
                <w:sz w:val="17"/>
              </w:rPr>
              <w:t xml:space="preserve">2024-Q4</w:t>
            </w:r>
          </w:p>
        </w:tc>
        <w:tc>
          <w:tcPr>
            <w:tcW w:type="dxa" w:w="1814"/>
          </w:tcPr>
          <w:p>
            <w:pPr>
              <w:pStyle w:val="Compact"/>
              <w:spacing w:line="240" w:lineRule="auto" w:after="20"/>
              <w:jc w:val="center"/>
            </w:pPr>
            <w:r>
              <w:rPr>
                <w:sz w:val="17"/>
              </w:rPr>
              <w:t xml:space="preserve">177</w:t>
            </w:r>
          </w:p>
        </w:tc>
        <w:tc>
          <w:tcPr>
            <w:tcW w:type="dxa" w:w="1814"/>
          </w:tcPr>
          <w:p>
            <w:pPr>
              <w:pStyle w:val="Compact"/>
              <w:spacing w:line="240" w:lineRule="auto" w:after="20"/>
              <w:jc w:val="center"/>
            </w:pPr>
            <w:r>
              <w:rPr>
                <w:sz w:val="17"/>
              </w:rPr>
              <w:t xml:space="preserve">2.16 (5.6)</w:t>
            </w:r>
          </w:p>
        </w:tc>
        <w:tc>
          <w:tcPr>
            <w:tcW w:type="dxa" w:w="1814"/>
          </w:tcPr>
          <w:p>
            <w:pPr>
              <w:pStyle w:val="Compact"/>
              <w:spacing w:line="240" w:lineRule="auto" w:after="20"/>
              <w:jc w:val="center"/>
            </w:pPr>
            <w:r>
              <w:rPr>
                <w:sz w:val="17"/>
              </w:rPr>
              <w:t xml:space="preserve">48</w:t>
            </w:r>
          </w:p>
        </w:tc>
        <w:tc>
          <w:tcPr>
            <w:tcW w:type="dxa" w:w="1814"/>
          </w:tcPr>
          <w:p>
            <w:pPr>
              <w:pStyle w:val="Compact"/>
              <w:spacing w:line="240" w:lineRule="auto" w:after="20"/>
              <w:jc w:val="center"/>
            </w:pPr>
            <w:r>
              <w:rPr>
                <w:sz w:val="17"/>
              </w:rPr>
              <w:t xml:space="preserve">−1.50 (−2.5)</w:t>
            </w:r>
          </w:p>
        </w:tc>
      </w:tr>
      <w:tr>
        <w:tc>
          <w:tcPr>
            <w:tcW w:type="dxa" w:w="1814"/>
          </w:tcPr>
          <w:p>
            <w:pPr>
              <w:pStyle w:val="Compact"/>
              <w:spacing w:line="240" w:lineRule="auto" w:after="20"/>
              <w:jc w:val="left"/>
            </w:pPr>
            <w:r>
              <w:rPr>
                <w:sz w:val="17"/>
              </w:rPr>
              <w:t xml:space="preserve">2025-Q1</w:t>
            </w:r>
          </w:p>
        </w:tc>
        <w:tc>
          <w:tcPr>
            <w:tcW w:type="dxa" w:w="1814"/>
          </w:tcPr>
          <w:p>
            <w:pPr>
              <w:pStyle w:val="Compact"/>
              <w:spacing w:line="240" w:lineRule="auto" w:after="20"/>
              <w:jc w:val="center"/>
            </w:pPr>
            <w:r>
              <w:rPr>
                <w:sz w:val="17"/>
              </w:rPr>
              <w:t xml:space="preserve">295</w:t>
            </w:r>
          </w:p>
        </w:tc>
        <w:tc>
          <w:tcPr>
            <w:tcW w:type="dxa" w:w="1814"/>
          </w:tcPr>
          <w:p>
            <w:pPr>
              <w:pStyle w:val="Compact"/>
              <w:spacing w:line="240" w:lineRule="auto" w:after="20"/>
              <w:jc w:val="center"/>
            </w:pPr>
            <w:r>
              <w:rPr>
                <w:sz w:val="17"/>
              </w:rPr>
              <w:t xml:space="preserve">2.78 (9.1)</w:t>
            </w:r>
          </w:p>
        </w:tc>
        <w:tc>
          <w:tcPr>
            <w:tcW w:type="dxa" w:w="1814"/>
          </w:tcPr>
          <w:p>
            <w:pPr>
              <w:pStyle w:val="Compact"/>
              <w:spacing w:line="240" w:lineRule="auto" w:after="20"/>
              <w:jc w:val="center"/>
            </w:pPr>
            <w:r>
              <w:rPr>
                <w:sz w:val="17"/>
              </w:rPr>
              <w:t xml:space="preserve">79</w:t>
            </w:r>
          </w:p>
        </w:tc>
        <w:tc>
          <w:tcPr>
            <w:tcW w:type="dxa" w:w="1814"/>
          </w:tcPr>
          <w:p>
            <w:pPr>
              <w:pStyle w:val="Compact"/>
              <w:spacing w:line="240" w:lineRule="auto" w:after="20"/>
              <w:jc w:val="center"/>
            </w:pPr>
            <w:r>
              <w:rPr>
                <w:sz w:val="17"/>
              </w:rPr>
              <w:t xml:space="preserve">−1.70 (−3.9)</w:t>
            </w:r>
          </w:p>
        </w:tc>
      </w:tr>
      <w:tr>
        <w:tc>
          <w:tcPr>
            <w:tcW w:type="dxa" w:w="1814"/>
          </w:tcPr>
          <w:p>
            <w:pPr>
              <w:pStyle w:val="Compact"/>
              <w:spacing w:line="240" w:lineRule="auto" w:after="20"/>
              <w:jc w:val="left"/>
            </w:pPr>
            <w:r>
              <w:rPr>
                <w:sz w:val="17"/>
              </w:rPr>
              <w:t xml:space="preserve">2025-Q2</w:t>
            </w:r>
          </w:p>
        </w:tc>
        <w:tc>
          <w:tcPr>
            <w:tcW w:type="dxa" w:w="1814"/>
          </w:tcPr>
          <w:p>
            <w:pPr>
              <w:pStyle w:val="Compact"/>
              <w:spacing w:line="240" w:lineRule="auto" w:after="20"/>
              <w:jc w:val="center"/>
            </w:pPr>
            <w:r>
              <w:rPr>
                <w:sz w:val="17"/>
              </w:rPr>
              <w:t xml:space="preserve">686</w:t>
            </w:r>
          </w:p>
        </w:tc>
        <w:tc>
          <w:tcPr>
            <w:tcW w:type="dxa" w:w="1814"/>
          </w:tcPr>
          <w:p>
            <w:pPr>
              <w:pStyle w:val="Compact"/>
              <w:spacing w:line="240" w:lineRule="auto" w:after="20"/>
              <w:jc w:val="center"/>
            </w:pPr>
            <w:r>
              <w:rPr>
                <w:sz w:val="17"/>
              </w:rPr>
              <w:t xml:space="preserve">1.33 (2.5)</w:t>
            </w:r>
          </w:p>
        </w:tc>
        <w:tc>
          <w:tcPr>
            <w:tcW w:type="dxa" w:w="1814"/>
          </w:tcPr>
          <w:p>
            <w:pPr>
              <w:pStyle w:val="Compact"/>
              <w:spacing w:line="240" w:lineRule="auto" w:after="20"/>
              <w:jc w:val="center"/>
            </w:pPr>
            <w:r>
              <w:rPr>
                <w:sz w:val="17"/>
              </w:rPr>
              <w:t xml:space="preserve">802</w:t>
            </w:r>
          </w:p>
        </w:tc>
        <w:tc>
          <w:tcPr>
            <w:tcW w:type="dxa" w:w="1814"/>
          </w:tcPr>
          <w:p>
            <w:pPr>
              <w:pStyle w:val="Compact"/>
              <w:spacing w:line="240" w:lineRule="auto" w:after="20"/>
              <w:jc w:val="center"/>
            </w:pPr>
            <w:r>
              <w:rPr>
                <w:sz w:val="17"/>
              </w:rPr>
              <w:t xml:space="preserve">−0.34 (−1.5)</w:t>
            </w:r>
          </w:p>
        </w:tc>
      </w:tr>
      <w:tr>
        <w:tc>
          <w:tcPr>
            <w:tcW w:type="dxa" w:w="1814"/>
          </w:tcPr>
          <w:p>
            <w:pPr>
              <w:pStyle w:val="Compact"/>
              <w:spacing w:line="240" w:lineRule="auto" w:after="20"/>
              <w:jc w:val="left"/>
            </w:pPr>
            <w:r>
              <w:rPr>
                <w:sz w:val="17"/>
              </w:rPr>
              <w:t xml:space="preserve">2025-Q3</w:t>
            </w:r>
          </w:p>
        </w:tc>
        <w:tc>
          <w:tcPr>
            <w:tcW w:type="dxa" w:w="1814"/>
          </w:tcPr>
          <w:p>
            <w:pPr>
              <w:pStyle w:val="Compact"/>
              <w:spacing w:line="240" w:lineRule="auto" w:after="20"/>
              <w:jc w:val="center"/>
            </w:pPr>
            <w:r>
              <w:rPr>
                <w:sz w:val="17"/>
              </w:rPr>
              <w:t xml:space="preserve">624</w:t>
            </w:r>
          </w:p>
        </w:tc>
        <w:tc>
          <w:tcPr>
            <w:tcW w:type="dxa" w:w="1814"/>
          </w:tcPr>
          <w:p>
            <w:pPr>
              <w:pStyle w:val="Compact"/>
              <w:spacing w:line="240" w:lineRule="auto" w:after="20"/>
              <w:jc w:val="center"/>
            </w:pPr>
            <w:r>
              <w:rPr>
                <w:sz w:val="17"/>
              </w:rPr>
              <w:t xml:space="preserve">2.99 (16.8)</w:t>
            </w:r>
          </w:p>
        </w:tc>
        <w:tc>
          <w:tcPr>
            <w:tcW w:type="dxa" w:w="1814"/>
          </w:tcPr>
          <w:p>
            <w:pPr>
              <w:pStyle w:val="Compact"/>
              <w:spacing w:line="240" w:lineRule="auto" w:after="20"/>
              <w:jc w:val="center"/>
            </w:pPr>
            <w:r>
              <w:rPr>
                <w:sz w:val="17"/>
              </w:rPr>
              <w:t xml:space="preserve">195</w:t>
            </w:r>
          </w:p>
        </w:tc>
        <w:tc>
          <w:tcPr>
            <w:tcW w:type="dxa" w:w="1814"/>
          </w:tcPr>
          <w:p>
            <w:pPr>
              <w:pStyle w:val="Compact"/>
              <w:spacing w:line="240" w:lineRule="auto" w:after="20"/>
              <w:jc w:val="center"/>
            </w:pPr>
            <w:r>
              <w:rPr>
                <w:sz w:val="17"/>
              </w:rPr>
              <w:t xml:space="preserve">−0.86 (−4.1)</w:t>
            </w:r>
          </w:p>
        </w:tc>
      </w:tr>
      <w:tr>
        <w:tc>
          <w:tcPr>
            <w:tcW w:type="dxa" w:w="1814"/>
          </w:tcPr>
          <w:p>
            <w:pPr>
              <w:pStyle w:val="Compact"/>
              <w:spacing w:line="240" w:lineRule="auto" w:after="20"/>
              <w:jc w:val="left"/>
            </w:pPr>
            <w:r>
              <w:rPr>
                <w:sz w:val="17"/>
              </w:rPr>
              <w:t xml:space="preserve">2025-Q4</w:t>
            </w:r>
          </w:p>
        </w:tc>
        <w:tc>
          <w:tcPr>
            <w:tcW w:type="dxa" w:w="1814"/>
          </w:tcPr>
          <w:p>
            <w:pPr>
              <w:pStyle w:val="Compact"/>
              <w:spacing w:line="240" w:lineRule="auto" w:after="20"/>
              <w:jc w:val="center"/>
            </w:pPr>
            <w:r>
              <w:rPr>
                <w:sz w:val="17"/>
              </w:rPr>
              <w:t xml:space="preserve">426</w:t>
            </w:r>
          </w:p>
        </w:tc>
        <w:tc>
          <w:tcPr>
            <w:tcW w:type="dxa" w:w="1814"/>
          </w:tcPr>
          <w:p>
            <w:pPr>
              <w:pStyle w:val="Compact"/>
              <w:spacing w:line="240" w:lineRule="auto" w:after="20"/>
              <w:jc w:val="center"/>
            </w:pPr>
            <w:r>
              <w:rPr>
                <w:sz w:val="17"/>
              </w:rPr>
              <w:t xml:space="preserve">2.64 (7.4)</w:t>
            </w:r>
          </w:p>
        </w:tc>
        <w:tc>
          <w:tcPr>
            <w:tcW w:type="dxa" w:w="1814"/>
          </w:tcPr>
          <w:p>
            <w:pPr>
              <w:pStyle w:val="Compact"/>
              <w:spacing w:line="240" w:lineRule="auto" w:after="20"/>
              <w:jc w:val="center"/>
            </w:pPr>
            <w:r>
              <w:rPr>
                <w:sz w:val="17"/>
              </w:rPr>
              <w:t xml:space="preserve">280</w:t>
            </w:r>
          </w:p>
        </w:tc>
        <w:tc>
          <w:tcPr>
            <w:tcW w:type="dxa" w:w="1814"/>
          </w:tcPr>
          <w:p>
            <w:pPr>
              <w:pStyle w:val="Compact"/>
              <w:spacing w:line="240" w:lineRule="auto" w:after="20"/>
              <w:jc w:val="center"/>
            </w:pPr>
            <w:r>
              <w:rPr>
                <w:sz w:val="17"/>
              </w:rPr>
              <w:t xml:space="preserve">−1.39 (−2.4)</w:t>
            </w:r>
          </w:p>
        </w:tc>
      </w:tr>
      <w:tr>
        <w:tc>
          <w:tcPr>
            <w:tcW w:type="dxa" w:w="1814"/>
          </w:tcPr>
          <w:p>
            <w:pPr>
              <w:pStyle w:val="Compact"/>
              <w:spacing w:line="240" w:lineRule="auto" w:after="20"/>
              <w:jc w:val="left"/>
            </w:pPr>
            <w:r>
              <w:rPr>
                <w:sz w:val="17"/>
              </w:rPr>
              <w:t xml:space="preserve">2026-Q1</w:t>
            </w:r>
          </w:p>
        </w:tc>
        <w:tc>
          <w:tcPr>
            <w:tcW w:type="dxa" w:w="1814"/>
          </w:tcPr>
          <w:p>
            <w:pPr>
              <w:pStyle w:val="Compact"/>
              <w:spacing w:line="240" w:lineRule="auto" w:after="20"/>
              <w:jc w:val="center"/>
            </w:pPr>
            <w:r>
              <w:rPr>
                <w:sz w:val="17"/>
              </w:rPr>
              <w:t xml:space="preserve">455</w:t>
            </w:r>
          </w:p>
        </w:tc>
        <w:tc>
          <w:tcPr>
            <w:tcW w:type="dxa" w:w="1814"/>
          </w:tcPr>
          <w:p>
            <w:pPr>
              <w:pStyle w:val="Compact"/>
              <w:spacing w:line="240" w:lineRule="auto" w:after="20"/>
              <w:jc w:val="center"/>
            </w:pPr>
            <w:r>
              <w:rPr>
                <w:sz w:val="17"/>
              </w:rPr>
              <w:t xml:space="preserve">2.35 (10.4)</w:t>
            </w:r>
          </w:p>
        </w:tc>
        <w:tc>
          <w:tcPr>
            <w:tcW w:type="dxa" w:w="1814"/>
          </w:tcPr>
          <w:p>
            <w:pPr>
              <w:pStyle w:val="Compact"/>
              <w:spacing w:line="240" w:lineRule="auto" w:after="20"/>
              <w:jc w:val="center"/>
            </w:pPr>
            <w:r>
              <w:rPr>
                <w:sz w:val="17"/>
              </w:rPr>
              <w:t xml:space="preserve">433</w:t>
            </w:r>
          </w:p>
        </w:tc>
        <w:tc>
          <w:tcPr>
            <w:tcW w:type="dxa" w:w="1814"/>
          </w:tcPr>
          <w:p>
            <w:pPr>
              <w:pStyle w:val="Compact"/>
              <w:spacing w:line="240" w:lineRule="auto" w:after="20"/>
              <w:jc w:val="center"/>
            </w:pPr>
            <w:r>
              <w:rPr>
                <w:sz w:val="17"/>
              </w:rPr>
              <w:t xml:space="preserve">−1.39 (−7.8)</w:t>
            </w:r>
          </w:p>
        </w:tc>
      </w:tr>
      <w:tr>
        <w:tc>
          <w:tcPr>
            <w:tcW w:type="dxa" w:w="1814"/>
          </w:tcPr>
          <w:p>
            <w:pPr>
              <w:pStyle w:val="Compact"/>
              <w:spacing w:line="240" w:lineRule="auto" w:after="20"/>
              <w:jc w:val="left"/>
            </w:pPr>
            <w:r>
              <w:rPr>
                <w:sz w:val="17"/>
              </w:rPr>
              <w:t xml:space="preserve">2026-Q2</w:t>
            </w:r>
          </w:p>
        </w:tc>
        <w:tc>
          <w:tcPr>
            <w:tcW w:type="dxa" w:w="1814"/>
          </w:tcPr>
          <w:p>
            <w:pPr>
              <w:pStyle w:val="Compact"/>
              <w:spacing w:line="240" w:lineRule="auto" w:after="20"/>
              <w:jc w:val="center"/>
            </w:pPr>
            <w:r>
              <w:rPr>
                <w:sz w:val="17"/>
              </w:rPr>
              <w:t xml:space="preserve">297</w:t>
            </w:r>
          </w:p>
        </w:tc>
        <w:tc>
          <w:tcPr>
            <w:tcW w:type="dxa" w:w="1814"/>
          </w:tcPr>
          <w:p>
            <w:pPr>
              <w:pStyle w:val="Compact"/>
              <w:spacing w:line="240" w:lineRule="auto" w:after="20"/>
              <w:jc w:val="center"/>
            </w:pPr>
            <w:r>
              <w:rPr>
                <w:sz w:val="17"/>
              </w:rPr>
              <w:t xml:space="preserve">2.08 (7.0)</w:t>
            </w:r>
          </w:p>
        </w:tc>
        <w:tc>
          <w:tcPr>
            <w:tcW w:type="dxa" w:w="1814"/>
          </w:tcPr>
          <w:p>
            <w:pPr>
              <w:pStyle w:val="Compact"/>
              <w:spacing w:line="240" w:lineRule="auto" w:after="20"/>
              <w:jc w:val="center"/>
            </w:pPr>
            <w:r>
              <w:rPr>
                <w:sz w:val="17"/>
              </w:rPr>
              <w:t xml:space="preserve">99</w:t>
            </w:r>
          </w:p>
        </w:tc>
        <w:tc>
          <w:tcPr>
            <w:tcW w:type="dxa" w:w="1814"/>
          </w:tcPr>
          <w:p>
            <w:pPr>
              <w:pStyle w:val="Compact"/>
              <w:spacing w:line="240" w:lineRule="auto" w:after="20"/>
              <w:jc w:val="center"/>
            </w:pPr>
            <w:r>
              <w:rPr>
                <w:sz w:val="17"/>
              </w:rPr>
              <w:t xml:space="preserve">−1.46 (−3.3)</w:t>
            </w:r>
          </w:p>
        </w:tc>
      </w:tr>
      <w:tr>
        <w:tc>
          <w:tcPr>
            <w:tcW w:type="dxa" w:w="1814"/>
            <w:tcBorders>
              <w:bottom w:val="single" w:sz="6" w:space="0" w:color="000000"/>
            </w:tcBorders>
          </w:tcPr>
          <w:p>
            <w:pPr>
              <w:pStyle w:val="Compact"/>
              <w:spacing w:line="240" w:lineRule="auto" w:after="20"/>
              <w:jc w:val="left"/>
            </w:pPr>
            <w:r>
              <w:rPr>
                <w:sz w:val="17"/>
              </w:rPr>
              <w:t xml:space="preserve">2026-Q3</w:t>
            </w:r>
          </w:p>
        </w:tc>
        <w:tc>
          <w:tcPr>
            <w:tcW w:type="dxa" w:w="1814"/>
            <w:tcBorders>
              <w:bottom w:val="single" w:sz="6" w:space="0" w:color="000000"/>
            </w:tcBorders>
          </w:tcPr>
          <w:p>
            <w:pPr>
              <w:pStyle w:val="Compact"/>
              <w:spacing w:line="240" w:lineRule="auto" w:after="20"/>
              <w:jc w:val="center"/>
            </w:pPr>
            <w:r>
              <w:rPr>
                <w:sz w:val="17"/>
              </w:rPr>
              <w:t xml:space="preserve">239</w:t>
            </w:r>
          </w:p>
        </w:tc>
        <w:tc>
          <w:tcPr>
            <w:tcW w:type="dxa" w:w="1814"/>
            <w:tcBorders>
              <w:bottom w:val="single" w:sz="6" w:space="0" w:color="000000"/>
            </w:tcBorders>
          </w:tcPr>
          <w:p>
            <w:pPr>
              <w:pStyle w:val="Compact"/>
              <w:spacing w:line="240" w:lineRule="auto" w:after="20"/>
              <w:jc w:val="center"/>
            </w:pPr>
            <w:r>
              <w:rPr>
                <w:sz w:val="17"/>
              </w:rPr>
              <w:t xml:space="preserve">1.61 (5.4)</w:t>
            </w:r>
          </w:p>
        </w:tc>
        <w:tc>
          <w:tcPr>
            <w:tcW w:type="dxa" w:w="1814"/>
            <w:tcBorders>
              <w:bottom w:val="single" w:sz="6" w:space="0" w:color="000000"/>
            </w:tcBorders>
          </w:tcPr>
          <w:p>
            <w:pPr>
              <w:pStyle w:val="Compact"/>
              <w:spacing w:line="240" w:lineRule="auto" w:after="20"/>
              <w:jc w:val="center"/>
            </w:pPr>
            <w:r>
              <w:rPr>
                <w:sz w:val="17"/>
              </w:rPr>
              <w:t xml:space="preserve">175</w:t>
            </w:r>
          </w:p>
        </w:tc>
        <w:tc>
          <w:tcPr>
            <w:tcW w:type="dxa" w:w="1814"/>
            <w:tcBorders>
              <w:bottom w:val="single" w:sz="6" w:space="0" w:color="000000"/>
            </w:tcBorders>
          </w:tcPr>
          <w:p>
            <w:pPr>
              <w:pStyle w:val="Compact"/>
              <w:spacing w:line="240" w:lineRule="auto" w:after="20"/>
              <w:jc w:val="center"/>
            </w:pPr>
            <w:r>
              <w:rPr>
                <w:sz w:val="17"/>
              </w:rPr>
              <w:t xml:space="preserve">−1.55 (−2.8)</w:t>
            </w:r>
          </w:p>
        </w:tc>
      </w:tr>
    </w:tbl>
    <w:p>
      <w:pPr>
        <w:pStyle w:val="BodyText"/>
        <w:spacing w:line="480" w:lineRule="auto" w:after="120"/>
        <w:jc w:val="both"/>
      </w:pPr>
      <w:r>
        <w:rPr>
          <w:iCs/>
          <w:i/>
        </w:rPr>
        <w:t xml:space="preserve">Note.</w:t>
      </w:r>
      <w:r>
        <w:t xml:space="preserve"> </w:t>
      </w:r>
      <w:r>
        <w:t xml:space="preserve">Market-adjusted gaps in percent; two-way-clustered</w:t>
      </w:r>
      <w:r>
        <w:t xml:space="preserve"> </w:t>
      </w:r>
      <w:r>
        <w:rPr>
          <w:iCs/>
          <w:i/>
        </w:rPr>
        <w:t xml:space="preserve">t</w:t>
      </w:r>
      <w:r>
        <w:t xml:space="preserve">-statistics in parentheses. Counts are events with a day-</w:t>
      </w:r>
      <w:r>
        <w:rPr>
          <w:iCs/>
          <w:i/>
        </w:rPr>
        <w:t xml:space="preserve">d</w:t>
      </w:r>
      <w:r>
        <w:t xml:space="preserve">+1 open. The first and last quarters are partial; the KRX change falls in 2025-Q2.</w:t>
      </w:r>
      <w:r>
        <w:t xml:space="preserve"> </w:t>
      </w:r>
      <w:r>
        <w:rPr>
          <w:iCs/>
          <w:i/>
        </w:rPr>
        <w:t xml:space="preserve">P</w:t>
      </w:r>
      <w:r>
        <w:t xml:space="preserve"> </w:t>
      </w:r>
      <w:r>
        <w:t xml:space="preserve">values are from the standard normal distribution (|</w:t>
      </w:r>
      <w:r>
        <w:rPr>
          <w:iCs/>
          <w:i/>
        </w:rPr>
        <w:t xml:space="preserve">t</w:t>
      </w:r>
      <w:r>
        <w:t xml:space="preserve">| ≥ 3.29 gives</w:t>
      </w:r>
      <w:r>
        <w:t xml:space="preserve"> </w:t>
      </w:r>
      <w:r>
        <w:rPr>
          <w:iCs/>
          <w:i/>
        </w:rPr>
        <w:t xml:space="preserve">P</w:t>
      </w:r>
      <w:r>
        <w:t xml:space="preserve"> </w:t>
      </w:r>
      <w:r>
        <w:t xml:space="preserve">≤ 0.001; |</w:t>
      </w:r>
      <w:r>
        <w:rPr>
          <w:iCs/>
          <w:i/>
        </w:rPr>
        <w:t xml:space="preserve">t</w:t>
      </w:r>
      <w:r>
        <w:t xml:space="preserve">| = 1.96 gives</w:t>
      </w:r>
      <w:r>
        <w:t xml:space="preserve"> </w:t>
      </w:r>
      <w:r>
        <w:rPr>
          <w:iCs/>
          <w:i/>
        </w:rPr>
        <w:t xml:space="preserve">P</w:t>
      </w:r>
      <w:r>
        <w:t xml:space="preserve"> </w:t>
      </w:r>
      <w:r>
        <w:t xml:space="preserve">= 0.05).</w:t>
      </w:r>
    </w:p>
    <w:p>
      <w:pPr>
        <w:pStyle w:val="BodyText"/>
        <w:spacing w:line="480" w:lineRule="auto" w:after="120"/>
        <w:jc w:val="both"/>
      </w:pPr>
      <w:r>
        <w:t xml:space="preserve">A difference-in-differences regression compares limit closes with 5–6.5% movers that also closed at the extreme (S4 Table). For ceilings, the excess gap was 2.91 percentage points before the change (</w:t>
      </w:r>
      <w:r>
        <w:rPr>
          <w:iCs/>
          <w:i/>
        </w:rPr>
        <w:t xml:space="preserve">t</w:t>
      </w:r>
      <w:r>
        <w:t xml:space="preserve"> </w:t>
      </w:r>
      <w:r>
        <w:t xml:space="preserve">= 6.2,</w:t>
      </w:r>
      <w:r>
        <w:t xml:space="preserve"> </w:t>
      </w:r>
      <w:r>
        <w:rPr>
          <w:iCs/>
          <w:i/>
        </w:rPr>
        <w:t xml:space="preserve">P</w:t>
      </w:r>
      <w:r>
        <w:t xml:space="preserve"> </w:t>
      </w:r>
      <w:r>
        <w:t xml:space="preserve">&lt; 0.001) and changed by 0.38 points after it (</w:t>
      </w:r>
      <w:r>
        <w:rPr>
          <w:iCs/>
          <w:i/>
        </w:rPr>
        <w:t xml:space="preserve">t</w:t>
      </w:r>
      <w:r>
        <w:t xml:space="preserve"> </w:t>
      </w:r>
      <w:r>
        <w:t xml:space="preserve">= 0.8,</w:t>
      </w:r>
      <w:r>
        <w:t xml:space="preserve"> </w:t>
      </w:r>
      <w:r>
        <w:rPr>
          <w:iCs/>
          <w:i/>
        </w:rPr>
        <w:t xml:space="preserve">P</w:t>
      </w:r>
      <w:r>
        <w:t xml:space="preserve"> </w:t>
      </w:r>
      <w:r>
        <w:t xml:space="preserve">= 0.424). For floors, the excess gap was −1.62 points before (</w:t>
      </w:r>
      <w:r>
        <w:rPr>
          <w:iCs/>
          <w:i/>
        </w:rPr>
        <w:t xml:space="preserve">t</w:t>
      </w:r>
      <w:r>
        <w:t xml:space="preserve"> </w:t>
      </w:r>
      <w:r>
        <w:t xml:space="preserve">= −6.6,</w:t>
      </w:r>
      <w:r>
        <w:t xml:space="preserve"> </w:t>
      </w:r>
      <w:r>
        <w:rPr>
          <w:iCs/>
          <w:i/>
        </w:rPr>
        <w:t xml:space="preserve">P</w:t>
      </w:r>
      <w:r>
        <w:t xml:space="preserve"> </w:t>
      </w:r>
      <w:r>
        <w:t xml:space="preserve">&lt; 0.001) and changed by −0.49 points (</w:t>
      </w:r>
      <w:r>
        <w:rPr>
          <w:iCs/>
          <w:i/>
        </w:rPr>
        <w:t xml:space="preserve">t</w:t>
      </w:r>
      <w:r>
        <w:t xml:space="preserve"> </w:t>
      </w:r>
      <w:r>
        <w:t xml:space="preserve">= −1.5,</w:t>
      </w:r>
      <w:r>
        <w:t xml:space="preserve"> </w:t>
      </w:r>
      <w:r>
        <w:rPr>
          <w:iCs/>
          <w:i/>
        </w:rPr>
        <w:t xml:space="preserve">P</w:t>
      </w:r>
      <w:r>
        <w:t xml:space="preserve"> </w:t>
      </w:r>
      <w:r>
        <w:t xml:space="preserve">= 0.134). The break at the limit is therefore present before the change and does not depend on the post-change period, although the significance of the raw ceiling close-to-close return and of the raw floor gap does (Table 4). These comparisons describe timing, not an effect of the auction rules.</w:t>
      </w:r>
    </w:p>
    <w:p>
      <w:pPr>
        <w:pStyle w:val="Heading3"/>
        <w:jc w:val="left"/>
      </w:pPr>
      <w:r>
        <w:t xml:space="preserve">Robustness</w:t>
      </w:r>
    </w:p>
    <w:p>
      <w:pPr>
        <w:pStyle w:val="FirstParagraph"/>
        <w:spacing w:line="480" w:lineRule="auto" w:after="120"/>
        <w:jc w:val="both"/>
      </w:pPr>
      <w:r>
        <w:t xml:space="preserve">Returns beyond ±8%, which a 7% band does not allow, occur on 96 stock-days and may reflect unadjusted corporate actions or listing-day bands. Dropping every event within five trading days of such a return moves the ceiling gap from 2.24% to 2.26% and the floor gap from −0.97% to −0.98%; the outlier days stay in the market benchmark. Event definitions that do not depend on the tick grid give the same picture (S2 Table): the ceiling gap is 2.07% for returns of at least 6.0% that close at the high, 2.33% at 6.8%, 2.35% for returns between 6.7% and 7.3%, 2.10% without the close-at-high condition and 2.91% on days locked at one price (all</w:t>
      </w:r>
      <w:r>
        <w:t xml:space="preserve"> </w:t>
      </w:r>
      <w:r>
        <w:rPr>
          <w:iCs/>
          <w:i/>
        </w:rPr>
        <w:t xml:space="preserve">t</w:t>
      </w:r>
      <w:r>
        <w:t xml:space="preserve"> </w:t>
      </w:r>
      <w:r>
        <w:t xml:space="preserve">&gt; 2.9,</w:t>
      </w:r>
      <w:r>
        <w:t xml:space="preserve"> </w:t>
      </w:r>
      <w:r>
        <w:rPr>
          <w:iCs/>
          <w:i/>
        </w:rPr>
        <w:t xml:space="preserve">P</w:t>
      </w:r>
      <w:r>
        <w:t xml:space="preserve"> </w:t>
      </w:r>
      <w:r>
        <w:t xml:space="preserve">&lt; 0.01); the floor gap ranges from −0.79% to −2.50%. The four event tests also survive every alternative family definition we consider (S3 Table): the four event tests as their own family, separate ceiling and floor families, the 26 tests under Holm[42] or Bonferroni adjustment, a 28-test family that adds the days</w:t>
      </w:r>
      <w:r>
        <w:t xml:space="preserve"> </w:t>
      </w:r>
      <w:r>
        <w:rPr>
          <w:iCs/>
          <w:i/>
        </w:rPr>
        <w:t xml:space="preserve">d</w:t>
      </w:r>
      <w:r>
        <w:t xml:space="preserve">+2 to</w:t>
      </w:r>
      <w:r>
        <w:t xml:space="preserve"> </w:t>
      </w:r>
      <w:r>
        <w:rPr>
          <w:iCs/>
          <w:i/>
        </w:rPr>
        <w:t xml:space="preserve">d</w:t>
      </w:r>
      <w:r>
        <w:t xml:space="preserve">+5 outcomes, and week-clustered event</w:t>
      </w:r>
      <w:r>
        <w:t xml:space="preserve"> </w:t>
      </w:r>
      <w:r>
        <w:rPr>
          <w:iCs/>
          <w:i/>
        </w:rPr>
        <w:t xml:space="preserve">P</w:t>
      </w:r>
      <w:r>
        <w:t xml:space="preserve"> </w:t>
      </w:r>
      <w:r>
        <w:t xml:space="preserve">values; the largest adjusted</w:t>
      </w:r>
      <w:r>
        <w:t xml:space="preserve"> </w:t>
      </w:r>
      <w:r>
        <w:rPr>
          <w:iCs/>
          <w:i/>
        </w:rPr>
        <w:t xml:space="preserve">P</w:t>
      </w:r>
      <w:r>
        <w:t xml:space="preserve"> </w:t>
      </w:r>
      <w:r>
        <w:t xml:space="preserve">value across these definitions is 0.0026.</w:t>
      </w:r>
    </w:p>
    <w:p>
      <w:pPr>
        <w:pStyle w:val="BodyText"/>
        <w:spacing w:line="480" w:lineRule="auto" w:after="120"/>
        <w:jc w:val="both"/>
      </w:pPr>
      <w:r>
        <w:t xml:space="preserve">To bound the effect of a wider search, let</w:t>
      </w:r>
      <w:r>
        <w:t xml:space="preserve"> </w:t>
      </w:r>
      <w:r>
        <w:rPr>
          <w:iCs/>
          <w:i/>
        </w:rPr>
        <w:t xml:space="preserve">p</w:t>
      </w:r>
      <w:r>
        <w:rPr>
          <w:vertAlign w:val="subscript"/>
        </w:rPr>
        <w:t xml:space="preserve">max</w:t>
      </w:r>
      <w:r>
        <w:t xml:space="preserve"> </w:t>
      </w:r>
      <w:r>
        <w:t xml:space="preserve">be the largest event-test</w:t>
      </w:r>
      <w:r>
        <w:t xml:space="preserve"> </w:t>
      </w:r>
      <w:r>
        <w:rPr>
          <w:iCs/>
          <w:i/>
        </w:rPr>
        <w:t xml:space="preserve">P</w:t>
      </w:r>
      <w:r>
        <w:t xml:space="preserve"> </w:t>
      </w:r>
      <w:r>
        <w:t xml:space="preserve">value computed with the factor</w:t>
      </w:r>
      <w:r>
        <w:t xml:space="preserve"> </w:t>
      </w:r>
      <w:r>
        <w:rPr>
          <w:iCs/>
          <w:i/>
        </w:rPr>
        <w:t xml:space="preserve">G</w:t>
      </w:r>
      <w:r>
        <w:t xml:space="preserve">/(</w:t>
      </w:r>
      <w:r>
        <w:rPr>
          <w:iCs/>
          <w:i/>
        </w:rPr>
        <w:t xml:space="preserve">G</w:t>
      </w:r>
      <w:r>
        <w:t xml:space="preserve"> </w:t>
      </w:r>
      <w:r>
        <w:t xml:space="preserve">− 1) and a</w:t>
      </w:r>
      <w:r>
        <w:t xml:space="preserve"> </w:t>
      </w:r>
      <w:r>
        <w:rPr>
          <w:iCs/>
          <w:i/>
        </w:rPr>
        <w:t xml:space="preserve">t</w:t>
      </w:r>
      <w:r>
        <w:t xml:space="preserve"> </w:t>
      </w:r>
      <w:r>
        <w:t xml:space="preserve">reference. All four event tests survive a Bonferroni correction at 5% in families of up to ⌊0.05/</w:t>
      </w:r>
      <w:r>
        <w:rPr>
          <w:iCs/>
          <w:i/>
        </w:rPr>
        <w:t xml:space="preserve">p</w:t>
      </w:r>
      <w:r>
        <w:rPr>
          <w:vertAlign w:val="subscript"/>
        </w:rPr>
        <w:t xml:space="preserve">max</w:t>
      </w:r>
      <w:r>
        <w:t xml:space="preserve">⌋ tests: 683 with date clusters and 125 with calendar-week clusters (</w:t>
      </w:r>
      <w:r>
        <w:rPr>
          <w:iCs/>
          <w:i/>
        </w:rPr>
        <w:t xml:space="preserve">p</w:t>
      </w:r>
      <w:r>
        <w:rPr>
          <w:vertAlign w:val="subscript"/>
        </w:rPr>
        <w:t xml:space="preserve">max</w:t>
      </w:r>
      <w:r>
        <w:t xml:space="preserve"> </w:t>
      </w:r>
      <w:r>
        <w:t xml:space="preserve">of 0.00007 and 0.00040). The bound limits false discoveries but leaves the upward bias in effect sizes untouched. The results support H</w:t>
      </w:r>
      <w:r>
        <w:rPr>
          <w:vertAlign w:val="subscript"/>
        </w:rPr>
        <w:t xml:space="preserve">1</w:t>
      </w:r>
      <w:r>
        <w:t xml:space="preserve"> </w:t>
      </w:r>
      <w:r>
        <w:t xml:space="preserve">to H</w:t>
      </w:r>
      <w:r>
        <w:rPr>
          <w:vertAlign w:val="subscript"/>
        </w:rPr>
        <w:t xml:space="preserve">4</w:t>
      </w:r>
      <w:r>
        <w:t xml:space="preserve"> </w:t>
      </w:r>
      <w:r>
        <w:t xml:space="preserve">for ceilings; the floor effect depends on the benchmark, and its drift appears only before the 2025 platform change.</w:t>
      </w:r>
    </w:p>
    <w:p>
      <w:pPr>
        <w:pStyle w:val="Heading2"/>
        <w:jc w:val="left"/>
      </w:pPr>
      <w:r>
        <w:t xml:space="preserve">Discussion</w:t>
      </w:r>
    </w:p>
    <w:p>
      <w:pPr>
        <w:pStyle w:val="FirstParagraph"/>
        <w:spacing w:line="480" w:lineRule="auto" w:after="120"/>
        <w:jc w:val="both"/>
      </w:pPr>
      <w:r>
        <w:t xml:space="preserve">Our ceiling gap is larger than the 1.18% reported for Taiwan[10], and the following session reverses a smaller share of it (about 24% against about two thirds). Our decomposition also adds timing to the evidence from Tokyo[7]: on the HOSE, the continuation after ceiling closes arrives at the next opening and ends after the first day, and the intraday giveback is a one-day analogue of the cross-period reversal found in U.S. stocks[28]. A pure attention reading must explain the contrast with stocks that moved almost as far, including those that also closed at their high, and a gap-only reading cannot explain the pre-change post-open drift after floor closes. The earlier studies measure different outcomes and horizons, so S1 Table compares signs, timing and mechanisms rather than magnitudes; for example, the day-1 abnormal return after ceiling and floor closes on ChiNext[12] shows the opposite asymmetry, and overnight returns in China are negative on average[32], whereas on the HOSE the overnight return after ceiling closes is positive.</w:t>
      </w:r>
    </w:p>
    <w:p>
      <w:pPr>
        <w:pStyle w:val="BodyText"/>
        <w:spacing w:line="480" w:lineRule="auto" w:after="120"/>
        <w:jc w:val="both"/>
      </w:pPr>
      <w:r>
        <w:t xml:space="preserve">A 7% band leaves room for a large overnight gap, so the opening auction may do much of the adjustment that a wider band would allow on day</w:t>
      </w:r>
      <w:r>
        <w:t xml:space="preserve"> </w:t>
      </w:r>
      <w:r>
        <w:rPr>
          <w:iCs/>
          <w:i/>
        </w:rPr>
        <w:t xml:space="preserve">d</w:t>
      </w:r>
      <w:r>
        <w:t xml:space="preserve">. The floor results after at-the-open orders lost priority (Table 4) fit auction design shaping how the opening absorbs overnight pressure, but the market period changed at the same time; a band change on the HOSE, like the ChiNext widening[12], would give a natural experiment. The volume and prior-return results also fit an attention channel in which the limit amplifies demand: a stock at its ceiling may appear on screens and rankings the next morning, and a queue at the limit may signal excess demand.</w:t>
      </w:r>
    </w:p>
    <w:p>
      <w:pPr>
        <w:pStyle w:val="BodyText"/>
        <w:spacing w:line="480" w:lineRule="auto" w:after="120"/>
        <w:jc w:val="both"/>
      </w:pPr>
      <w:r>
        <w:t xml:space="preserve">The estimates describe what follows limit closes on the HOSE from 2024 to 2026. They cannot show what the limit does to price discovery: the band does not vary, no period lacks a limit, and we measure none of the benefits a limit is meant to deliver. For investors, buying ceiling stocks at the quoted next open lost money against the market by the fifth close, excluding costs and rationing at the open.</w:t>
      </w:r>
    </w:p>
    <w:p>
      <w:pPr>
        <w:pStyle w:val="BodyText"/>
        <w:spacing w:line="480" w:lineRule="auto" w:after="120"/>
        <w:jc w:val="both"/>
      </w:pPr>
      <w:r>
        <w:t xml:space="preserve">Several limitations qualify these results. The sample covers 519 trading days on one exchange, with one platform change and a period of market stress. Without order-book, investor-type, announcement or news data, we infer the unfilled-demand mechanism and cannot separate it from selection on news. The 7% band, reference price and platform change come from brokerage and press descriptions, checked against returns but not against exchange circulars; tick sizes, reference prices on corporate-action days, and wider bands for first-day listings and resumed trading are assumptions. The data vendor appears to adjust earlier prices for later corporate actions: for stocks priced at 10 thousand dong or more, only 25% to 58% of closes are tick multiples, and near hits make up 62% of ceiling events for the higher-priced stocks against 23% for the others. Proportional adjustment leaves returns (except on ex-dates), the close-at-high rule and locked days unchanged but makes the exact-hit classification unreliable, so we treat that split as a data check, not a measure of distance to the limit. The listing snapshot excludes stocks delisted before the download. Events in one market episode may depend on each other beyond our clustering, and we computed no calendar-time portfolio estimates or standard errors robust to both cross-sectional and serial dependence. Several characteristics (5-day return, largest and smallest daily returns, move frequency and overnight return) share inputs with the event definition, and the Corwin–Schultz spread and range volatility use limit-censored highs and lows. The floor effect depends on the benchmark, and we built no beta- and size-matched control for the five-day outcome. The characteristic tests have limited power, and effect sizes may carry winner’s-curse bias from choosing this question among several screened on the same data.</w:t>
      </w:r>
    </w:p>
    <w:p>
      <w:pPr>
        <w:pStyle w:val="Heading2"/>
        <w:jc w:val="left"/>
      </w:pPr>
      <w:r>
        <w:t xml:space="preserve">Conclusions</w:t>
      </w:r>
    </w:p>
    <w:p>
      <w:pPr>
        <w:pStyle w:val="FirstParagraph"/>
        <w:spacing w:line="480" w:lineRule="auto" w:after="120"/>
        <w:jc w:val="both"/>
      </w:pPr>
      <w:r>
        <w:t xml:space="preserve">Of 26 tests on 347 HOSE stocks, the four price-limit tests survive FDR control and the confirmation-half check, and the 22 lower-powered characteristic tests do not. After a ceiling close, the next-day abnormal return of 1.7% is an overnight gap of 2.2% less an intraday reversal of 0.5%. The gap is 2.7 percentage points larger than for stocks that rose 5% to 6.5% and 3.1 points larger than for those among them that also closed at their high. After a floor close, the overnight gap is −1.0%. An outside buyer at the next open loses 0.7% against the market by the fifth close. The pattern is consistent with delayed price discovery at the limit, but news, attention and opening-auction overshooting remain possible explanations; longer samples, announcement time stamps and order-book queues would let future work separate them.</w:t>
      </w:r>
    </w:p>
    <w:p>
      <w:pPr>
        <w:pStyle w:val="Heading2"/>
        <w:jc w:val="left"/>
      </w:pPr>
      <w:r>
        <w:t xml:space="preserve">Materials and methods</w:t>
      </w:r>
    </w:p>
    <w:p>
      <w:pPr>
        <w:pStyle w:val="Heading3"/>
        <w:jc w:val="left"/>
      </w:pPr>
      <w:r>
        <w:t xml:space="preserve">Data and institutional setting</w:t>
      </w:r>
    </w:p>
    <w:p>
      <w:pPr>
        <w:pStyle w:val="FirstParagraph"/>
        <w:spacing w:line="480" w:lineRule="auto" w:after="120"/>
        <w:jc w:val="both"/>
      </w:pPr>
      <w:r>
        <w:t xml:space="preserve">On 24 September 2026 we downloaded daily open, high, low, close and volume series for all HOSE-listed stocks with the vnstock Python library (version 4.0.4; source Vietcap Securities, VCI). A listing file from the same source and date (743 rows for all instrument types) defines the universe. The retrieval returned 405 HOSE stock files with records through 23 September 2026, and we used the 519 trading days from 21 August 2024. Prices are in thousand dong. The vendor does not document corporate-action adjustment, and the files contain no market capitalization, order book, investor type or news. We kept the 347 stocks with at least 95% non-missing closes, 178,773 stock-days in all. The daily close-to-close return has a mean of 0.018%, a median of 0.00% and a standard deviation of 2.10%. Dollar volume (price times shares traded, in dong) is skewed, with a median of 2.6 billion dong per stock-day and a mean of 51.2 billion. The stocks span 18 two-digit Industry Classification Benchmark sectors; the largest holds 15% of them.</w:t>
      </w:r>
    </w:p>
    <w:p>
      <w:pPr>
        <w:pStyle w:val="BodyText"/>
        <w:spacing w:line="480" w:lineRule="auto" w:after="120"/>
        <w:jc w:val="both"/>
      </w:pPr>
      <w:r>
        <w:t xml:space="preserve">The HOSE sets a daily price limit of 7% around the reference price, the previous close on normal trading days[43]. On 5 May 2025 the HOSE moved to the trading platform of the Korea Exchange (KRX). The band remained unchanged, but at-the-open and at-the-close orders lost their priority over limit orders in the opening and closing call auctions[43,44], whose prices define our events and gaps. Treating the band, tick sizes and reference-price rule as assumptions, we check the band against the data: 1.98% of stock-days fall between +6.5% and +7.1% and 1.30% between −7.1% and −6.5%, against 0.29% between +6.0% and +6.5%, a pile-up consistent with a 7% band.</w:t>
      </w:r>
    </w:p>
    <w:p>
      <w:pPr>
        <w:pStyle w:val="Heading3"/>
        <w:jc w:val="left"/>
      </w:pPr>
      <w:r>
        <w:t xml:space="preserve">Returns, events and outcomes</w:t>
      </w:r>
    </w:p>
    <w:p>
      <w:pPr>
        <w:pStyle w:val="FirstParagraph"/>
        <w:spacing w:line="480" w:lineRule="auto" w:after="120"/>
        <w:jc w:val="both"/>
      </w:pPr>
      <w:r>
        <w:t xml:space="preserve">For stock</w:t>
      </w:r>
      <w:r>
        <w:t xml:space="preserve"> </w:t>
      </w:r>
      <w:r>
        <w:rPr>
          <w:iCs/>
          <w:i/>
        </w:rPr>
        <w:t xml:space="preserve">i</w:t>
      </w:r>
      <w:r>
        <w:t xml:space="preserve"> </w:t>
      </w:r>
      <w:r>
        <w:t xml:space="preserve">on trading day</w:t>
      </w:r>
      <w:r>
        <w:t xml:space="preserve"> </w:t>
      </w:r>
      <w:r>
        <w:rPr>
          <w:iCs/>
          <w:i/>
        </w:rPr>
        <w:t xml:space="preserve">d</w:t>
      </w:r>
      <w:r>
        <w:t xml:space="preserve">,</w:t>
      </w:r>
      <w:r>
        <w:t xml:space="preserve"> </w:t>
      </w:r>
      <w:r>
        <w:rPr>
          <w:iCs/>
          <w:i/>
        </w:rPr>
        <w:t xml:space="preserve">C</w:t>
      </w:r>
      <w:r>
        <w:rPr>
          <w:iCs/>
          <w:i/>
          <w:vertAlign w:val="subscript"/>
        </w:rPr>
        <w:t xml:space="preserve">i,d</w:t>
      </w:r>
      <w:r>
        <w:t xml:space="preserve">,</w:t>
      </w:r>
      <w:r>
        <w:t xml:space="preserve"> </w:t>
      </w:r>
      <w:r>
        <w:rPr>
          <w:iCs/>
          <w:i/>
        </w:rPr>
        <w:t xml:space="preserve">O</w:t>
      </w:r>
      <w:r>
        <w:rPr>
          <w:iCs/>
          <w:i/>
          <w:vertAlign w:val="subscript"/>
        </w:rPr>
        <w:t xml:space="preserve">i,d</w:t>
      </w:r>
      <w:r>
        <w:t xml:space="preserve">,</w:t>
      </w:r>
      <w:r>
        <w:t xml:space="preserve"> </w:t>
      </w:r>
      <w:r>
        <w:rPr>
          <w:iCs/>
          <w:i/>
        </w:rPr>
        <w:t xml:space="preserve">H</w:t>
      </w:r>
      <w:r>
        <w:rPr>
          <w:iCs/>
          <w:i/>
          <w:vertAlign w:val="subscript"/>
        </w:rPr>
        <w:t xml:space="preserve">i,d</w:t>
      </w:r>
      <w:r>
        <w:t xml:space="preserve"> </w:t>
      </w:r>
      <w:r>
        <w:t xml:space="preserve">and</w:t>
      </w:r>
      <w:r>
        <w:t xml:space="preserve"> </w:t>
      </w:r>
      <w:r>
        <w:rPr>
          <w:iCs/>
          <w:i/>
        </w:rPr>
        <w:t xml:space="preserve">L</w:t>
      </w:r>
      <w:r>
        <w:rPr>
          <w:iCs/>
          <w:i/>
          <w:vertAlign w:val="subscript"/>
        </w:rPr>
        <w:t xml:space="preserve">i,d</w:t>
      </w:r>
      <w:r>
        <w:t xml:space="preserve"> </w:t>
      </w:r>
      <w:r>
        <w:t xml:space="preserve">are the close, open, high and low prices, and the close-to-close return is</w:t>
      </w:r>
    </w:p>
    <w:tbl>
      <w:tblPr>
        <w:tblStyle w:val="Table"/>
        <w:tblW w:type="auto" w:w="0"/>
        <w:tblLayout w:type="fixed"/>
        <w:tblLook w:firstRow="0" w:lastRow="0" w:firstColumn="0" w:lastColumn="0" w:noHBand="0" w:noVBand="0" w:val="0000"/>
        <w:jc w:val="start"/>
      </w:tblPr>
      <w:tblGrid>
        <w:gridCol w:w="3960"/>
        <w:gridCol w:w="3960"/>
      </w:tblGrid>
      <w:tr>
        <w:tc>
          <w:tcPr>
            <w:tcW w:type="dxa" w:w="7937"/>
          </w:tcPr>
          <w:p>
            <w:pPr>
              <w:pStyle w:val="Compact"/>
              <w:spacing w:line="240" w:lineRule="auto"/>
              <w:jc w:val="center"/>
            </w:pPr>
            <m:oMathPara>
              <m:oMathParaPr>
                <m:jc m:val="center"/>
              </m:oMathParaPr>
              <m:oMath>
                <m:sSub>
                  <m:e>
                    <m:r>
                      <m:t>R</m:t>
                    </m:r>
                  </m:e>
                  <m:sub>
                    <m:r>
                      <m:t>i</m:t>
                    </m:r>
                    <m:r>
                      <m:rPr>
                        <m:sty m:val="p"/>
                      </m:rPr>
                      <m:t>,</m:t>
                    </m:r>
                    <m:r>
                      <m:t>d</m:t>
                    </m:r>
                  </m:sub>
                </m:sSub>
                <m:r>
                  <m:rPr>
                    <m:sty m:val="p"/>
                  </m:rPr>
                  <m:t>=</m:t>
                </m:r>
                <m:f>
                  <m:fPr>
                    <m:type m:val="bar"/>
                  </m:fPr>
                  <m:num>
                    <m:sSub>
                      <m:e>
                        <m:r>
                          <m:t>C</m:t>
                        </m:r>
                      </m:e>
                      <m:sub>
                        <m:r>
                          <m:t>i</m:t>
                        </m:r>
                        <m:r>
                          <m:rPr>
                            <m:sty m:val="p"/>
                          </m:rPr>
                          <m:t>,</m:t>
                        </m:r>
                        <m:r>
                          <m:t>d</m:t>
                        </m:r>
                      </m:sub>
                    </m:sSub>
                  </m:num>
                  <m:den>
                    <m:sSub>
                      <m:e>
                        <m:r>
                          <m:t>C</m:t>
                        </m:r>
                      </m:e>
                      <m:sub>
                        <m:r>
                          <m:t>i</m:t>
                        </m:r>
                        <m:r>
                          <m:rPr>
                            <m:sty m:val="p"/>
                          </m:rPr>
                          <m:t>,</m:t>
                        </m:r>
                        <m:r>
                          <m:t>d</m:t>
                        </m:r>
                        <m:r>
                          <m:rPr>
                            <m:sty m:val="p"/>
                          </m:rPr>
                          <m:t>−</m:t>
                        </m:r>
                        <m:r>
                          <m:t>1</m:t>
                        </m:r>
                      </m:sub>
                    </m:sSub>
                  </m:den>
                </m:f>
                <m:r>
                  <m:rPr>
                    <m:sty m:val="p"/>
                  </m:rPr>
                  <m:t>−</m:t>
                </m:r>
                <m:r>
                  <m:t>1</m:t>
                </m:r>
                <m:r>
                  <m:rPr>
                    <m:sty m:val="p"/>
                  </m:rPr>
                  <m:t>.</m:t>
                </m:r>
              </m:oMath>
            </m:oMathPara>
          </w:p>
        </w:tc>
        <w:tc>
          <w:tcPr>
            <w:tcW w:type="dxa" w:w="1134"/>
          </w:tcPr>
          <w:p>
            <w:pPr>
              <w:pStyle w:val="Compact"/>
              <w:spacing w:line="240" w:lineRule="auto"/>
              <w:jc w:val="right"/>
            </w:pPr>
            <w:r>
              <w:t xml:space="preserve">(1)</w:t>
            </w:r>
          </w:p>
        </w:tc>
      </w:tr>
    </w:tbl>
    <w:p>
      <w:pPr>
        <w:pStyle w:val="BodyText"/>
        <w:spacing w:line="480" w:lineRule="auto" w:after="120"/>
        <w:jc w:val="both"/>
      </w:pPr>
      <w:r>
        <w:t xml:space="preserve">A ceiling event has a return (equation (1)) of</w:t>
      </w:r>
      <w:r>
        <w:t xml:space="preserve"> </w:t>
      </w:r>
      <w:r>
        <w:rPr>
          <w:iCs/>
          <w:i/>
        </w:rPr>
        <w:t xml:space="preserve">R</w:t>
      </w:r>
      <w:r>
        <w:rPr>
          <w:iCs/>
          <w:i/>
          <w:vertAlign w:val="subscript"/>
        </w:rPr>
        <w:t xml:space="preserve">i,d</w:t>
      </w:r>
      <w:r>
        <w:t xml:space="preserve"> </w:t>
      </w:r>
      <w:r>
        <w:t xml:space="preserve">≥ 0.065 and</w:t>
      </w:r>
      <w:r>
        <w:t xml:space="preserve"> </w:t>
      </w:r>
      <w:r>
        <w:rPr>
          <w:iCs/>
          <w:i/>
        </w:rPr>
        <w:t xml:space="preserve">C</w:t>
      </w:r>
      <w:r>
        <w:rPr>
          <w:iCs/>
          <w:i/>
          <w:vertAlign w:val="subscript"/>
        </w:rPr>
        <w:t xml:space="preserve">i,d</w:t>
      </w:r>
      <w:r>
        <w:t xml:space="preserve"> </w:t>
      </w:r>
      <w:r>
        <w:t xml:space="preserve">=</w:t>
      </w:r>
      <w:r>
        <w:t xml:space="preserve"> </w:t>
      </w:r>
      <w:r>
        <w:rPr>
          <w:iCs/>
          <w:i/>
        </w:rPr>
        <w:t xml:space="preserve">H</w:t>
      </w:r>
      <w:r>
        <w:rPr>
          <w:iCs/>
          <w:i/>
          <w:vertAlign w:val="subscript"/>
        </w:rPr>
        <w:t xml:space="preserve">i,d</w:t>
      </w:r>
      <w:r>
        <w:t xml:space="preserve">, whereas a floor event has</w:t>
      </w:r>
      <w:r>
        <w:t xml:space="preserve"> </w:t>
      </w:r>
      <w:r>
        <w:rPr>
          <w:iCs/>
          <w:i/>
        </w:rPr>
        <w:t xml:space="preserve">R</w:t>
      </w:r>
      <w:r>
        <w:rPr>
          <w:iCs/>
          <w:i/>
          <w:vertAlign w:val="subscript"/>
        </w:rPr>
        <w:t xml:space="preserve">i,d</w:t>
      </w:r>
      <w:r>
        <w:t xml:space="preserve"> </w:t>
      </w:r>
      <w:r>
        <w:t xml:space="preserve">≤ −0.065 and</w:t>
      </w:r>
      <w:r>
        <w:t xml:space="preserve"> </w:t>
      </w:r>
      <w:r>
        <w:rPr>
          <w:iCs/>
          <w:i/>
        </w:rPr>
        <w:t xml:space="preserve">C</w:t>
      </w:r>
      <w:r>
        <w:rPr>
          <w:iCs/>
          <w:i/>
          <w:vertAlign w:val="subscript"/>
        </w:rPr>
        <w:t xml:space="preserve">i,d</w:t>
      </w:r>
      <w:r>
        <w:t xml:space="preserve"> </w:t>
      </w:r>
      <w:r>
        <w:t xml:space="preserve">=</w:t>
      </w:r>
      <w:r>
        <w:t xml:space="preserve"> </w:t>
      </w:r>
      <w:r>
        <w:rPr>
          <w:iCs/>
          <w:i/>
        </w:rPr>
        <w:t xml:space="preserve">L</w:t>
      </w:r>
      <w:r>
        <w:rPr>
          <w:iCs/>
          <w:i/>
          <w:vertAlign w:val="subscript"/>
        </w:rPr>
        <w:t xml:space="preserve">i,d</w:t>
      </w:r>
      <w:r>
        <w:t xml:space="preserve">. The event window runs from day 61, when a 60-day volume history exists, to five days before the sample end. The market return weights stocks by dollar volume,</w:t>
      </w:r>
    </w:p>
    <w:tbl>
      <w:tblPr>
        <w:tblStyle w:val="Table"/>
        <w:tblW w:type="pct" w:w="5000"/>
        <w:tblLayout w:type="fixed"/>
        <w:tblLook w:firstRow="0" w:lastRow="0" w:firstColumn="0" w:lastColumn="0" w:noHBand="0" w:noVBand="0" w:val="0000"/>
        <w:jc w:val="start"/>
      </w:tblPr>
      <w:tblGrid>
        <w:gridCol w:w="7344"/>
        <w:gridCol w:w="576"/>
      </w:tblGrid>
      <w:tr>
        <w:tc>
          <w:tcPr>
            <w:tcW w:type="dxa" w:w="7937"/>
          </w:tcPr>
          <w:p>
            <w:pPr>
              <w:pStyle w:val="Compact"/>
              <w:spacing w:line="240" w:lineRule="auto"/>
              <w:jc w:val="center"/>
            </w:pPr>
            <m:oMathPara>
              <m:oMathParaPr>
                <m:jc m:val="center"/>
              </m:oMathParaPr>
              <m:oMath>
                <m:sSubSup>
                  <m:e>
                    <m:r>
                      <m:t>R</m:t>
                    </m:r>
                  </m:e>
                  <m:sub>
                    <m:r>
                      <m:t>d</m:t>
                    </m:r>
                  </m:sub>
                  <m:sup>
                    <m:r>
                      <m:rPr>
                        <m:nor/>
                        <m:sty m:val="p"/>
                      </m:rPr>
                      <m:t>mkt</m:t>
                    </m:r>
                  </m:sup>
                </m:sSubSup>
                <m:r>
                  <m:rPr>
                    <m:sty m:val="p"/>
                  </m:rPr>
                  <m:t>=</m:t>
                </m:r>
                <m:nary>
                  <m:naryPr>
                    <m:chr m:val="∑"/>
                    <m:limLoc m:val="undOvr"/>
                    <m:subHide m:val="off"/>
                    <m:supHide m:val="on"/>
                  </m:naryPr>
                  <m:sub>
                    <m:r>
                      <m:t>j</m:t>
                    </m:r>
                  </m:sub>
                  <m:sup>
                    <m:r>
                      <m:t>​</m:t>
                    </m:r>
                  </m:sup>
                  <m:e>
                    <m:sSub>
                      <m:e>
                        <m:r>
                          <m:t>w</m:t>
                        </m:r>
                      </m:e>
                      <m:sub>
                        <m:r>
                          <m:t>j</m:t>
                        </m:r>
                        <m:r>
                          <m:rPr>
                            <m:sty m:val="p"/>
                          </m:rPr>
                          <m:t>,</m:t>
                        </m:r>
                        <m:r>
                          <m:t>d</m:t>
                        </m:r>
                      </m:sub>
                    </m:sSub>
                  </m:e>
                </m:nary>
                <m:sSub>
                  <m:e>
                    <m:r>
                      <m:t>R</m:t>
                    </m:r>
                  </m:e>
                  <m:sub>
                    <m:r>
                      <m:t>j</m:t>
                    </m:r>
                    <m:r>
                      <m:rPr>
                        <m:sty m:val="p"/>
                      </m:rPr>
                      <m:t>,</m:t>
                    </m:r>
                    <m:r>
                      <m:t>d</m:t>
                    </m:r>
                  </m:sub>
                </m:sSub>
                <m:r>
                  <m:rPr>
                    <m:sty m:val="p"/>
                  </m:rPr>
                  <m:t>,</m:t>
                </m:r>
                <m:r>
                  <m:t>  </m:t>
                </m:r>
                <m:sSub>
                  <m:e>
                    <m:r>
                      <m:t>w</m:t>
                    </m:r>
                  </m:e>
                  <m:sub>
                    <m:r>
                      <m:t>j</m:t>
                    </m:r>
                    <m:r>
                      <m:rPr>
                        <m:sty m:val="p"/>
                      </m:rPr>
                      <m:t>,</m:t>
                    </m:r>
                    <m:r>
                      <m:t>d</m:t>
                    </m:r>
                  </m:sub>
                </m:sSub>
                <m:r>
                  <m:rPr>
                    <m:sty m:val="p"/>
                  </m:rPr>
                  <m:t>=</m:t>
                </m:r>
                <m:f>
                  <m:fPr>
                    <m:type m:val="bar"/>
                  </m:fPr>
                  <m:num>
                    <m:sSub>
                      <m:e>
                        <m:bar>
                          <m:barPr>
                            <m:pos m:val="top"/>
                          </m:barPr>
                          <m:e>
                            <m:r>
                              <m:t>V</m:t>
                            </m:r>
                          </m:e>
                        </m:bar>
                      </m:e>
                      <m:sub>
                        <m:r>
                          <m:t>j</m:t>
                        </m:r>
                        <m:r>
                          <m:rPr>
                            <m:sty m:val="p"/>
                          </m:rPr>
                          <m:t>,</m:t>
                        </m:r>
                        <m:r>
                          <m:t>d</m:t>
                        </m:r>
                      </m:sub>
                    </m:sSub>
                  </m:num>
                  <m:den>
                    <m:nary>
                      <m:naryPr>
                        <m:chr m:val="∑"/>
                        <m:limLoc m:val="undOvr"/>
                        <m:subHide m:val="off"/>
                        <m:supHide m:val="on"/>
                      </m:naryPr>
                      <m:sub>
                        <m:r>
                          <m:t>l</m:t>
                        </m:r>
                      </m:sub>
                      <m:sup>
                        <m:r>
                          <m:t>​</m:t>
                        </m:r>
                      </m:sup>
                      <m:e>
                        <m:sSub>
                          <m:e>
                            <m:bar>
                              <m:barPr>
                                <m:pos m:val="top"/>
                              </m:barPr>
                              <m:e>
                                <m:r>
                                  <m:t>V</m:t>
                                </m:r>
                              </m:e>
                            </m:bar>
                          </m:e>
                          <m:sub>
                            <m:r>
                              <m:t>l</m:t>
                            </m:r>
                            <m:r>
                              <m:rPr>
                                <m:sty m:val="p"/>
                              </m:rPr>
                              <m:t>,</m:t>
                            </m:r>
                            <m:r>
                              <m:t>d</m:t>
                            </m:r>
                          </m:sub>
                        </m:sSub>
                      </m:e>
                    </m:nary>
                  </m:den>
                </m:f>
              </m:oMath>
            </m:oMathPara>
          </w:p>
        </w:tc>
        <w:tc>
          <w:tcPr>
            <w:tcW w:type="dxa" w:w="1134"/>
          </w:tcPr>
          <w:p>
            <w:pPr>
              <w:pStyle w:val="Compact"/>
              <w:spacing w:line="240" w:lineRule="auto"/>
              <w:jc w:val="right"/>
            </w:pPr>
            <w:r>
              <w:t xml:space="preserve">(2)</w:t>
            </w:r>
          </w:p>
        </w:tc>
      </w:tr>
    </w:tbl>
    <w:p>
      <w:pPr>
        <w:pStyle w:val="BodyText"/>
        <w:spacing w:line="480" w:lineRule="auto" w:after="120"/>
        <w:jc w:val="both"/>
      </w:pPr>
      <w:r>
        <w:t xml:space="preserve">where</w:t>
      </w:r>
      <w:r>
        <w:t xml:space="preserve"> </w:t>
      </w:r>
      <w:r>
        <w:rPr>
          <w:iCs/>
          <w:i/>
        </w:rPr>
        <w:t xml:space="preserve">j</w:t>
      </w:r>
      <w:r>
        <w:t xml:space="preserve"> </w:t>
      </w:r>
      <w:r>
        <w:t xml:space="preserve">and</w:t>
      </w:r>
      <w:r>
        <w:t xml:space="preserve"> </w:t>
      </w:r>
      <w:r>
        <w:rPr>
          <w:iCs/>
          <w:i/>
        </w:rPr>
        <w:t xml:space="preserve">l</w:t>
      </w:r>
      <w:r>
        <w:t xml:space="preserve"> </w:t>
      </w:r>
      <w:r>
        <w:t xml:space="preserve">run over stocks with a day-</w:t>
      </w:r>
      <w:r>
        <w:rPr>
          <w:iCs/>
          <w:i/>
        </w:rPr>
        <w:t xml:space="preserve">d</w:t>
      </w:r>
      <w:r>
        <w:t xml:space="preserve"> </w:t>
      </w:r>
      <w:r>
        <w:t xml:space="preserve">return and a full 60-day history, and</w:t>
      </w:r>
      <w:r>
        <w:t xml:space="preserve"> </w:t>
      </w:r>
      <w:r>
        <w:rPr>
          <w:iCs/>
          <w:i/>
        </w:rPr>
        <w:t xml:space="preserve">V̄</w:t>
      </w:r>
      <w:r>
        <w:rPr>
          <w:iCs/>
          <w:i/>
          <w:vertAlign w:val="subscript"/>
        </w:rPr>
        <w:t xml:space="preserve">j,d</w:t>
      </w:r>
      <w:r>
        <w:t xml:space="preserve"> </w:t>
      </w:r>
      <w:r>
        <w:t xml:space="preserve">is the mean dollar volume of stock</w:t>
      </w:r>
      <w:r>
        <w:t xml:space="preserve"> </w:t>
      </w:r>
      <w:r>
        <w:rPr>
          <w:iCs/>
          <w:i/>
        </w:rPr>
        <w:t xml:space="preserve">j</w:t>
      </w:r>
      <w:r>
        <w:t xml:space="preserve"> </w:t>
      </w:r>
      <w:r>
        <w:t xml:space="preserve">over the 60 trading days through day</w:t>
      </w:r>
      <w:r>
        <w:t xml:space="preserve"> </w:t>
      </w:r>
      <w:r>
        <w:rPr>
          <w:iCs/>
          <w:i/>
        </w:rPr>
        <w:t xml:space="preserve">d</w:t>
      </w:r>
      <w:r>
        <w:t xml:space="preserve">. An exact hit is an event whose close equals the limit price (within 10</w:t>
      </w:r>
      <w:r>
        <w:rPr>
          <w:vertAlign w:val="superscript"/>
        </w:rPr>
        <w:t xml:space="preserve">−6</w:t>
      </w:r>
      <w:r>
        <w:t xml:space="preserve"> </w:t>
      </w:r>
      <w:r>
        <w:t xml:space="preserve">thousand dong),</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Para>
              <m:oMathParaPr>
                <m:jc m:val="center"/>
              </m:oMathParaPr>
              <m:oMath>
                <m:sSubSup>
                  <m:e>
                    <m:r>
                      <m:t>P</m:t>
                    </m:r>
                  </m:e>
                  <m:sub>
                    <m:r>
                      <m:t>i</m:t>
                    </m:r>
                    <m:r>
                      <m:rPr>
                        <m:sty m:val="p"/>
                      </m:rPr>
                      <m:t>,</m:t>
                    </m:r>
                    <m:r>
                      <m:t>d</m:t>
                    </m:r>
                  </m:sub>
                  <m:sup>
                    <m:r>
                      <m:rPr>
                        <m:nor/>
                        <m:sty m:val="p"/>
                      </m:rPr>
                      <m:t>ceiling</m:t>
                    </m:r>
                  </m:sup>
                </m:sSubSup>
                <m:r>
                  <m:rPr>
                    <m:sty m:val="p"/>
                  </m:rPr>
                  <m:t>=</m:t>
                </m:r>
                <m:d>
                  <m:dPr>
                    <m:begChr m:val="⌊"/>
                    <m:endChr m:val="⌋"/>
                    <m:sepChr m:val=""/>
                    <m:grow/>
                  </m:dPr>
                  <m:e>
                    <m:f>
                      <m:fPr>
                        <m:type m:val="bar"/>
                      </m:fPr>
                      <m:num>
                        <m:r>
                          <m:t>1.07</m:t>
                        </m:r>
                        <m:r>
                          <m:t> </m:t>
                        </m:r>
                        <m:sSub>
                          <m:e>
                            <m:r>
                              <m:t>C</m:t>
                            </m:r>
                          </m:e>
                          <m:sub>
                            <m:r>
                              <m:t>i</m:t>
                            </m:r>
                            <m:r>
                              <m:rPr>
                                <m:sty m:val="p"/>
                              </m:rPr>
                              <m:t>,</m:t>
                            </m:r>
                            <m:r>
                              <m:t>d</m:t>
                            </m:r>
                            <m:r>
                              <m:rPr>
                                <m:sty m:val="p"/>
                              </m:rPr>
                              <m:t>−</m:t>
                            </m:r>
                            <m:r>
                              <m:t>1</m:t>
                            </m:r>
                          </m:sub>
                        </m:sSub>
                      </m:num>
                      <m:den>
                        <m:r>
                          <m:t>δ</m:t>
                        </m:r>
                      </m:den>
                    </m:f>
                  </m:e>
                </m:d>
                <m:r>
                  <m:t>δ</m:t>
                </m:r>
                <m:r>
                  <m:rPr>
                    <m:sty m:val="p"/>
                  </m:rPr>
                  <m:t>,</m:t>
                </m:r>
                <m:r>
                  <m:t>  </m:t>
                </m:r>
                <m:sSubSup>
                  <m:e>
                    <m:r>
                      <m:t>P</m:t>
                    </m:r>
                  </m:e>
                  <m:sub>
                    <m:r>
                      <m:t>i</m:t>
                    </m:r>
                    <m:r>
                      <m:rPr>
                        <m:sty m:val="p"/>
                      </m:rPr>
                      <m:t>,</m:t>
                    </m:r>
                    <m:r>
                      <m:t>d</m:t>
                    </m:r>
                  </m:sub>
                  <m:sup>
                    <m:r>
                      <m:rPr>
                        <m:nor/>
                        <m:sty m:val="p"/>
                      </m:rPr>
                      <m:t>floor</m:t>
                    </m:r>
                  </m:sup>
                </m:sSubSup>
                <m:r>
                  <m:rPr>
                    <m:sty m:val="p"/>
                  </m:rPr>
                  <m:t>=</m:t>
                </m:r>
                <m:d>
                  <m:dPr>
                    <m:begChr m:val="⌈"/>
                    <m:endChr m:val="⌉"/>
                    <m:sepChr m:val=""/>
                    <m:grow/>
                  </m:dPr>
                  <m:e>
                    <m:f>
                      <m:fPr>
                        <m:type m:val="bar"/>
                      </m:fPr>
                      <m:num>
                        <m:r>
                          <m:t>0.93</m:t>
                        </m:r>
                        <m:r>
                          <m:t> </m:t>
                        </m:r>
                        <m:sSub>
                          <m:e>
                            <m:r>
                              <m:t>C</m:t>
                            </m:r>
                          </m:e>
                          <m:sub>
                            <m:r>
                              <m:t>i</m:t>
                            </m:r>
                            <m:r>
                              <m:rPr>
                                <m:sty m:val="p"/>
                              </m:rPr>
                              <m:t>,</m:t>
                            </m:r>
                            <m:r>
                              <m:t>d</m:t>
                            </m:r>
                            <m:r>
                              <m:rPr>
                                <m:sty m:val="p"/>
                              </m:rPr>
                              <m:t>−</m:t>
                            </m:r>
                            <m:r>
                              <m:t>1</m:t>
                            </m:r>
                          </m:sub>
                        </m:sSub>
                      </m:num>
                      <m:den>
                        <m:r>
                          <m:t>δ</m:t>
                        </m:r>
                      </m:den>
                    </m:f>
                  </m:e>
                </m:d>
                <m:r>
                  <m:t>δ</m:t>
                </m:r>
              </m:oMath>
            </m:oMathPara>
          </w:p>
        </w:tc>
        <w:tc>
          <w:tcPr>
            <w:tcW w:type="dxa" w:w="1134"/>
          </w:tcPr>
          <w:p>
            <w:pPr>
              <w:pStyle w:val="Compact"/>
              <w:spacing w:line="240" w:lineRule="auto"/>
              <w:jc w:val="right"/>
            </w:pPr>
            <w:r>
              <w:t xml:space="preserve">(3)</w:t>
            </w:r>
          </w:p>
        </w:tc>
      </w:tr>
    </w:tbl>
    <w:p>
      <w:pPr>
        <w:pStyle w:val="BodyText"/>
        <w:spacing w:line="480" w:lineRule="auto" w:after="120"/>
        <w:jc w:val="both"/>
      </w:pPr>
      <w:r>
        <w:t xml:space="preserve">where ⌊·⌋ and ⌈·⌉ round down and up (after adding and subtracting 10</w:t>
      </w:r>
      <w:r>
        <w:rPr>
          <w:vertAlign w:val="superscript"/>
        </w:rPr>
        <w:t xml:space="preserve">−9</w:t>
      </w:r>
      <w:r>
        <w:t xml:space="preserve">, respectively, against floating-point error), and the tick δ is 0.01, 0.05 or 0.10 thousand dong for reference prices</w:t>
      </w:r>
      <w:r>
        <w:t xml:space="preserve"> </w:t>
      </w:r>
      <w:r>
        <w:rPr>
          <w:iCs/>
          <w:i/>
        </w:rPr>
        <w:t xml:space="preserve">C</w:t>
      </w:r>
      <w:r>
        <w:rPr>
          <w:iCs/>
          <w:i/>
          <w:vertAlign w:val="subscript"/>
        </w:rPr>
        <w:t xml:space="preserve">i,d</w:t>
      </w:r>
      <w:r>
        <w:rPr>
          <w:vertAlign w:val="subscript"/>
        </w:rPr>
        <w:t xml:space="preserve">−1</w:t>
      </w:r>
      <w:r>
        <w:t xml:space="preserve"> </w:t>
      </w:r>
      <w:r>
        <w:t xml:space="preserve">below 10, from 10 to below 50, and from 50 upward. Other events are near hits (see Discussion on vendor price adjustment).</w:t>
      </w:r>
    </w:p>
    <w:p>
      <w:pPr>
        <w:pStyle w:val="BodyText"/>
        <w:spacing w:line="480" w:lineRule="auto" w:after="120"/>
        <w:jc w:val="both"/>
      </w:pPr>
      <w:r>
        <w:t xml:space="preserve">The abnormal return (AR) on day</w:t>
      </w:r>
      <w:r>
        <w:t xml:space="preserve"> </w:t>
      </w:r>
      <w:r>
        <w:rPr>
          <w:iCs/>
          <w:i/>
        </w:rPr>
        <w:t xml:space="preserve">d</w:t>
      </w:r>
      <w:r>
        <w:t xml:space="preserve">+1 and the cumulative abnormal return (CAR) over days</w:t>
      </w:r>
      <w:r>
        <w:t xml:space="preserve"> </w:t>
      </w:r>
      <w:r>
        <w:rPr>
          <w:iCs/>
          <w:i/>
        </w:rPr>
        <w:t xml:space="preserve">d</w:t>
      </w:r>
      <w:r>
        <w:t xml:space="preserve">+1 to</w:t>
      </w:r>
      <w:r>
        <w:t xml:space="preserve"> </w:t>
      </w:r>
      <w:r>
        <w:rPr>
          <w:iCs/>
          <w:i/>
        </w:rPr>
        <w:t xml:space="preserve">d</w:t>
      </w:r>
      <w:r>
        <w:t xml:space="preserve">+5 are</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Para>
              <m:oMathParaPr>
                <m:jc m:val="center"/>
              </m:oMathParaPr>
              <m:oMath>
                <m:sSub>
                  <m:e>
                    <m:r>
                      <m:rPr>
                        <m:nor/>
                        <m:sty m:val="p"/>
                      </m:rPr>
                      <m:t>AR</m:t>
                    </m:r>
                  </m:e>
                  <m:sub>
                    <m:r>
                      <m:t>i</m:t>
                    </m:r>
                    <m:r>
                      <m:rPr>
                        <m:sty m:val="p"/>
                      </m:rPr>
                      <m:t>,</m:t>
                    </m:r>
                    <m:r>
                      <m:t>d</m:t>
                    </m:r>
                  </m:sub>
                </m:sSub>
                <m:r>
                  <m:rPr>
                    <m:sty m:val="p"/>
                  </m:rPr>
                  <m:t>=</m:t>
                </m:r>
                <m:sSub>
                  <m:e>
                    <m:r>
                      <m:t>R</m:t>
                    </m:r>
                  </m:e>
                  <m:sub>
                    <m:r>
                      <m:t>i</m:t>
                    </m:r>
                    <m:r>
                      <m:rPr>
                        <m:sty m:val="p"/>
                      </m:rPr>
                      <m:t>,</m:t>
                    </m:r>
                    <m:r>
                      <m:t>d</m:t>
                    </m:r>
                    <m:r>
                      <m:rPr>
                        <m:sty m:val="p"/>
                      </m:rPr>
                      <m:t>+</m:t>
                    </m:r>
                    <m:r>
                      <m:t>1</m:t>
                    </m:r>
                  </m:sub>
                </m:sSub>
                <m:r>
                  <m:rPr>
                    <m:sty m:val="p"/>
                  </m:rPr>
                  <m:t>−</m:t>
                </m:r>
                <m:sSubSup>
                  <m:e>
                    <m:r>
                      <m:t>R</m:t>
                    </m:r>
                  </m:e>
                  <m:sub>
                    <m:r>
                      <m:t>d</m:t>
                    </m:r>
                    <m:r>
                      <m:rPr>
                        <m:sty m:val="p"/>
                      </m:rPr>
                      <m:t>+</m:t>
                    </m:r>
                    <m:r>
                      <m:t>1</m:t>
                    </m:r>
                  </m:sub>
                  <m:sup>
                    <m:r>
                      <m:rPr>
                        <m:nor/>
                        <m:sty m:val="p"/>
                      </m:rPr>
                      <m:t>mkt</m:t>
                    </m:r>
                  </m:sup>
                </m:sSubSup>
                <m:r>
                  <m:rPr>
                    <m:sty m:val="p"/>
                  </m:rPr>
                  <m:t>,</m:t>
                </m:r>
                <m:r>
                  <m:t>  </m:t>
                </m:r>
                <m:sSub>
                  <m:e>
                    <m:r>
                      <m:rPr>
                        <m:nor/>
                        <m:sty m:val="p"/>
                      </m:rPr>
                      <m:t>CAR</m:t>
                    </m:r>
                  </m:e>
                  <m:sub>
                    <m:r>
                      <m:t>i</m:t>
                    </m:r>
                    <m:r>
                      <m:rPr>
                        <m:sty m:val="p"/>
                      </m:rPr>
                      <m:t>,</m:t>
                    </m:r>
                    <m:r>
                      <m:t>d</m:t>
                    </m:r>
                  </m:sub>
                </m:sSub>
                <m:r>
                  <m:rPr>
                    <m:sty m:val="p"/>
                  </m:rPr>
                  <m:t>=</m:t>
                </m:r>
                <m:nary>
                  <m:naryPr>
                    <m:chr m:val="∏"/>
                    <m:limLoc m:val="undOvr"/>
                    <m:subHide m:val="off"/>
                    <m:supHide m:val="off"/>
                  </m:naryPr>
                  <m:sub>
                    <m:r>
                      <m:t>k</m:t>
                    </m:r>
                    <m:r>
                      <m:rPr>
                        <m:sty m:val="p"/>
                      </m:rPr>
                      <m:t>=</m:t>
                    </m:r>
                    <m:r>
                      <m:t>1</m:t>
                    </m:r>
                  </m:sub>
                  <m:sup>
                    <m:r>
                      <m:t>5</m:t>
                    </m:r>
                  </m:sup>
                  <m:e>
                    <m:d>
                      <m:dPr>
                        <m:begChr m:val="("/>
                        <m:endChr m:val=")"/>
                        <m:sepChr m:val=""/>
                        <m:grow/>
                      </m:dPr>
                      <m:e>
                        <m:r>
                          <m:t>1</m:t>
                        </m:r>
                        <m:r>
                          <m:rPr>
                            <m:sty m:val="p"/>
                          </m:rPr>
                          <m:t>+</m:t>
                        </m:r>
                        <m:sSub>
                          <m:e>
                            <m:r>
                              <m:t>R</m:t>
                            </m:r>
                          </m:e>
                          <m:sub>
                            <m:r>
                              <m:t>i</m:t>
                            </m:r>
                            <m:r>
                              <m:rPr>
                                <m:sty m:val="p"/>
                              </m:rPr>
                              <m:t>,</m:t>
                            </m:r>
                            <m:r>
                              <m:t>d</m:t>
                            </m:r>
                            <m:r>
                              <m:rPr>
                                <m:sty m:val="p"/>
                              </m:rPr>
                              <m:t>+</m:t>
                            </m:r>
                            <m:r>
                              <m:t>k</m:t>
                            </m:r>
                          </m:sub>
                        </m:sSub>
                      </m:e>
                    </m:d>
                  </m:e>
                </m:nary>
                <m:r>
                  <m:rPr>
                    <m:sty m:val="p"/>
                  </m:rPr>
                  <m:t>−</m:t>
                </m:r>
                <m:nary>
                  <m:naryPr>
                    <m:chr m:val="∏"/>
                    <m:limLoc m:val="undOvr"/>
                    <m:subHide m:val="off"/>
                    <m:supHide m:val="off"/>
                  </m:naryPr>
                  <m:sub>
                    <m:r>
                      <m:t>k</m:t>
                    </m:r>
                    <m:r>
                      <m:rPr>
                        <m:sty m:val="p"/>
                      </m:rPr>
                      <m:t>=</m:t>
                    </m:r>
                    <m:r>
                      <m:t>1</m:t>
                    </m:r>
                  </m:sub>
                  <m:sup>
                    <m:r>
                      <m:t>5</m:t>
                    </m:r>
                  </m:sup>
                  <m:e>
                    <m:d>
                      <m:dPr>
                        <m:begChr m:val="("/>
                        <m:endChr m:val=")"/>
                        <m:sepChr m:val=""/>
                        <m:grow/>
                      </m:dPr>
                      <m:e>
                        <m:r>
                          <m:t>1</m:t>
                        </m:r>
                        <m:r>
                          <m:rPr>
                            <m:sty m:val="p"/>
                          </m:rPr>
                          <m:t>+</m:t>
                        </m:r>
                        <m:sSubSup>
                          <m:e>
                            <m:r>
                              <m:t>R</m:t>
                            </m:r>
                          </m:e>
                          <m:sub>
                            <m:r>
                              <m:t>d</m:t>
                            </m:r>
                            <m:r>
                              <m:rPr>
                                <m:sty m:val="p"/>
                              </m:rPr>
                              <m:t>+</m:t>
                            </m:r>
                            <m:r>
                              <m:t>k</m:t>
                            </m:r>
                          </m:sub>
                          <m:sup>
                            <m:r>
                              <m:rPr>
                                <m:nor/>
                                <m:sty m:val="p"/>
                              </m:rPr>
                              <m:t>mkt</m:t>
                            </m:r>
                          </m:sup>
                        </m:sSubSup>
                      </m:e>
                    </m:d>
                  </m:e>
                </m:nary>
              </m:oMath>
            </m:oMathPara>
          </w:p>
        </w:tc>
        <w:tc>
          <w:tcPr>
            <w:tcW w:type="dxa" w:w="1134"/>
          </w:tcPr>
          <w:p>
            <w:pPr>
              <w:pStyle w:val="Compact"/>
              <w:spacing w:line="240" w:lineRule="auto"/>
              <w:jc w:val="right"/>
            </w:pPr>
            <w:r>
              <w:t xml:space="preserve">(4)</w:t>
            </w:r>
          </w:p>
        </w:tc>
      </w:tr>
    </w:tbl>
    <w:p>
      <w:pPr>
        <w:pStyle w:val="BodyText"/>
        <w:spacing w:line="480" w:lineRule="auto" w:after="120"/>
        <w:jc w:val="both"/>
      </w:pPr>
      <w:r>
        <w:t xml:space="preserve">where each</w:t>
      </w:r>
      <w:r>
        <w:t xml:space="preserve"> </w:t>
      </w:r>
      <w:r>
        <w:rPr>
          <w:iCs/>
          <w:i/>
        </w:rPr>
        <w:t xml:space="preserve">R</w:t>
      </w:r>
      <w:r>
        <w:rPr>
          <w:vertAlign w:val="superscript"/>
        </w:rPr>
        <w:t xml:space="preserve">mkt</w:t>
      </w:r>
      <w:r>
        <w:rPr>
          <w:iCs/>
          <w:i/>
          <w:vertAlign w:val="subscript"/>
        </w:rPr>
        <w:t xml:space="preserve">d</w:t>
      </w:r>
      <w:r>
        <w:rPr>
          <w:vertAlign w:val="subscript"/>
        </w:rPr>
        <w:t xml:space="preserve">+</w:t>
      </w:r>
      <w:r>
        <w:rPr>
          <w:iCs/>
          <w:i/>
          <w:vertAlign w:val="subscript"/>
        </w:rPr>
        <w:t xml:space="preserve">k</w:t>
      </w:r>
      <w:r>
        <w:t xml:space="preserve"> </w:t>
      </w:r>
      <w:r>
        <w:t xml:space="preserve">uses weights through day</w:t>
      </w:r>
      <w:r>
        <w:t xml:space="preserve"> </w:t>
      </w:r>
      <w:r>
        <w:rPr>
          <w:iCs/>
          <w:i/>
        </w:rPr>
        <w:t xml:space="preserve">d</w:t>
      </w:r>
      <w:r>
        <w:t xml:space="preserve">+</w:t>
      </w:r>
      <w:r>
        <w:rPr>
          <w:iCs/>
          <w:i/>
        </w:rPr>
        <w:t xml:space="preserve">k</w:t>
      </w:r>
      <w:r>
        <w:t xml:space="preserve"> </w:t>
      </w:r>
      <w:r>
        <w:t xml:space="preserve">(Table 1). The day-</w:t>
      </w:r>
      <w:r>
        <w:rPr>
          <w:iCs/>
          <w:i/>
        </w:rPr>
        <w:t xml:space="preserve">d</w:t>
      </w:r>
      <w:r>
        <w:t xml:space="preserve">+1 return splits into the overnight gap and the intraday return,</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Para>
              <m:oMathParaPr>
                <m:jc m:val="center"/>
              </m:oMathParaPr>
              <m:oMath>
                <m:sSub>
                  <m:e>
                    <m:r>
                      <m:rPr>
                        <m:nor/>
                        <m:sty m:val="p"/>
                      </m:rPr>
                      <m:t>GAP</m:t>
                    </m:r>
                  </m:e>
                  <m:sub>
                    <m:r>
                      <m:t>i</m:t>
                    </m:r>
                    <m:r>
                      <m:rPr>
                        <m:sty m:val="p"/>
                      </m:rPr>
                      <m:t>,</m:t>
                    </m:r>
                    <m:r>
                      <m:t>d</m:t>
                    </m:r>
                  </m:sub>
                </m:sSub>
                <m:r>
                  <m:rPr>
                    <m:sty m:val="p"/>
                  </m:rPr>
                  <m:t>=</m:t>
                </m:r>
                <m:f>
                  <m:fPr>
                    <m:type m:val="bar"/>
                  </m:fPr>
                  <m:num>
                    <m:sSub>
                      <m:e>
                        <m:r>
                          <m:t>O</m:t>
                        </m:r>
                      </m:e>
                      <m:sub>
                        <m:r>
                          <m:t>i</m:t>
                        </m:r>
                        <m:r>
                          <m:rPr>
                            <m:sty m:val="p"/>
                          </m:rPr>
                          <m:t>,</m:t>
                        </m:r>
                        <m:r>
                          <m:t>d</m:t>
                        </m:r>
                        <m:r>
                          <m:rPr>
                            <m:sty m:val="p"/>
                          </m:rPr>
                          <m:t>+</m:t>
                        </m:r>
                        <m:r>
                          <m:t>1</m:t>
                        </m:r>
                      </m:sub>
                    </m:sSub>
                  </m:num>
                  <m:den>
                    <m:sSub>
                      <m:e>
                        <m:r>
                          <m:t>C</m:t>
                        </m:r>
                      </m:e>
                      <m:sub>
                        <m:r>
                          <m:t>i</m:t>
                        </m:r>
                        <m:r>
                          <m:rPr>
                            <m:sty m:val="p"/>
                          </m:rPr>
                          <m:t>,</m:t>
                        </m:r>
                        <m:r>
                          <m:t>d</m:t>
                        </m:r>
                      </m:sub>
                    </m:sSub>
                  </m:den>
                </m:f>
                <m:r>
                  <m:rPr>
                    <m:sty m:val="p"/>
                  </m:rPr>
                  <m:t>−</m:t>
                </m:r>
                <m:r>
                  <m:t>1</m:t>
                </m:r>
                <m:r>
                  <m:rPr>
                    <m:sty m:val="p"/>
                  </m:rPr>
                  <m:t>,</m:t>
                </m:r>
                <m:r>
                  <m:t> </m:t>
                </m:r>
                <m:sSub>
                  <m:e>
                    <m:r>
                      <m:rPr>
                        <m:nor/>
                        <m:sty m:val="p"/>
                      </m:rPr>
                      <m:t>INTRA</m:t>
                    </m:r>
                  </m:e>
                  <m:sub>
                    <m:r>
                      <m:t>i</m:t>
                    </m:r>
                    <m:r>
                      <m:rPr>
                        <m:sty m:val="p"/>
                      </m:rPr>
                      <m:t>,</m:t>
                    </m:r>
                    <m:r>
                      <m:t>d</m:t>
                    </m:r>
                  </m:sub>
                </m:sSub>
                <m:r>
                  <m:rPr>
                    <m:sty m:val="p"/>
                  </m:rPr>
                  <m:t>=</m:t>
                </m:r>
                <m:f>
                  <m:fPr>
                    <m:type m:val="bar"/>
                  </m:fPr>
                  <m:num>
                    <m:sSub>
                      <m:e>
                        <m:r>
                          <m:t>C</m:t>
                        </m:r>
                      </m:e>
                      <m:sub>
                        <m:r>
                          <m:t>i</m:t>
                        </m:r>
                        <m:r>
                          <m:rPr>
                            <m:sty m:val="p"/>
                          </m:rPr>
                          <m:t>,</m:t>
                        </m:r>
                        <m:r>
                          <m:t>d</m:t>
                        </m:r>
                        <m:r>
                          <m:rPr>
                            <m:sty m:val="p"/>
                          </m:rPr>
                          <m:t>+</m:t>
                        </m:r>
                        <m:r>
                          <m:t>1</m:t>
                        </m:r>
                      </m:sub>
                    </m:sSub>
                  </m:num>
                  <m:den>
                    <m:sSub>
                      <m:e>
                        <m:r>
                          <m:t>O</m:t>
                        </m:r>
                      </m:e>
                      <m:sub>
                        <m:r>
                          <m:t>i</m:t>
                        </m:r>
                        <m:r>
                          <m:rPr>
                            <m:sty m:val="p"/>
                          </m:rPr>
                          <m:t>,</m:t>
                        </m:r>
                        <m:r>
                          <m:t>d</m:t>
                        </m:r>
                        <m:r>
                          <m:rPr>
                            <m:sty m:val="p"/>
                          </m:rPr>
                          <m:t>+</m:t>
                        </m:r>
                        <m:r>
                          <m:t>1</m:t>
                        </m:r>
                      </m:sub>
                    </m:sSub>
                  </m:den>
                </m:f>
                <m:r>
                  <m:rPr>
                    <m:sty m:val="p"/>
                  </m:rPr>
                  <m:t>−</m:t>
                </m:r>
                <m:r>
                  <m:t>1</m:t>
                </m:r>
                <m:r>
                  <m:rPr>
                    <m:sty m:val="p"/>
                  </m:rPr>
                  <m:t>,</m:t>
                </m:r>
                <m:r>
                  <m:t> </m:t>
                </m:r>
                <m:r>
                  <m:t>1</m:t>
                </m:r>
                <m:r>
                  <m:rPr>
                    <m:sty m:val="p"/>
                  </m:rPr>
                  <m:t>+</m:t>
                </m:r>
                <m:sSub>
                  <m:e>
                    <m:r>
                      <m:t>R</m:t>
                    </m:r>
                  </m:e>
                  <m:sub>
                    <m:r>
                      <m:t>i</m:t>
                    </m:r>
                    <m:r>
                      <m:rPr>
                        <m:sty m:val="p"/>
                      </m:rPr>
                      <m:t>,</m:t>
                    </m:r>
                    <m:r>
                      <m:t>d</m:t>
                    </m:r>
                    <m:r>
                      <m:rPr>
                        <m:sty m:val="p"/>
                      </m:rPr>
                      <m:t>+</m:t>
                    </m:r>
                    <m:r>
                      <m:t>1</m:t>
                    </m:r>
                  </m:sub>
                </m:sSub>
                <m:r>
                  <m:rPr>
                    <m:sty m:val="p"/>
                  </m:rPr>
                  <m:t>=</m:t>
                </m:r>
                <m:d>
                  <m:dPr>
                    <m:begChr m:val="("/>
                    <m:endChr m:val=")"/>
                    <m:sepChr m:val=""/>
                    <m:grow/>
                  </m:dPr>
                  <m:e>
                    <m:r>
                      <m:t>1</m:t>
                    </m:r>
                    <m:r>
                      <m:rPr>
                        <m:sty m:val="p"/>
                      </m:rPr>
                      <m:t>+</m:t>
                    </m:r>
                    <m:sSub>
                      <m:e>
                        <m:r>
                          <m:rPr>
                            <m:nor/>
                            <m:sty m:val="p"/>
                          </m:rPr>
                          <m:t>GAP</m:t>
                        </m:r>
                      </m:e>
                      <m:sub>
                        <m:r>
                          <m:t>i</m:t>
                        </m:r>
                        <m:r>
                          <m:rPr>
                            <m:sty m:val="p"/>
                          </m:rPr>
                          <m:t>,</m:t>
                        </m:r>
                        <m:r>
                          <m:t>d</m:t>
                        </m:r>
                      </m:sub>
                    </m:sSub>
                  </m:e>
                </m:d>
                <m:d>
                  <m:dPr>
                    <m:begChr m:val="("/>
                    <m:endChr m:val=")"/>
                    <m:sepChr m:val=""/>
                    <m:grow/>
                  </m:dPr>
                  <m:e>
                    <m:r>
                      <m:t>1</m:t>
                    </m:r>
                    <m:r>
                      <m:rPr>
                        <m:sty m:val="p"/>
                      </m:rPr>
                      <m:t>+</m:t>
                    </m:r>
                    <m:sSub>
                      <m:e>
                        <m:r>
                          <m:rPr>
                            <m:nor/>
                            <m:sty m:val="p"/>
                          </m:rPr>
                          <m:t>INTRA</m:t>
                        </m:r>
                      </m:e>
                      <m:sub>
                        <m:r>
                          <m:t>i</m:t>
                        </m:r>
                        <m:r>
                          <m:rPr>
                            <m:sty m:val="p"/>
                          </m:rPr>
                          <m:t>,</m:t>
                        </m:r>
                        <m:r>
                          <m:t>d</m:t>
                        </m:r>
                      </m:sub>
                    </m:sSub>
                  </m:e>
                </m:d>
              </m:oMath>
            </m:oMathPara>
          </w:p>
        </w:tc>
        <w:tc>
          <w:tcPr>
            <w:tcW w:type="dxa" w:w="1134"/>
          </w:tcPr>
          <w:p>
            <w:pPr>
              <w:pStyle w:val="Compact"/>
              <w:spacing w:line="240" w:lineRule="auto"/>
              <w:jc w:val="right"/>
            </w:pPr>
            <w:r>
              <w:t xml:space="preserve">(5)</w:t>
            </w:r>
          </w:p>
        </w:tc>
      </w:tr>
    </w:tbl>
    <w:p>
      <w:pPr>
        <w:pStyle w:val="BodyText"/>
        <w:spacing w:line="480" w:lineRule="auto" w:after="120"/>
        <w:jc w:val="both"/>
      </w:pPr>
      <w:r>
        <w:t xml:space="preserve">and abnormal values subtract the market counterpart of each component, the same-interval return across stocks weighted by</w:t>
      </w:r>
      <w:r>
        <w:t xml:space="preserve"> </w:t>
      </w:r>
      <w:r>
        <w:rPr>
          <w:iCs/>
          <w:i/>
        </w:rPr>
        <w:t xml:space="preserve">w</w:t>
      </w:r>
      <w:r>
        <w:rPr>
          <w:iCs/>
          <w:i/>
          <w:vertAlign w:val="subscript"/>
        </w:rPr>
        <w:t xml:space="preserve">j,d</w:t>
      </w:r>
      <w:r>
        <w:t xml:space="preserve">, known at the event close. A buyer at the next open earns</w:t>
      </w:r>
      <w:r>
        <w:t xml:space="preserve"> </w:t>
      </w:r>
      <w:r>
        <w:rPr>
          <w:iCs/>
          <w:i/>
        </w:rPr>
        <w:t xml:space="preserve">C</w:t>
      </w:r>
      <w:r>
        <w:rPr>
          <w:iCs/>
          <w:i/>
          <w:vertAlign w:val="subscript"/>
        </w:rPr>
        <w:t xml:space="preserve">i,d</w:t>
      </w:r>
      <w:r>
        <w:rPr>
          <w:vertAlign w:val="subscript"/>
        </w:rPr>
        <w:t xml:space="preserve">+5</w:t>
      </w:r>
      <w:r>
        <w:t xml:space="preserve">/</w:t>
      </w:r>
      <w:r>
        <w:rPr>
          <w:iCs/>
          <w:i/>
        </w:rPr>
        <w:t xml:space="preserve">O</w:t>
      </w:r>
      <w:r>
        <w:rPr>
          <w:iCs/>
          <w:i/>
          <w:vertAlign w:val="subscript"/>
        </w:rPr>
        <w:t xml:space="preserve">i,d</w:t>
      </w:r>
      <w:r>
        <w:rPr>
          <w:vertAlign w:val="subscript"/>
        </w:rPr>
        <w:t xml:space="preserve">+1</w:t>
      </w:r>
      <w:r>
        <w:t xml:space="preserve"> </w:t>
      </w:r>
      <w:r>
        <w:t xml:space="preserve">− 1 less the buy-and-hold market return Σ</w:t>
      </w:r>
      <w:r>
        <w:rPr>
          <w:iCs/>
          <w:i/>
          <w:vertAlign w:val="subscript"/>
        </w:rPr>
        <w:t xml:space="preserve">j</w:t>
      </w:r>
      <w:r>
        <w:t xml:space="preserve"> </w:t>
      </w:r>
      <w:r>
        <w:rPr>
          <w:iCs/>
          <w:i/>
        </w:rPr>
        <w:t xml:space="preserve">w</w:t>
      </w:r>
      <w:r>
        <w:rPr>
          <w:iCs/>
          <w:i/>
          <w:vertAlign w:val="subscript"/>
        </w:rPr>
        <w:t xml:space="preserve">j,d</w:t>
      </w:r>
      <w:r>
        <w:t xml:space="preserve"> </w:t>
      </w:r>
      <w:r>
        <w:t xml:space="preserve">(</w:t>
      </w:r>
      <w:r>
        <w:rPr>
          <w:iCs/>
          <w:i/>
        </w:rPr>
        <w:t xml:space="preserve">C</w:t>
      </w:r>
      <w:r>
        <w:rPr>
          <w:iCs/>
          <w:i/>
          <w:vertAlign w:val="subscript"/>
        </w:rPr>
        <w:t xml:space="preserve">j,d</w:t>
      </w:r>
      <w:r>
        <w:rPr>
          <w:vertAlign w:val="subscript"/>
        </w:rPr>
        <w:t xml:space="preserve">+5</w:t>
      </w:r>
      <w:r>
        <w:t xml:space="preserve">/</w:t>
      </w:r>
      <w:r>
        <w:rPr>
          <w:iCs/>
          <w:i/>
        </w:rPr>
        <w:t xml:space="preserve">O</w:t>
      </w:r>
      <w:r>
        <w:rPr>
          <w:iCs/>
          <w:i/>
          <w:vertAlign w:val="subscript"/>
        </w:rPr>
        <w:t xml:space="preserve">j,d</w:t>
      </w:r>
      <w:r>
        <w:rPr>
          <w:vertAlign w:val="subscript"/>
        </w:rPr>
        <w:t xml:space="preserve">+1</w:t>
      </w:r>
      <w:r>
        <w:t xml:space="preserve"> </w:t>
      </w:r>
      <w:r>
        <w:t xml:space="preserve">− 1). The control benchmark is the equal-weighted mean same-interval return of control stocks (absolute day-</w:t>
      </w:r>
      <w:r>
        <w:rPr>
          <w:iCs/>
          <w:i/>
        </w:rPr>
        <w:t xml:space="preserve">d</w:t>
      </w:r>
      <w:r>
        <w:t xml:space="preserve"> </w:t>
      </w:r>
      <w:r>
        <w:t xml:space="preserve">return below 6.5%) in the event stock’s tercile of</w:t>
      </w:r>
      <w:r>
        <w:t xml:space="preserve"> </w:t>
      </w:r>
      <w:r>
        <w:rPr>
          <w:iCs/>
          <w:i/>
        </w:rPr>
        <w:t xml:space="preserve">V̄</w:t>
      </w:r>
      <w:r>
        <w:rPr>
          <w:iCs/>
          <w:i/>
          <w:vertAlign w:val="subscript"/>
        </w:rPr>
        <w:t xml:space="preserve">i,d</w:t>
      </w:r>
      <w:r>
        <w:t xml:space="preserve"> </w:t>
      </w:r>
      <w:r>
        <w:t xml:space="preserve">on that date; dates with fewer than 30 control stocks have no benchmark.</w:t>
      </w:r>
    </w:p>
    <w:p>
      <w:pPr>
        <w:pStyle w:val="BodyText"/>
        <w:spacing w:line="480" w:lineRule="auto" w:after="120"/>
        <w:jc w:val="both"/>
      </w:pPr>
      <w:r>
        <w:t xml:space="preserve">The event definition uses only returns and the close-at-high (close-at-low) condition, which proportional price adjustment by the vendor leaves unchanged except on ex-dates; the exact-hit split is a diagnostic only. Event counts differ across exhibits because each outcome requires different data. Table 1 requires returns on all five days after the event (3,187 ceiling and 2,105 floor events). Tables 2 to 4 require the opening and closing prices of day</w:t>
      </w:r>
      <w:r>
        <w:t xml:space="preserve"> </w:t>
      </w:r>
      <w:r>
        <w:rPr>
          <w:iCs/>
          <w:i/>
        </w:rPr>
        <w:t xml:space="preserve">d</w:t>
      </w:r>
      <w:r>
        <w:t xml:space="preserve">+1 (3,199 and 2,111 events), the open-to-day-</w:t>
      </w:r>
      <w:r>
        <w:rPr>
          <w:iCs/>
          <w:i/>
        </w:rPr>
        <w:t xml:space="preserve">d</w:t>
      </w:r>
      <w:r>
        <w:t xml:space="preserve">+5 return also requires the day-</w:t>
      </w:r>
      <w:r>
        <w:rPr>
          <w:iCs/>
          <w:i/>
        </w:rPr>
        <w:t xml:space="preserve">d</w:t>
      </w:r>
      <w:r>
        <w:t xml:space="preserve">+5 closing price, and the control benchmark requires at least 30 control stocks on the date (3,100 and 2,047 events). Fig 2 uses event days up to the second-to-last trading day (3,220 ceiling events). No event was dropped for any other reason.</w:t>
      </w:r>
    </w:p>
    <w:p>
      <w:pPr>
        <w:pStyle w:val="Heading3"/>
        <w:jc w:val="left"/>
      </w:pPr>
      <w:r>
        <w:t xml:space="preserve">Statistical inference</w:t>
      </w:r>
    </w:p>
    <w:p>
      <w:pPr>
        <w:pStyle w:val="FirstParagraph"/>
        <w:spacing w:line="480" w:lineRule="auto" w:after="120"/>
        <w:jc w:val="both"/>
      </w:pPr>
      <w:r>
        <w:t xml:space="preserve">For</w:t>
      </w:r>
      <w:r>
        <w:t xml:space="preserve"> </w:t>
      </w:r>
      <w:r>
        <w:rPr>
          <w:iCs/>
          <w:i/>
        </w:rPr>
        <w:t xml:space="preserve">N</w:t>
      </w:r>
      <w:r>
        <w:t xml:space="preserve"> </w:t>
      </w:r>
      <w:r>
        <w:t xml:space="preserve">events</w:t>
      </w:r>
      <w:r>
        <w:t xml:space="preserve"> </w:t>
      </w:r>
      <w:r>
        <w:rPr>
          <w:iCs/>
          <w:i/>
        </w:rPr>
        <w:t xml:space="preserve">e</w:t>
      </w:r>
      <w:r>
        <w:t xml:space="preserve">, each a stock-day pair, with outcome</w:t>
      </w:r>
      <w:r>
        <w:t xml:space="preserve"> </w:t>
      </w:r>
      <w:r>
        <w:rPr>
          <w:iCs/>
          <w:i/>
        </w:rPr>
        <w:t xml:space="preserve">y</w:t>
      </w:r>
      <w:r>
        <w:rPr>
          <w:iCs/>
          <w:i/>
          <w:vertAlign w:val="subscript"/>
        </w:rPr>
        <w:t xml:space="preserve">e</w:t>
      </w:r>
      <w:r>
        <w:t xml:space="preserve"> </w:t>
      </w:r>
      <w:r>
        <w:t xml:space="preserve">and mean</w:t>
      </w:r>
      <w:r>
        <w:t xml:space="preserve"> </w:t>
      </w:r>
      <w:r>
        <w:rPr>
          <w:iCs/>
          <w:i/>
        </w:rPr>
        <w:t xml:space="preserve">ȳ</w:t>
      </w:r>
      <w:r>
        <w:t xml:space="preserve"> </w:t>
      </w:r>
      <w:r>
        <w:t xml:space="preserve">=</w:t>
      </w:r>
      <w:r>
        <w:t xml:space="preserve"> </w:t>
      </w:r>
      <w:r>
        <w:rPr>
          <w:iCs/>
          <w:i/>
        </w:rPr>
        <w:t xml:space="preserve">N</w:t>
      </w:r>
      <w:r>
        <w:rPr>
          <w:vertAlign w:val="superscript"/>
        </w:rPr>
        <w:t xml:space="preserve">−1</w:t>
      </w:r>
      <w:r>
        <w:t xml:space="preserve">Σ</w:t>
      </w:r>
      <w:r>
        <w:rPr>
          <w:iCs/>
          <w:i/>
          <w:vertAlign w:val="subscript"/>
        </w:rPr>
        <w:t xml:space="preserve">e</w:t>
      </w:r>
      <w:r>
        <w:t xml:space="preserve"> </w:t>
      </w:r>
      <w:r>
        <w:rPr>
          <w:iCs/>
          <w:i/>
        </w:rPr>
        <w:t xml:space="preserve">y</w:t>
      </w:r>
      <w:r>
        <w:rPr>
          <w:iCs/>
          <w:i/>
          <w:vertAlign w:val="subscript"/>
        </w:rPr>
        <w:t xml:space="preserve">e</w:t>
      </w:r>
      <w:r>
        <w:t xml:space="preserve">, the cluster-robust variance is</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Para>
              <m:oMathParaPr>
                <m:jc m:val="center"/>
              </m:oMathParaPr>
              <m:oMath>
                <m:acc>
                  <m:accPr>
                    <m:chr m:val="̂"/>
                  </m:accPr>
                  <m:e>
                    <m:r>
                      <m:rPr>
                        <m:sty m:val="p"/>
                      </m:rPr>
                      <m:t>V</m:t>
                    </m:r>
                    <m:r>
                      <m:rPr>
                        <m:sty m:val="p"/>
                      </m:rPr>
                      <m:t>a</m:t>
                    </m:r>
                    <m:r>
                      <m:rPr>
                        <m:sty m:val="p"/>
                      </m:rPr>
                      <m:t>r</m:t>
                    </m:r>
                  </m:e>
                </m:acc>
                <m:d>
                  <m:dPr>
                    <m:begChr m:val="("/>
                    <m:endChr m:val=")"/>
                    <m:sepChr m:val=""/>
                    <m:grow/>
                  </m:dPr>
                  <m:e>
                    <m:acc>
                      <m:accPr>
                        <m:chr m:val="‾"/>
                      </m:accPr>
                      <m:e>
                        <m:r>
                          <m:t>y</m:t>
                        </m:r>
                      </m:e>
                    </m:acc>
                  </m:e>
                </m:d>
                <m:r>
                  <m:rPr>
                    <m:sty m:val="p"/>
                  </m:rPr>
                  <m:t>=</m:t>
                </m:r>
                <m:f>
                  <m:fPr>
                    <m:type m:val="bar"/>
                  </m:fPr>
                  <m:num>
                    <m:r>
                      <m:t>1</m:t>
                    </m:r>
                  </m:num>
                  <m:den>
                    <m:sSup>
                      <m:e>
                        <m:r>
                          <m:t>N</m:t>
                        </m:r>
                      </m:e>
                      <m:sup>
                        <m:r>
                          <m:t>2</m:t>
                        </m:r>
                      </m:sup>
                    </m:sSup>
                  </m:den>
                </m:f>
                <m:r>
                  <m:rPr>
                    <m:sty m:val="p"/>
                  </m:rPr>
                  <m:t>⋅</m:t>
                </m:r>
                <m:f>
                  <m:fPr>
                    <m:type m:val="bar"/>
                  </m:fPr>
                  <m:num>
                    <m:r>
                      <m:t>G</m:t>
                    </m:r>
                  </m:num>
                  <m:den>
                    <m:r>
                      <m:t>G</m:t>
                    </m:r>
                    <m:r>
                      <m:rPr>
                        <m:sty m:val="p"/>
                      </m:rPr>
                      <m:t>−</m:t>
                    </m:r>
                    <m:r>
                      <m:t>1</m:t>
                    </m:r>
                  </m:den>
                </m:f>
                <m:nary>
                  <m:naryPr>
                    <m:chr m:val="∑"/>
                    <m:limLoc m:val="undOvr"/>
                    <m:subHide m:val="off"/>
                    <m:supHide m:val="off"/>
                  </m:naryPr>
                  <m:sub>
                    <m:r>
                      <m:t>g</m:t>
                    </m:r>
                    <m:r>
                      <m:rPr>
                        <m:sty m:val="p"/>
                      </m:rPr>
                      <m:t>=</m:t>
                    </m:r>
                    <m:r>
                      <m:t>1</m:t>
                    </m:r>
                  </m:sub>
                  <m:sup>
                    <m:r>
                      <m:t>G</m:t>
                    </m:r>
                  </m:sup>
                  <m:e>
                    <m:sSup>
                      <m:e>
                        <m:d>
                          <m:dPr>
                            <m:begChr m:val="("/>
                            <m:endChr m:val=")"/>
                            <m:sepChr m:val=""/>
                            <m:grow/>
                          </m:dPr>
                          <m:e>
                            <m:nary>
                              <m:naryPr>
                                <m:chr m:val="∑"/>
                                <m:limLoc m:val="undOvr"/>
                                <m:subHide m:val="off"/>
                                <m:supHide m:val="on"/>
                              </m:naryPr>
                              <m:sub>
                                <m:r>
                                  <m:t>e</m:t>
                                </m:r>
                                <m:r>
                                  <m:rPr>
                                    <m:sty m:val="p"/>
                                  </m:rPr>
                                  <m:t>∈</m:t>
                                </m:r>
                                <m:r>
                                  <m:t>g</m:t>
                                </m:r>
                              </m:sub>
                              <m:sup>
                                <m:r>
                                  <m:t>​</m:t>
                                </m:r>
                              </m:sup>
                              <m:e>
                                <m:d>
                                  <m:dPr>
                                    <m:begChr m:val="("/>
                                    <m:endChr m:val=")"/>
                                    <m:sepChr m:val=""/>
                                    <m:grow/>
                                  </m:dPr>
                                  <m:e>
                                    <m:sSub>
                                      <m:e>
                                        <m:r>
                                          <m:t>y</m:t>
                                        </m:r>
                                      </m:e>
                                      <m:sub>
                                        <m:r>
                                          <m:t>e</m:t>
                                        </m:r>
                                      </m:sub>
                                    </m:sSub>
                                    <m:r>
                                      <m:rPr>
                                        <m:sty m:val="p"/>
                                      </m:rPr>
                                      <m:t>−</m:t>
                                    </m:r>
                                    <m:acc>
                                      <m:accPr>
                                        <m:chr m:val="‾"/>
                                      </m:accPr>
                                      <m:e>
                                        <m:r>
                                          <m:t>y</m:t>
                                        </m:r>
                                      </m:e>
                                    </m:acc>
                                  </m:e>
                                </m:d>
                              </m:e>
                            </m:nary>
                          </m:e>
                        </m:d>
                      </m:e>
                      <m:sup>
                        <m:r>
                          <m:t>2</m:t>
                        </m:r>
                      </m:sup>
                    </m:sSup>
                  </m:e>
                </m:nary>
              </m:oMath>
            </m:oMathPara>
          </w:p>
        </w:tc>
        <w:tc>
          <w:tcPr>
            <w:tcW w:type="dxa" w:w="1134"/>
          </w:tcPr>
          <w:p>
            <w:pPr>
              <w:pStyle w:val="Compact"/>
              <w:spacing w:line="240" w:lineRule="auto"/>
              <w:jc w:val="right"/>
            </w:pPr>
            <w:r>
              <w:t xml:space="preserve">(6)</w:t>
            </w:r>
          </w:p>
        </w:tc>
      </w:tr>
    </w:tbl>
    <w:p>
      <w:pPr>
        <w:pStyle w:val="BodyText"/>
        <w:spacing w:line="480" w:lineRule="auto" w:after="120"/>
        <w:jc w:val="both"/>
      </w:pPr>
      <w:r>
        <w:t xml:space="preserve">where</w:t>
      </w:r>
      <w:r>
        <w:t xml:space="preserve"> </w:t>
      </w:r>
      <w:r>
        <w:rPr>
          <w:iCs/>
          <w:i/>
        </w:rPr>
        <w:t xml:space="preserve">g</w:t>
      </w:r>
      <w:r>
        <w:t xml:space="preserve"> </w:t>
      </w:r>
      <w:r>
        <w:t xml:space="preserve">= 1, …,</w:t>
      </w:r>
      <w:r>
        <w:t xml:space="preserve"> </w:t>
      </w:r>
      <w:r>
        <w:rPr>
          <w:iCs/>
          <w:i/>
        </w:rPr>
        <w:t xml:space="preserve">G</w:t>
      </w:r>
      <w:r>
        <w:t xml:space="preserve"> </w:t>
      </w:r>
      <w:r>
        <w:t xml:space="preserve">indexes clusters: event dates, calendar weeks (ISO 8601) or blocks of ten consecutive trading days. The family</w:t>
      </w:r>
      <w:r>
        <w:t xml:space="preserve"> </w:t>
      </w:r>
      <w:r>
        <w:rPr>
          <w:iCs/>
          <w:i/>
        </w:rPr>
        <w:t xml:space="preserve">P</w:t>
      </w:r>
      <w:r>
        <w:t xml:space="preserve"> </w:t>
      </w:r>
      <w:r>
        <w:t xml:space="preserve">values of the four event tests use equation (6) with event-date clusters, omit</w:t>
      </w:r>
      <w:r>
        <w:t xml:space="preserve"> </w:t>
      </w:r>
      <w:r>
        <w:rPr>
          <w:iCs/>
          <w:i/>
        </w:rPr>
        <w:t xml:space="preserve">G</w:t>
      </w:r>
      <w:r>
        <w:t xml:space="preserve">/(</w:t>
      </w:r>
      <w:r>
        <w:rPr>
          <w:iCs/>
          <w:i/>
        </w:rPr>
        <w:t xml:space="preserve">G</w:t>
      </w:r>
      <w:r>
        <w:t xml:space="preserve"> </w:t>
      </w:r>
      <w:r>
        <w:t xml:space="preserve">− 1) and take a normal reference. Table 1</w:t>
      </w:r>
      <w:r>
        <w:t xml:space="preserve"> </w:t>
      </w:r>
      <w:r>
        <w:rPr>
          <w:iCs/>
          <w:i/>
        </w:rPr>
        <w:t xml:space="preserve">t</w:t>
      </w:r>
      <w:r>
        <w:t xml:space="preserve">-statistics include the factor and use a</w:t>
      </w:r>
      <w:r>
        <w:t xml:space="preserve"> </w:t>
      </w:r>
      <w:r>
        <w:rPr>
          <w:iCs/>
          <w:i/>
        </w:rPr>
        <w:t xml:space="preserve">t</w:t>
      </w:r>
      <w:r>
        <w:t xml:space="preserve"> </w:t>
      </w:r>
      <w:r>
        <w:t xml:space="preserve">reference with</w:t>
      </w:r>
      <w:r>
        <w:t xml:space="preserve"> </w:t>
      </w:r>
      <w:r>
        <w:rPr>
          <w:iCs/>
          <w:i/>
        </w:rPr>
        <w:t xml:space="preserve">G</w:t>
      </w:r>
      <w:r>
        <w:t xml:space="preserve"> </w:t>
      </w:r>
      <w:r>
        <w:t xml:space="preserve">− 1 degrees of freedom. The family</w:t>
      </w:r>
      <w:r>
        <w:t xml:space="preserve"> </w:t>
      </w:r>
      <w:r>
        <w:rPr>
          <w:iCs/>
          <w:i/>
        </w:rPr>
        <w:t xml:space="preserve">P</w:t>
      </w:r>
      <w:r>
        <w:t xml:space="preserve"> </w:t>
      </w:r>
      <w:r>
        <w:t xml:space="preserve">values keep the convention of the first computation of the planned tests; the analysis plan specified date-clustered standard errors but not the reference distribution, and we did not change the convention after seeing the results, so that the multiplicity control is not tuned to them. Table 1 adds the small-sample factor and the</w:t>
      </w:r>
      <w:r>
        <w:t xml:space="preserve"> </w:t>
      </w:r>
      <w:r>
        <w:rPr>
          <w:iCs/>
          <w:i/>
        </w:rPr>
        <w:t xml:space="preserve">t</w:t>
      </w:r>
      <w:r>
        <w:t xml:space="preserve"> </w:t>
      </w:r>
      <w:r>
        <w:t xml:space="preserve">reference as a more conservative check. Under these settings the four event tests still survive a Bonferroni correction in families of up to 683 tests with date clusters and 125 with calendar-week clusters, so the choice does not change any conclusion. Two-way clustering by date and stock follows Cameron et al.[45], without the factor and with the variance bounded below at 10</w:t>
      </w:r>
      <w:r>
        <w:rPr>
          <w:vertAlign w:val="superscript"/>
        </w:rPr>
        <w:t xml:space="preserve">−12</w:t>
      </w:r>
      <w:r>
        <w:t xml:space="preserve">. Table 3 reports β̂ from</w:t>
      </w:r>
      <w:r>
        <w:t xml:space="preserve"> </w:t>
      </w:r>
      <w:r>
        <w:rPr>
          <w:iCs/>
          <w:i/>
        </w:rPr>
        <w:t xml:space="preserve">y</w:t>
      </w:r>
      <w:r>
        <w:rPr>
          <w:iCs/>
          <w:i/>
          <w:vertAlign w:val="subscript"/>
        </w:rPr>
        <w:t xml:space="preserve">e</w:t>
      </w:r>
      <w:r>
        <w:t xml:space="preserve"> </w:t>
      </w:r>
      <w:r>
        <w:t xml:space="preserve">= α + β</w:t>
      </w:r>
      <w:r>
        <w:t xml:space="preserve"> </w:t>
      </w:r>
      <w:r>
        <w:rPr>
          <w:iCs/>
          <w:i/>
        </w:rPr>
        <w:t xml:space="preserve">D</w:t>
      </w:r>
      <w:r>
        <w:rPr>
          <w:iCs/>
          <w:i/>
          <w:vertAlign w:val="subscript"/>
        </w:rPr>
        <w:t xml:space="preserve">e</w:t>
      </w:r>
      <w:r>
        <w:t xml:space="preserve"> </w:t>
      </w:r>
      <w:r>
        <w:t xml:space="preserve">+</w:t>
      </w:r>
      <w:r>
        <w:t xml:space="preserve"> </w:t>
      </w:r>
      <w:r>
        <w:rPr>
          <w:iCs/>
          <w:i/>
        </w:rPr>
        <w:t xml:space="preserve">u</w:t>
      </w:r>
      <w:r>
        <w:rPr>
          <w:iCs/>
          <w:i/>
          <w:vertAlign w:val="subscript"/>
        </w:rPr>
        <w:t xml:space="preserve">e</w:t>
      </w:r>
      <w:r>
        <w:t xml:space="preserve">, where</w:t>
      </w:r>
      <w:r>
        <w:t xml:space="preserve"> </w:t>
      </w:r>
      <w:r>
        <w:rPr>
          <w:iCs/>
          <w:i/>
        </w:rPr>
        <w:t xml:space="preserve">D</w:t>
      </w:r>
      <w:r>
        <w:rPr>
          <w:iCs/>
          <w:i/>
          <w:vertAlign w:val="subscript"/>
        </w:rPr>
        <w:t xml:space="preserve">e</w:t>
      </w:r>
      <w:r>
        <w:t xml:space="preserve"> </w:t>
      </w:r>
      <w:r>
        <w:t xml:space="preserve">= 1 for limit closes and 0 for the comparison moves, α is the intercept and</w:t>
      </w:r>
      <w:r>
        <w:t xml:space="preserve"> </w:t>
      </w:r>
      <w:r>
        <w:rPr>
          <w:iCs/>
          <w:i/>
        </w:rPr>
        <w:t xml:space="preserve">u</w:t>
      </w:r>
      <w:r>
        <w:rPr>
          <w:iCs/>
          <w:i/>
          <w:vertAlign w:val="subscript"/>
        </w:rPr>
        <w:t xml:space="preserve">e</w:t>
      </w:r>
      <w:r>
        <w:t xml:space="preserve"> </w:t>
      </w:r>
      <w:r>
        <w:t xml:space="preserve">is the error, with date-clustered HC1 standard errors (R package</w:t>
      </w:r>
      <w:r>
        <w:t xml:space="preserve"> </w:t>
      </w:r>
      <w:r>
        <w:rPr>
          <w:iCs/>
          <w:i/>
        </w:rPr>
        <w:t xml:space="preserve">sandwich</w:t>
      </w:r>
      <w:r>
        <w:t xml:space="preserve">). For the</w:t>
      </w:r>
      <w:r>
        <w:t xml:space="preserve"> </w:t>
      </w:r>
      <w:r>
        <w:rPr>
          <w:iCs/>
          <w:i/>
        </w:rPr>
        <w:t xml:space="preserve">t</w:t>
      </w:r>
      <w:r>
        <w:t xml:space="preserve">-statistics of Tables 2 to 5 and of the text we report two-sided</w:t>
      </w:r>
      <w:r>
        <w:t xml:space="preserve"> </w:t>
      </w:r>
      <w:r>
        <w:rPr>
          <w:iCs/>
          <w:i/>
        </w:rPr>
        <w:t xml:space="preserve">P</w:t>
      </w:r>
      <w:r>
        <w:t xml:space="preserve"> </w:t>
      </w:r>
      <w:r>
        <w:t xml:space="preserve">values from the standard normal distribution (|</w:t>
      </w:r>
      <w:r>
        <w:rPr>
          <w:iCs/>
          <w:i/>
        </w:rPr>
        <w:t xml:space="preserve">t</w:t>
      </w:r>
      <w:r>
        <w:t xml:space="preserve">| = 1.96 gives</w:t>
      </w:r>
      <w:r>
        <w:t xml:space="preserve"> </w:t>
      </w:r>
      <w:r>
        <w:rPr>
          <w:iCs/>
          <w:i/>
        </w:rPr>
        <w:t xml:space="preserve">P</w:t>
      </w:r>
      <w:r>
        <w:t xml:space="preserve"> </w:t>
      </w:r>
      <w:r>
        <w:t xml:space="preserve">= 0.05; |</w:t>
      </w:r>
      <w:r>
        <w:rPr>
          <w:iCs/>
          <w:i/>
        </w:rPr>
        <w:t xml:space="preserve">t</w:t>
      </w:r>
      <w:r>
        <w:t xml:space="preserve">| = 3.29 gives</w:t>
      </w:r>
      <w:r>
        <w:t xml:space="preserve"> </w:t>
      </w:r>
      <w:r>
        <w:rPr>
          <w:iCs/>
          <w:i/>
        </w:rPr>
        <w:t xml:space="preserve">P</w:t>
      </w:r>
      <w:r>
        <w:t xml:space="preserve"> </w:t>
      </w:r>
      <w:r>
        <w:t xml:space="preserve">= 0.001); Table 1 uses the</w:t>
      </w:r>
      <w:r>
        <w:t xml:space="preserve"> </w:t>
      </w:r>
      <w:r>
        <w:rPr>
          <w:iCs/>
          <w:i/>
        </w:rPr>
        <w:t xml:space="preserve">t</w:t>
      </w:r>
      <w:r>
        <w:t xml:space="preserve"> </w:t>
      </w:r>
      <w:r>
        <w:t xml:space="preserve">reference instead. The word</w:t>
      </w:r>
      <w:r>
        <w:t xml:space="preserve"> </w:t>
      </w:r>
      <w:r>
        <w:t xml:space="preserve">“</w:t>
      </w:r>
      <w:r>
        <w:t xml:space="preserve">significant</w:t>
      </w:r>
      <w:r>
        <w:t xml:space="preserve">”</w:t>
      </w:r>
      <w:r>
        <w:t xml:space="preserve"> </w:t>
      </w:r>
      <w:r>
        <w:t xml:space="preserve">always means</w:t>
      </w:r>
      <w:r>
        <w:t xml:space="preserve"> </w:t>
      </w:r>
      <w:r>
        <w:rPr>
          <w:iCs/>
          <w:i/>
        </w:rPr>
        <w:t xml:space="preserve">P</w:t>
      </w:r>
      <w:r>
        <w:t xml:space="preserve"> </w:t>
      </w:r>
      <w:r>
        <w:t xml:space="preserve">&lt; 0.05 for the stated test. Descriptive statistics report means and, where stated, medians and standard deviations; the</w:t>
      </w:r>
      <w:r>
        <w:t xml:space="preserve"> </w:t>
      </w:r>
      <w:r>
        <w:rPr>
          <w:iCs/>
          <w:i/>
        </w:rPr>
        <w:t xml:space="preserve">n</w:t>
      </w:r>
      <w:r>
        <w:t xml:space="preserve"> </w:t>
      </w:r>
      <w:r>
        <w:t xml:space="preserve">of each analysis is given in the tables and text.</w:t>
      </w:r>
    </w:p>
    <w:p>
      <w:pPr>
        <w:pStyle w:val="Heading3"/>
        <w:jc w:val="left"/>
      </w:pPr>
      <w:r>
        <w:t xml:space="preserve">Characteristics and Fama–MacBeth regressions</w:t>
      </w:r>
    </w:p>
    <w:p>
      <w:pPr>
        <w:pStyle w:val="FirstParagraph"/>
        <w:spacing w:line="480" w:lineRule="auto" w:after="120"/>
        <w:jc w:val="both"/>
      </w:pPr>
      <w:r>
        <w:t xml:space="preserve">We form cross-sections on trading days 120 (so that every lookback is complete), 125 and so on to 510:</w:t>
      </w:r>
      <w:r>
        <w:t xml:space="preserve"> </w:t>
      </w:r>
      <w:r>
        <w:rPr>
          <w:iCs/>
          <w:i/>
        </w:rPr>
        <w:t xml:space="preserve">T</w:t>
      </w:r>
      <w:r>
        <w:t xml:space="preserve"> </w:t>
      </w:r>
      <w:r>
        <w:t xml:space="preserve">= 79 formation weeks τ (five-trading-day periods, not the calendar weeks used for clustering), each followed by a non-overlapping five-day holding period. Each week we rank-normalize each characteristic</w:t>
      </w:r>
      <w:r>
        <w:t xml:space="preserve"> </w:t>
      </w:r>
      <w:r>
        <w:rPr>
          <w:iCs/>
          <w:i/>
        </w:rPr>
        <w:t xml:space="preserve">x</w:t>
      </w:r>
      <w:r>
        <w:rPr>
          <w:iCs/>
          <w:i/>
          <w:vertAlign w:val="subscript"/>
        </w:rPr>
        <w:t xml:space="preserve">i</w:t>
      </w:r>
      <w:r>
        <w:rPr>
          <w:vertAlign w:val="subscript"/>
        </w:rPr>
        <w:t xml:space="preserve">,τ</w:t>
      </w:r>
      <w:r>
        <w:t xml:space="preserve"> </w:t>
      </w:r>
      <w:r>
        <w:t xml:space="preserve">across the</w:t>
      </w:r>
      <w:r>
        <w:t xml:space="preserve"> </w:t>
      </w:r>
      <w:r>
        <w:rPr>
          <w:iCs/>
          <w:i/>
        </w:rPr>
        <w:t xml:space="preserve">n</w:t>
      </w:r>
      <w:r>
        <w:rPr>
          <w:vertAlign w:val="subscript"/>
        </w:rPr>
        <w:t xml:space="preserve">τ</w:t>
      </w:r>
      <w:r>
        <w:t xml:space="preserve"> </w:t>
      </w:r>
      <w:r>
        <w:t xml:space="preserve">stocks with complete data (all 115 days of the longest lookback, trades on at least 50 of the last 60 days, and next-five-day returns) as</w:t>
      </w:r>
      <w:r>
        <w:t xml:space="preserve"> </w:t>
      </w:r>
      <w:r>
        <w:rPr>
          <w:iCs/>
          <w:i/>
        </w:rPr>
        <w:t xml:space="preserve">z</w:t>
      </w:r>
      <w:r>
        <w:rPr>
          <w:iCs/>
          <w:i/>
          <w:vertAlign w:val="subscript"/>
        </w:rPr>
        <w:t xml:space="preserve">i</w:t>
      </w:r>
      <w:r>
        <w:rPr>
          <w:vertAlign w:val="subscript"/>
        </w:rPr>
        <w:t xml:space="preserve">,τ</w:t>
      </w:r>
      <w:r>
        <w:t xml:space="preserve"> </w:t>
      </w:r>
      <w:r>
        <w:t xml:space="preserve">= Φ</w:t>
      </w:r>
      <w:r>
        <w:rPr>
          <w:vertAlign w:val="superscript"/>
        </w:rPr>
        <w:t xml:space="preserve">−1</w:t>
      </w:r>
      <w:r>
        <w:t xml:space="preserve">((rank(</w:t>
      </w:r>
      <w:r>
        <w:rPr>
          <w:iCs/>
          <w:i/>
        </w:rPr>
        <w:t xml:space="preserve">x</w:t>
      </w:r>
      <w:r>
        <w:rPr>
          <w:iCs/>
          <w:i/>
          <w:vertAlign w:val="subscript"/>
        </w:rPr>
        <w:t xml:space="preserve">i</w:t>
      </w:r>
      <w:r>
        <w:rPr>
          <w:vertAlign w:val="subscript"/>
        </w:rPr>
        <w:t xml:space="preserve">,τ</w:t>
      </w:r>
      <w:r>
        <w:t xml:space="preserve">) − 0.5)/</w:t>
      </w:r>
      <w:r>
        <w:rPr>
          <w:iCs/>
          <w:i/>
        </w:rPr>
        <w:t xml:space="preserve">n</w:t>
      </w:r>
      <w:r>
        <w:rPr>
          <w:vertAlign w:val="subscript"/>
        </w:rPr>
        <w:t xml:space="preserve">τ</w:t>
      </w:r>
      <w:r>
        <w:t xml:space="preserve">), with ties at average ranks and Φ</w:t>
      </w:r>
      <w:r>
        <w:rPr>
          <w:vertAlign w:val="superscript"/>
        </w:rPr>
        <w:t xml:space="preserve">−1</w:t>
      </w:r>
      <w:r>
        <w:t xml:space="preserve"> </w:t>
      </w:r>
      <w:r>
        <w:t xml:space="preserve">the inverse standard normal distribution function. The outcome</w:t>
      </w:r>
      <w:r>
        <w:t xml:space="preserve"> </w:t>
      </w:r>
      <w:r>
        <w:rPr>
          <w:iCs/>
          <w:i/>
        </w:rPr>
        <w:t xml:space="preserve">y</w:t>
      </w:r>
      <w:r>
        <w:rPr>
          <w:iCs/>
          <w:i/>
          <w:vertAlign w:val="subscript"/>
        </w:rPr>
        <w:t xml:space="preserve">i</w:t>
      </w:r>
      <w:r>
        <w:rPr>
          <w:vertAlign w:val="subscript"/>
        </w:rPr>
        <w:t xml:space="preserve">,τ</w:t>
      </w:r>
      <w:r>
        <w:t xml:space="preserve"> </w:t>
      </w:r>
      <w:r>
        <w:t xml:space="preserve">is the stock’s compounded return over the next five trading days minus the</w:t>
      </w:r>
      <w:r>
        <w:t xml:space="preserve"> </w:t>
      </w:r>
      <w:r>
        <w:rPr>
          <w:iCs/>
          <w:i/>
        </w:rPr>
        <w:t xml:space="preserve">V̄</w:t>
      </w:r>
      <w:r>
        <w:t xml:space="preserve">-weighted average five-day return of these stocks. The Fama–MacBeth regressions[46] are</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Para>
              <m:oMathParaPr>
                <m:jc m:val="center"/>
              </m:oMathParaPr>
              <m:oMath>
                <m:sSub>
                  <m:e>
                    <m:r>
                      <m:t>y</m:t>
                    </m:r>
                  </m:e>
                  <m:sub>
                    <m:r>
                      <m:t>i</m:t>
                    </m:r>
                    <m:r>
                      <m:rPr>
                        <m:sty m:val="p"/>
                      </m:rPr>
                      <m:t>,</m:t>
                    </m:r>
                    <m:r>
                      <m:t>τ</m:t>
                    </m:r>
                  </m:sub>
                </m:sSub>
                <m:r>
                  <m:rPr>
                    <m:sty m:val="p"/>
                  </m:rPr>
                  <m:t>=</m:t>
                </m:r>
                <m:sSub>
                  <m:e>
                    <m:r>
                      <m:t>a</m:t>
                    </m:r>
                  </m:e>
                  <m:sub>
                    <m:r>
                      <m:t>τ</m:t>
                    </m:r>
                  </m:sub>
                </m:sSub>
                <m:r>
                  <m:rPr>
                    <m:sty m:val="p"/>
                  </m:rPr>
                  <m:t>+</m:t>
                </m:r>
                <m:sSub>
                  <m:e>
                    <m:r>
                      <m:t>γ</m:t>
                    </m:r>
                  </m:e>
                  <m:sub>
                    <m:r>
                      <m:t>τ</m:t>
                    </m:r>
                  </m:sub>
                </m:sSub>
                <m:sSub>
                  <m:e>
                    <m:r>
                      <m:t>z</m:t>
                    </m:r>
                  </m:e>
                  <m:sub>
                    <m:r>
                      <m:t>i</m:t>
                    </m:r>
                    <m:r>
                      <m:rPr>
                        <m:sty m:val="p"/>
                      </m:rPr>
                      <m:t>,</m:t>
                    </m:r>
                    <m:r>
                      <m:t>τ</m:t>
                    </m:r>
                  </m:sub>
                </m:sSub>
                <m:r>
                  <m:rPr>
                    <m:sty m:val="p"/>
                  </m:rPr>
                  <m:t>+</m:t>
                </m:r>
                <m:sSub>
                  <m:e>
                    <m:r>
                      <m:t>ε</m:t>
                    </m:r>
                  </m:e>
                  <m:sub>
                    <m:r>
                      <m:t>i</m:t>
                    </m:r>
                    <m:r>
                      <m:rPr>
                        <m:sty m:val="p"/>
                      </m:rPr>
                      <m:t>,</m:t>
                    </m:r>
                    <m:r>
                      <m:t>τ</m:t>
                    </m:r>
                  </m:sub>
                </m:sSub>
                <m:r>
                  <m:rPr>
                    <m:sty m:val="p"/>
                  </m:rPr>
                  <m:t>,</m:t>
                </m:r>
                <m:r>
                  <m:t>  </m:t>
                </m:r>
                <m:acc>
                  <m:accPr>
                    <m:chr m:val="̂"/>
                  </m:accPr>
                  <m:e>
                    <m:r>
                      <m:t>γ</m:t>
                    </m:r>
                  </m:e>
                </m:acc>
                <m:r>
                  <m:rPr>
                    <m:sty m:val="p"/>
                  </m:rPr>
                  <m:t>=</m:t>
                </m:r>
                <m:f>
                  <m:fPr>
                    <m:type m:val="bar"/>
                  </m:fPr>
                  <m:num>
                    <m:r>
                      <m:t>1</m:t>
                    </m:r>
                  </m:num>
                  <m:den>
                    <m:r>
                      <m:t>T</m:t>
                    </m:r>
                  </m:den>
                </m:f>
                <m:nary>
                  <m:naryPr>
                    <m:chr m:val="∑"/>
                    <m:limLoc m:val="undOvr"/>
                    <m:subHide m:val="off"/>
                    <m:supHide m:val="off"/>
                  </m:naryPr>
                  <m:sub>
                    <m:r>
                      <m:t>τ</m:t>
                    </m:r>
                    <m:r>
                      <m:rPr>
                        <m:sty m:val="p"/>
                      </m:rPr>
                      <m:t>=</m:t>
                    </m:r>
                    <m:r>
                      <m:t>1</m:t>
                    </m:r>
                  </m:sub>
                  <m:sup>
                    <m:r>
                      <m:t>T</m:t>
                    </m:r>
                  </m:sup>
                  <m:e>
                    <m:sSub>
                      <m:e>
                        <m:acc>
                          <m:accPr>
                            <m:chr m:val="̂"/>
                          </m:accPr>
                          <m:e>
                            <m:r>
                              <m:t>γ</m:t>
                            </m:r>
                          </m:e>
                        </m:acc>
                      </m:e>
                      <m:sub>
                        <m:r>
                          <m:t>τ</m:t>
                        </m:r>
                      </m:sub>
                    </m:sSub>
                  </m:e>
                </m:nary>
              </m:oMath>
            </m:oMathPara>
          </w:p>
        </w:tc>
        <w:tc>
          <w:tcPr>
            <w:tcW w:type="dxa" w:w="1134"/>
          </w:tcPr>
          <w:p>
            <w:pPr>
              <w:pStyle w:val="Compact"/>
              <w:spacing w:line="240" w:lineRule="auto"/>
              <w:jc w:val="right"/>
            </w:pPr>
            <w:r>
              <w:t xml:space="preserve">(7)</w:t>
            </w:r>
          </w:p>
        </w:tc>
      </w:tr>
    </w:tbl>
    <w:p>
      <w:pPr>
        <w:pStyle w:val="BodyText"/>
        <w:spacing w:line="480" w:lineRule="auto" w:after="120"/>
        <w:jc w:val="both"/>
      </w:pPr>
      <w:r>
        <w:t xml:space="preserve">with a weekly intercept</w:t>
      </w:r>
      <w:r>
        <w:t xml:space="preserve"> </w:t>
      </w:r>
      <w:r>
        <w:rPr>
          <w:iCs/>
          <w:i/>
        </w:rPr>
        <w:t xml:space="preserve">a</w:t>
      </w:r>
      <w:r>
        <w:rPr>
          <w:vertAlign w:val="subscript"/>
        </w:rPr>
        <w:t xml:space="preserve">τ</w:t>
      </w:r>
      <w:r>
        <w:t xml:space="preserve">, slope γ</w:t>
      </w:r>
      <w:r>
        <w:rPr>
          <w:vertAlign w:val="subscript"/>
        </w:rPr>
        <w:t xml:space="preserve">τ</w:t>
      </w:r>
      <w:r>
        <w:t xml:space="preserve"> </w:t>
      </w:r>
      <w:r>
        <w:t xml:space="preserve">and residual ε</w:t>
      </w:r>
      <w:r>
        <w:rPr>
          <w:iCs/>
          <w:i/>
          <w:vertAlign w:val="subscript"/>
        </w:rPr>
        <w:t xml:space="preserve">i</w:t>
      </w:r>
      <w:r>
        <w:rPr>
          <w:vertAlign w:val="subscript"/>
        </w:rPr>
        <w:t xml:space="preserve">,τ</w:t>
      </w:r>
      <w:r>
        <w:t xml:space="preserve">. The</w:t>
      </w:r>
      <w:r>
        <w:t xml:space="preserve"> </w:t>
      </w:r>
      <w:r>
        <w:rPr>
          <w:iCs/>
          <w:i/>
        </w:rPr>
        <w:t xml:space="preserve">t</w:t>
      </w:r>
      <w:r>
        <w:t xml:space="preserve">-statistic of γ̂ uses Newey–West standard errors[47] (four lags, Bartlett weights, no prewhitening) and 78 degrees of freedom. S1 Appendix defines the 22 momentum, reversal, risk, liquidity, volume and intraday characteristics. We also report long–short spreads between the extreme quintiles before and after a cost of 25 basis points per unit of traded value. The minimum detectable effect (MDE) at 80% power and a 5% two-sided level is MDE = (1.96 + 0.84) SE(γ̂) ≈ 2.8 SE(γ̂), with SE the Newey–West standard error.</w:t>
      </w:r>
    </w:p>
    <w:p>
      <w:pPr>
        <w:pStyle w:val="Heading3"/>
        <w:jc w:val="left"/>
      </w:pPr>
      <w:r>
        <w:t xml:space="preserve">Multiplicity and survival rule</w:t>
      </w:r>
    </w:p>
    <w:p>
      <w:pPr>
        <w:pStyle w:val="FirstParagraph"/>
        <w:spacing w:line="480" w:lineRule="auto" w:after="120"/>
        <w:jc w:val="both"/>
      </w:pPr>
      <w:r>
        <w:t xml:space="preserve">The family has</w:t>
      </w:r>
      <w:r>
        <w:t xml:space="preserve"> </w:t>
      </w:r>
      <w:r>
        <w:rPr>
          <w:iCs/>
          <w:i/>
        </w:rPr>
        <w:t xml:space="preserve">m</w:t>
      </w:r>
      <w:r>
        <w:t xml:space="preserve"> </w:t>
      </w:r>
      <w:r>
        <w:t xml:space="preserve">= 26 tests: the 22 characteristics and the ceiling and floor tests at the two horizons of equation (4). With</w:t>
      </w:r>
      <w:r>
        <w:t xml:space="preserve"> </w:t>
      </w:r>
      <w:r>
        <w:rPr>
          <w:iCs/>
          <w:i/>
        </w:rPr>
        <w:t xml:space="preserve">P</w:t>
      </w:r>
      <w:r>
        <w:t xml:space="preserve"> </w:t>
      </w:r>
      <w:r>
        <w:t xml:space="preserve">values ordered as</w:t>
      </w:r>
      <w:r>
        <w:t xml:space="preserve"> </w:t>
      </w:r>
      <w:r>
        <w:rPr>
          <w:iCs/>
          <w:i/>
        </w:rPr>
        <w:t xml:space="preserve">p</w:t>
      </w:r>
      <w:r>
        <w:rPr>
          <w:vertAlign w:val="subscript"/>
        </w:rPr>
        <w:t xml:space="preserve">(1)</w:t>
      </w:r>
      <w:r>
        <w:t xml:space="preserve"> </w:t>
      </w:r>
      <w:r>
        <w:t xml:space="preserve">≤ … ≤</w:t>
      </w:r>
      <w:r>
        <w:t xml:space="preserve"> </w:t>
      </w:r>
      <w:r>
        <w:rPr>
          <w:iCs/>
          <w:i/>
        </w:rPr>
        <w:t xml:space="preserve">p</w:t>
      </w:r>
      <w:r>
        <w:rPr>
          <w:vertAlign w:val="subscript"/>
        </w:rPr>
        <w:t xml:space="preserve">(</w:t>
      </w:r>
      <w:r>
        <w:rPr>
          <w:iCs/>
          <w:i/>
          <w:vertAlign w:val="subscript"/>
        </w:rPr>
        <w:t xml:space="preserve">m</w:t>
      </w:r>
      <w:r>
        <w:rPr>
          <w:vertAlign w:val="subscript"/>
        </w:rPr>
        <w:t xml:space="preserve">)</w:t>
      </w:r>
      <w:r>
        <w:t xml:space="preserve">, the BH adjusted</w:t>
      </w:r>
      <w:r>
        <w:t xml:space="preserve"> </w:t>
      </w:r>
      <w:r>
        <w:rPr>
          <w:iCs/>
          <w:i/>
        </w:rPr>
        <w:t xml:space="preserve">P</w:t>
      </w:r>
      <w:r>
        <w:t xml:space="preserve"> </w:t>
      </w:r>
      <w:r>
        <w:t xml:space="preserve">value at rank</w:t>
      </w:r>
      <w:r>
        <w:t xml:space="preserve"> </w:t>
      </w:r>
      <w:r>
        <w:rPr>
          <w:iCs/>
          <w:i/>
        </w:rPr>
        <w:t xml:space="preserve">r</w:t>
      </w:r>
      <w:r>
        <w:t xml:space="preserve"> </w:t>
      </w:r>
      <w:r>
        <w:t xml:space="preserve">is</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Para>
              <m:oMathParaPr>
                <m:jc m:val="center"/>
              </m:oMathParaPr>
              <m:oMath>
                <m:sSub>
                  <m:e>
                    <m:acc>
                      <m:accPr>
                        <m:chr m:val="̃"/>
                      </m:accPr>
                      <m:e>
                        <m:r>
                          <m:t>p</m:t>
                        </m:r>
                      </m:e>
                    </m:acc>
                  </m:e>
                  <m:sub>
                    <m:d>
                      <m:dPr>
                        <m:begChr m:val="("/>
                        <m:endChr m:val=")"/>
                        <m:sepChr m:val=""/>
                        <m:grow/>
                      </m:dPr>
                      <m:e>
                        <m:r>
                          <m:t>r</m:t>
                        </m:r>
                      </m:e>
                    </m:d>
                  </m:sub>
                </m:sSub>
                <m:r>
                  <m:rPr>
                    <m:sty m:val="p"/>
                  </m:rPr>
                  <m:t>=</m:t>
                </m:r>
                <m:limLow>
                  <m:e>
                    <m:r>
                      <m:rPr>
                        <m:sty m:val="p"/>
                      </m:rPr>
                      <m:t>min</m:t>
                    </m:r>
                  </m:e>
                  <m:lim>
                    <m:r>
                      <m:t>s</m:t>
                    </m:r>
                    <m:r>
                      <m:rPr>
                        <m:sty m:val="p"/>
                      </m:rPr>
                      <m:t>≥</m:t>
                    </m:r>
                    <m:r>
                      <m:t>r</m:t>
                    </m:r>
                  </m:lim>
                </m:limLow>
                <m:d>
                  <m:dPr>
                    <m:begChr m:val="{"/>
                    <m:endChr m:val="}"/>
                    <m:sepChr m:val=""/>
                    <m:grow/>
                  </m:dPr>
                  <m:e>
                    <m:r>
                      <m:rPr>
                        <m:sty m:val="p"/>
                      </m:rPr>
                      <m:t>min</m:t>
                    </m:r>
                    <m:d>
                      <m:dPr>
                        <m:begChr m:val="("/>
                        <m:endChr m:val=")"/>
                        <m:sepChr m:val=""/>
                        <m:grow/>
                      </m:dPr>
                      <m:e>
                        <m:r>
                          <m:t>1</m:t>
                        </m:r>
                        <m:r>
                          <m:rPr>
                            <m:sty m:val="p"/>
                          </m:rPr>
                          <m:t>,</m:t>
                        </m:r>
                        <m:f>
                          <m:fPr>
                            <m:type m:val="bar"/>
                          </m:fPr>
                          <m:num>
                            <m:r>
                              <m:t>m</m:t>
                            </m:r>
                          </m:num>
                          <m:den>
                            <m:r>
                              <m:t>s</m:t>
                            </m:r>
                          </m:den>
                        </m:f>
                        <m:r>
                          <m:t> </m:t>
                        </m:r>
                        <m:sSub>
                          <m:e>
                            <m:r>
                              <m:t>p</m:t>
                            </m:r>
                          </m:e>
                          <m:sub>
                            <m:d>
                              <m:dPr>
                                <m:begChr m:val="("/>
                                <m:endChr m:val=")"/>
                                <m:sepChr m:val=""/>
                                <m:grow/>
                              </m:dPr>
                              <m:e>
                                <m:r>
                                  <m:t>s</m:t>
                                </m:r>
                              </m:e>
                            </m:d>
                          </m:sub>
                        </m:sSub>
                      </m:e>
                    </m:d>
                  </m:e>
                </m:d>
              </m:oMath>
            </m:oMathPara>
          </w:p>
        </w:tc>
        <w:tc>
          <w:tcPr>
            <w:tcW w:type="dxa" w:w="1134"/>
          </w:tcPr>
          <w:p>
            <w:pPr>
              <w:pStyle w:val="Compact"/>
              <w:spacing w:line="240" w:lineRule="auto"/>
              <w:jc w:val="right"/>
            </w:pPr>
            <w:r>
              <w:t xml:space="preserve">(8)</w:t>
            </w:r>
          </w:p>
        </w:tc>
      </w:tr>
    </w:tbl>
    <w:p>
      <w:pPr>
        <w:pStyle w:val="BodyText"/>
        <w:spacing w:line="480" w:lineRule="auto" w:after="120"/>
        <w:jc w:val="both"/>
      </w:pPr>
      <w:r>
        <w:t xml:space="preserve">We also report Holm adjustments[42] and the |</w:t>
      </w:r>
      <w:r>
        <w:rPr>
          <w:iCs/>
          <w:i/>
        </w:rPr>
        <w:t xml:space="preserve">t</w:t>
      </w:r>
      <w:r>
        <w:t xml:space="preserve">| = 3 hurdle[36]. A test survives if the adjusted</w:t>
      </w:r>
      <w:r>
        <w:t xml:space="preserve"> </w:t>
      </w:r>
      <w:r>
        <w:rPr>
          <w:iCs/>
          <w:i/>
        </w:rPr>
        <w:t xml:space="preserve">P</w:t>
      </w:r>
      <w:r>
        <w:t xml:space="preserve"> </w:t>
      </w:r>
      <w:r>
        <w:t xml:space="preserve">value is below 0.05, which controls the FDR[41] at 5%; if its signs agree in the discovery half (the first 39 weeks or the events up to the median event date) and the confirmation half; and if its confirmation-half |</w:t>
      </w:r>
      <w:r>
        <w:rPr>
          <w:iCs/>
          <w:i/>
        </w:rPr>
        <w:t xml:space="preserve">t</w:t>
      </w:r>
      <w:r>
        <w:t xml:space="preserve">| exceeds 1.96. Lookbacks overlap with the discovery half, so the confirmation half is not a strict hold-out, and the weekly regressions (from day 120) and event window (from day 61) cover different spans. We place the four event tests and the 22 characteristics in one family because the analysis plan treated all 26 as candidate predictors of short-horizon returns examined on the same data, so the limit result pays for every candidate signal in the plan.</w:t>
      </w:r>
    </w:p>
    <w:p>
      <w:pPr>
        <w:pStyle w:val="Heading3"/>
        <w:jc w:val="left"/>
      </w:pPr>
      <w:r>
        <w:t xml:space="preserve">Analysis plan and exploratory analyses</w:t>
      </w:r>
    </w:p>
    <w:p>
      <w:pPr>
        <w:pStyle w:val="FirstParagraph"/>
        <w:spacing w:line="480" w:lineRule="auto" w:after="120"/>
        <w:jc w:val="both"/>
      </w:pPr>
      <w:r>
        <w:t xml:space="preserve">We fixed the family, estimators, multiplicity control and survival rule in a written analysis plan before computing the results. A version-control time stamp dates the plan before the first analysis code, but no external registry holds it, and we had examined related data in earlier work, so it gives no independent confirmation. We departed from it by reading its ambiguous second horizon as days</w:t>
      </w:r>
      <w:r>
        <w:t xml:space="preserve"> </w:t>
      </w:r>
      <w:r>
        <w:rPr>
          <w:iCs/>
          <w:i/>
        </w:rPr>
        <w:t xml:space="preserve">d</w:t>
      </w:r>
      <w:r>
        <w:t xml:space="preserve">+1 to</w:t>
      </w:r>
      <w:r>
        <w:t xml:space="preserve"> </w:t>
      </w:r>
      <w:r>
        <w:rPr>
          <w:iCs/>
          <w:i/>
        </w:rPr>
        <w:t xml:space="preserve">d</w:t>
      </w:r>
      <w:r>
        <w:t xml:space="preserve">+5 (not</w:t>
      </w:r>
      <w:r>
        <w:t xml:space="preserve"> </w:t>
      </w:r>
      <w:r>
        <w:rPr>
          <w:iCs/>
          <w:i/>
        </w:rPr>
        <w:t xml:space="preserve">d</w:t>
      </w:r>
      <w:r>
        <w:t xml:space="preserve">+2 to</w:t>
      </w:r>
      <w:r>
        <w:t xml:space="preserve"> </w:t>
      </w:r>
      <w:r>
        <w:rPr>
          <w:iCs/>
          <w:i/>
        </w:rPr>
        <w:t xml:space="preserve">d</w:t>
      </w:r>
      <w:r>
        <w:t xml:space="preserve">+5), splitting event halves at the median event date (not weeks 39 and 40), reporting quintile rather than decile spreads, and omitting its same-stock control and multivariate model. Analyses added after the first results are exploratory, and the tests of H</w:t>
      </w:r>
      <w:r>
        <w:rPr>
          <w:vertAlign w:val="subscript"/>
        </w:rPr>
        <w:t xml:space="preserve">2</w:t>
      </w:r>
      <w:r>
        <w:t xml:space="preserve"> </w:t>
      </w:r>
      <w:r>
        <w:t xml:space="preserve">to H</w:t>
      </w:r>
      <w:r>
        <w:rPr>
          <w:vertAlign w:val="subscript"/>
        </w:rPr>
        <w:t xml:space="preserve">4</w:t>
      </w:r>
      <w:r>
        <w:t xml:space="preserve"> </w:t>
      </w:r>
      <w:r>
        <w:t xml:space="preserve">rest on them: decomposition, next-open returns, control group, sub-limit comparison, exact hits, two-way clustering, subsamples, terciles, platform split and outlier exclusion. We also screened several candidate ideas on the same data before choosing this one, so the effect sizes may be overstated.</w:t>
      </w:r>
    </w:p>
    <w:p>
      <w:pPr>
        <w:pStyle w:val="Heading3"/>
        <w:jc w:val="left"/>
      </w:pPr>
      <w:r>
        <w:t xml:space="preserve">Use of generative AI</w:t>
      </w:r>
    </w:p>
    <w:p>
      <w:pPr>
        <w:pStyle w:val="FirstParagraph"/>
        <w:spacing w:line="480" w:lineRule="auto" w:after="120"/>
        <w:jc w:val="both"/>
      </w:pPr>
      <w:r>
        <w:t xml:space="preserve">The authors used the generative AI tool Gemini (Google) only to edit the language of the manuscript. It was not used for the analysis, the code, the literature search or the interpretation of results, and it is not an author. The authors reviewed all edited text and take full responsibility for the content. References and the institutional facts above were checked by web search, not against exchange circulars.</w:t>
      </w:r>
    </w:p>
    <w:p>
      <w:pPr>
        <w:pStyle w:val="Heading3"/>
        <w:jc w:val="left"/>
      </w:pPr>
      <w:r>
        <w:t xml:space="preserve">Statistical analysis</w:t>
      </w:r>
    </w:p>
    <w:p>
      <w:pPr>
        <w:pStyle w:val="FirstParagraph"/>
        <w:spacing w:line="480" w:lineRule="auto" w:after="120"/>
        <w:jc w:val="both"/>
      </w:pPr>
      <w:r>
        <w:rPr>
          <w:iCs/>
          <w:i/>
        </w:rPr>
        <w:t xml:space="preserve">Software and code.</w:t>
      </w:r>
      <w:r>
        <w:t xml:space="preserve"> </w:t>
      </w:r>
      <w:r>
        <w:t xml:space="preserve">All estimates come from one R 4.3.3 script (packages sandwich 3.1.0, lmtest and ggplot2) that reproduces every number, table and figure; the figures in this version were redrawn from the saved R output tables with Python (matplotlib) without re-estimating any number. The code, the price files and the output tables are in the repository named in the Data availability statement in the submission form (https://github.com/trungcandygit/black_litterman_2, folder paper2, entry script paper2/R/run_all.R).</w:t>
      </w:r>
    </w:p>
    <w:p>
      <w:pPr>
        <w:pStyle w:val="BodyText"/>
        <w:spacing w:line="480" w:lineRule="auto" w:after="120"/>
        <w:jc w:val="both"/>
      </w:pPr>
      <w:r>
        <w:rPr>
          <w:iCs/>
          <w:i/>
        </w:rPr>
        <w:t xml:space="preserve">Design and tests.</w:t>
      </w:r>
      <w:r>
        <w:t xml:space="preserve"> </w:t>
      </w:r>
      <w:r>
        <w:t xml:space="preserve">The design is observational and uses events (stock-days) compared with market, control-stock and near-limit benchmarks, not between- or within-subject groups. All tests are two-sided with threshold α = 0.05. Event means use cluster-robust</w:t>
      </w:r>
      <w:r>
        <w:t xml:space="preserve"> </w:t>
      </w:r>
      <w:r>
        <w:rPr>
          <w:iCs/>
          <w:i/>
        </w:rPr>
        <w:t xml:space="preserve">t</w:t>
      </w:r>
      <w:r>
        <w:t xml:space="preserve">-statistics (equation (6)) with the clusters, reference distributions and small-sample factors given above; the characteristic tests use Newey–West</w:t>
      </w:r>
      <w:r>
        <w:t xml:space="preserve"> </w:t>
      </w:r>
      <w:r>
        <w:rPr>
          <w:iCs/>
          <w:i/>
        </w:rPr>
        <w:t xml:space="preserve">t</w:t>
      </w:r>
      <w:r>
        <w:t xml:space="preserve">-statistics with 78 degrees of freedom. We report exact</w:t>
      </w:r>
      <w:r>
        <w:t xml:space="preserve"> </w:t>
      </w:r>
      <w:r>
        <w:rPr>
          <w:iCs/>
          <w:i/>
        </w:rPr>
        <w:t xml:space="preserve">P</w:t>
      </w:r>
      <w:r>
        <w:t xml:space="preserve"> </w:t>
      </w:r>
      <w:r>
        <w:t xml:space="preserve">values of 0.001 or more and</w:t>
      </w:r>
      <w:r>
        <w:t xml:space="preserve"> </w:t>
      </w:r>
      <w:r>
        <w:t xml:space="preserve">“</w:t>
      </w:r>
      <w:r>
        <w:rPr>
          <w:iCs/>
          <w:i/>
        </w:rPr>
        <w:t xml:space="preserve">P</w:t>
      </w:r>
      <w:r>
        <w:t xml:space="preserve"> </w:t>
      </w:r>
      <w:r>
        <w:t xml:space="preserve">&lt; 0.001</w:t>
      </w:r>
      <w:r>
        <w:t xml:space="preserve">”</w:t>
      </w:r>
      <w:r>
        <w:t xml:space="preserve"> </w:t>
      </w:r>
      <w:r>
        <w:t xml:space="preserve">otherwise. The reference distribution is the standard normal for the event-level statistics, justified by 446 and 319 event dates for ceilings and floors (at least 46 clusters in every alternative clustering); no normality assumption on returns is made beyond that.</w:t>
      </w:r>
    </w:p>
    <w:p>
      <w:pPr>
        <w:pStyle w:val="BodyText"/>
        <w:spacing w:line="480" w:lineRule="auto" w:after="120"/>
        <w:jc w:val="both"/>
      </w:pPr>
      <w:r>
        <w:rPr>
          <w:iCs/>
          <w:i/>
        </w:rPr>
        <w:t xml:space="preserve">Multiple comparisons, outliers and missing data.</w:t>
      </w:r>
      <w:r>
        <w:t xml:space="preserve"> </w:t>
      </w:r>
      <w:r>
        <w:t xml:space="preserve">The family of 26 tests is controlled by the Benjamini–Hochberg procedure (equation (8)), with Holm and Bonferroni adjustments as checks. Returns beyond ±8% (96 stock-days) are not removed from the main estimates; we report the estimates with every event within five trading days of such a return removed. Stocks with less than 95% non-missing closes are excluded from the sample (347 of 405 retained), and events without the required prices are excluded from the analysis that needs them, with counts given above. Sample sizes are the numbers of events, stock-days or weeks stated in the tables; no sample-size calculation was performed, and the minimum detectable effect of the characteristic tests is reported in the Results.</w:t>
      </w:r>
    </w:p>
    <w:p>
      <w:pPr>
        <w:pStyle w:val="BodyText"/>
        <w:spacing w:line="480" w:lineRule="auto" w:after="120"/>
        <w:jc w:val="both"/>
      </w:pPr>
      <w:r>
        <w:rPr>
          <w:iCs/>
          <w:i/>
        </w:rPr>
        <w:t xml:space="preserve">Regression results.</w:t>
      </w:r>
      <w:r>
        <w:t xml:space="preserve"> </w:t>
      </w:r>
      <w:r>
        <w:t xml:space="preserve">The full estimates of the 22 characteristic regressions (coefficients, standard errors,</w:t>
      </w:r>
      <w:r>
        <w:t xml:space="preserve"> </w:t>
      </w:r>
      <w:r>
        <w:rPr>
          <w:iCs/>
          <w:i/>
        </w:rPr>
        <w:t xml:space="preserve">P</w:t>
      </w:r>
      <w:r>
        <w:t xml:space="preserve"> </w:t>
      </w:r>
      <w:r>
        <w:t xml:space="preserve">values and 95% confidence intervals) are in S5 Table; the event comparisons report mean differences with</w:t>
      </w:r>
      <w:r>
        <w:t xml:space="preserve"> </w:t>
      </w:r>
      <w:r>
        <w:rPr>
          <w:iCs/>
          <w:i/>
        </w:rPr>
        <w:t xml:space="preserve">t</w:t>
      </w:r>
      <w:r>
        <w:t xml:space="preserve">-statistics in the tables. Goodness-of-fit measures are not reported because the regressions are cross-sectional rank regressions estimated week by week.</w:t>
      </w:r>
    </w:p>
    <w:p>
      <w:pPr>
        <w:pStyle w:val="Heading3"/>
        <w:jc w:val="left"/>
      </w:pPr>
      <w:r>
        <w:t xml:space="preserve">Ethics statement</w:t>
      </w:r>
    </w:p>
    <w:p>
      <w:pPr>
        <w:pStyle w:val="FirstParagraph"/>
        <w:spacing w:line="480" w:lineRule="auto" w:after="120"/>
        <w:jc w:val="both"/>
      </w:pPr>
      <w:r>
        <w:t xml:space="preserve">The study uses public market prices and involves no human or animal participants, so ethical approval and consent were not required.</w:t>
      </w:r>
    </w:p>
    <w:p>
      <w:pPr>
        <w:pStyle w:val="Heading2"/>
        <w:jc w:val="left"/>
      </w:pPr>
      <w:r>
        <w:t xml:space="preserve">Acknowledgments</w:t>
      </w:r>
    </w:p>
    <w:p>
      <w:pPr>
        <w:pStyle w:val="FirstParagraph"/>
        <w:spacing w:line="480" w:lineRule="auto" w:after="120"/>
        <w:jc w:val="both"/>
      </w:pPr>
      <w:r>
        <w:t xml:space="preserve">The authors received no assistance beyond that described in Materials and methods.</w:t>
      </w:r>
    </w:p>
    <w:p>
      <w:pPr>
        <w:pStyle w:val="Heading2"/>
        <w:jc w:val="left"/>
      </w:pPr>
      <w:r>
        <w:t xml:space="preserve">References</w:t>
      </w:r>
    </w:p>
    <w:p>
      <w:pPr>
        <w:numPr>
          <w:ilvl w:val="0"/>
          <w:numId w:val="1001"/>
        </w:numPr>
        <w:pStyle w:val="Compact"/>
        <w:spacing w:line="480" w:lineRule="auto" w:after="120"/>
        <w:jc w:val="left"/>
      </w:pPr>
      <w:r>
        <w:t xml:space="preserve">Brennan, M. J. A theory of price limits in futures markets. J Financ Econ. 1986;16: 213-233. doi: 10.1016/0304-405X(86)90061-9</w:t>
      </w:r>
    </w:p>
    <w:p>
      <w:pPr>
        <w:numPr>
          <w:ilvl w:val="0"/>
          <w:numId w:val="1001"/>
        </w:numPr>
        <w:pStyle w:val="Compact"/>
        <w:spacing w:line="480" w:lineRule="auto" w:after="120"/>
        <w:jc w:val="left"/>
      </w:pPr>
      <w:r>
        <w:t xml:space="preserve">Kodres, L. E., O’Brien, D. P. The existence of Pareto-superior price limits. Am Econ Rev. 1994;84: 919-932.</w:t>
      </w:r>
    </w:p>
    <w:p>
      <w:pPr>
        <w:numPr>
          <w:ilvl w:val="0"/>
          <w:numId w:val="1001"/>
        </w:numPr>
        <w:pStyle w:val="Compact"/>
        <w:spacing w:line="480" w:lineRule="auto" w:after="120"/>
        <w:jc w:val="left"/>
      </w:pPr>
      <w:r>
        <w:t xml:space="preserve">Greenwald, B. C., Stein, J. C. Transactional risk, market crashes, and the role of circuit breakers. J Bus. 1991;64: 443-462.</w:t>
      </w:r>
    </w:p>
    <w:p>
      <w:pPr>
        <w:numPr>
          <w:ilvl w:val="0"/>
          <w:numId w:val="1001"/>
        </w:numPr>
        <w:pStyle w:val="Compact"/>
        <w:spacing w:line="480" w:lineRule="auto" w:after="120"/>
        <w:jc w:val="left"/>
      </w:pPr>
      <w:r>
        <w:t xml:space="preserve">Subrahmanyam, A. Circuit breakers and market volatility: a theoretical perspective. J Finance. 1994;49: 237-254. doi: 10.1111/j.1540-6261.1994.tb04427.x</w:t>
      </w:r>
    </w:p>
    <w:p>
      <w:pPr>
        <w:numPr>
          <w:ilvl w:val="0"/>
          <w:numId w:val="1001"/>
        </w:numPr>
        <w:pStyle w:val="Compact"/>
        <w:spacing w:line="480" w:lineRule="auto" w:after="120"/>
        <w:jc w:val="left"/>
      </w:pPr>
      <w:r>
        <w:t xml:space="preserve">Chen, H., Petukhov, A., Wang, J., Xing, H. The dark side of circuit breakers. J Finance. 2024;79: 1405-1455. doi: 10.1111/jofi.13310</w:t>
      </w:r>
    </w:p>
    <w:p>
      <w:pPr>
        <w:numPr>
          <w:ilvl w:val="0"/>
          <w:numId w:val="1001"/>
        </w:numPr>
        <w:pStyle w:val="Compact"/>
        <w:spacing w:line="480" w:lineRule="auto" w:after="120"/>
        <w:jc w:val="left"/>
      </w:pPr>
      <w:r>
        <w:t xml:space="preserve">Cho, D. D., Russell, J., Tiao, G. C., Tsay, R. S. The magnet effect of price limits: evidence from high-frequency data on Taiwan Stock Exchange. J Empir Finance. 2003;10: 133-168. doi: 10.1016/S0927-5398(02)00024-5</w:t>
      </w:r>
    </w:p>
    <w:p>
      <w:pPr>
        <w:numPr>
          <w:ilvl w:val="0"/>
          <w:numId w:val="1001"/>
        </w:numPr>
        <w:pStyle w:val="Compact"/>
        <w:spacing w:line="480" w:lineRule="auto" w:after="120"/>
        <w:jc w:val="left"/>
      </w:pPr>
      <w:r>
        <w:t xml:space="preserve">Kim, K. A., Rhee, S. G. Price limit performance: evidence from the Tokyo Stock Exchange. J Finance. 1997;52: 885-901. doi: 10.1111/j.1540-6261.1997.tb04827.x</w:t>
      </w:r>
    </w:p>
    <w:p>
      <w:pPr>
        <w:numPr>
          <w:ilvl w:val="0"/>
          <w:numId w:val="1001"/>
        </w:numPr>
        <w:pStyle w:val="Compact"/>
        <w:spacing w:line="480" w:lineRule="auto" w:after="120"/>
        <w:jc w:val="left"/>
      </w:pPr>
      <w:r>
        <w:t xml:space="preserve">Bildik, R., Gülay, G. Are price limits effective? Evidence from the Istanbul Stock Exchange. J Financ Res. 2006;29: 383-403. doi: 10.1111/j.1475-6803.2006.00185.x</w:t>
      </w:r>
    </w:p>
    <w:p>
      <w:pPr>
        <w:numPr>
          <w:ilvl w:val="0"/>
          <w:numId w:val="1001"/>
        </w:numPr>
        <w:pStyle w:val="Compact"/>
        <w:spacing w:line="480" w:lineRule="auto" w:after="120"/>
        <w:jc w:val="left"/>
      </w:pPr>
      <w:r>
        <w:t xml:space="preserve">Chen, Y.-M. Price limits and stock market volatility in Taiwan. Pac Basin Finance J. 1993;1: 139-153. doi: 10.1016/0927-538X(93)90005-3</w:t>
      </w:r>
    </w:p>
    <w:p>
      <w:pPr>
        <w:numPr>
          <w:ilvl w:val="0"/>
          <w:numId w:val="1001"/>
        </w:numPr>
        <w:pStyle w:val="Compact"/>
        <w:spacing w:line="480" w:lineRule="auto" w:after="120"/>
        <w:jc w:val="left"/>
      </w:pPr>
      <w:r>
        <w:t xml:space="preserve">Huang, Y.-S., Fu, T.-W., Ke, M.-C. Daily price limits and stock price behavior: evidence from the Taiwan Stock Exchange. Int Rev Econ Finance. 2001;10: 263-288. doi: 10.1016/S1059-0560(00)00082-4</w:t>
      </w:r>
    </w:p>
    <w:p>
      <w:pPr>
        <w:numPr>
          <w:ilvl w:val="0"/>
          <w:numId w:val="1001"/>
        </w:numPr>
        <w:pStyle w:val="Compact"/>
        <w:spacing w:line="480" w:lineRule="auto" w:after="120"/>
        <w:jc w:val="left"/>
      </w:pPr>
      <w:r>
        <w:t xml:space="preserve">Berkman, H., Lee, J. B. T. The effectiveness of price limits in an emerging market: evidence from the Korean Stock Exchange. Pac Basin Finance J. 2002;10: 517-530. doi: 10.1016/S0927-538X(02)00040-9</w:t>
      </w:r>
    </w:p>
    <w:p>
      <w:pPr>
        <w:numPr>
          <w:ilvl w:val="0"/>
          <w:numId w:val="1001"/>
        </w:numPr>
        <w:pStyle w:val="Compact"/>
        <w:spacing w:line="480" w:lineRule="auto" w:after="120"/>
        <w:jc w:val="left"/>
      </w:pPr>
      <w:r>
        <w:t xml:space="preserve">Qi, B. Effectiveness of price limits: evidence from China’s ChiNext market. PLoS One. 2023;18: e0287548. doi: 10.1371/journal.pone.0287548</w:t>
      </w:r>
    </w:p>
    <w:p>
      <w:pPr>
        <w:numPr>
          <w:ilvl w:val="0"/>
          <w:numId w:val="1001"/>
        </w:numPr>
        <w:pStyle w:val="Compact"/>
        <w:spacing w:line="480" w:lineRule="auto" w:after="120"/>
        <w:jc w:val="left"/>
      </w:pPr>
      <w:r>
        <w:t xml:space="preserve">Zhang, X., Wang, Z., Hao, J., He, F. Price limit and stock market quality: evidence from a quasi-natural experiment in the Chinese stock market. Pac Basin Finance J. 2022;74: 101778.</w:t>
      </w:r>
    </w:p>
    <w:p>
      <w:pPr>
        <w:numPr>
          <w:ilvl w:val="0"/>
          <w:numId w:val="1001"/>
        </w:numPr>
        <w:pStyle w:val="Compact"/>
        <w:spacing w:line="480" w:lineRule="auto" w:after="120"/>
        <w:jc w:val="left"/>
      </w:pPr>
      <w:r>
        <w:t xml:space="preserve">Jia, S., An, Y., Yang, L., Zhou, F. Price limit relaxation and stock price crash risk: evidence from China. Financ Res Lett. 2024;59: 104715. doi: 10.1016/j.frl.2023.104715</w:t>
      </w:r>
    </w:p>
    <w:p>
      <w:pPr>
        <w:numPr>
          <w:ilvl w:val="0"/>
          <w:numId w:val="1001"/>
        </w:numPr>
        <w:pStyle w:val="Compact"/>
        <w:spacing w:line="480" w:lineRule="auto" w:after="120"/>
        <w:jc w:val="left"/>
      </w:pPr>
      <w:r>
        <w:t xml:space="preserve">Lien, D., Hung, P.-H., Zhu, J.-D., Chen, Y.-H. Price limit changes and market quality in the Taiwan Stock Exchange. Pac Basin Finance J. 2019;55: 239-258.</w:t>
      </w:r>
    </w:p>
    <w:p>
      <w:pPr>
        <w:numPr>
          <w:ilvl w:val="0"/>
          <w:numId w:val="1001"/>
        </w:numPr>
        <w:pStyle w:val="Compact"/>
        <w:spacing w:line="480" w:lineRule="auto" w:after="120"/>
        <w:jc w:val="left"/>
      </w:pPr>
      <w:r>
        <w:t xml:space="preserve">Kim, W., Jun, S. Effects of a price limit change on market stability at the intraday horizon in the Korean stock market. Appl Econ Lett. 2019;26: 582-586.</w:t>
      </w:r>
    </w:p>
    <w:p>
      <w:pPr>
        <w:numPr>
          <w:ilvl w:val="0"/>
          <w:numId w:val="1001"/>
        </w:numPr>
        <w:pStyle w:val="Compact"/>
        <w:spacing w:line="480" w:lineRule="auto" w:after="120"/>
        <w:jc w:val="left"/>
      </w:pPr>
      <w:r>
        <w:t xml:space="preserve">Chen, T., Gao, Z., He, J., Jiang, W., Xiong, W. Daily price limits and destructive market behavior. J Econom. 2019;208: 249-264. doi: 10.1016/j.jeconom.2018.09.014</w:t>
      </w:r>
    </w:p>
    <w:p>
      <w:pPr>
        <w:numPr>
          <w:ilvl w:val="0"/>
          <w:numId w:val="1001"/>
        </w:numPr>
        <w:pStyle w:val="Compact"/>
        <w:spacing w:line="480" w:lineRule="auto" w:after="120"/>
        <w:jc w:val="left"/>
      </w:pPr>
      <w:r>
        <w:t xml:space="preserve">Lin, F., Qiu, Z., Zheng, W. Cranes among chickens: the general-attention-grabbing effect of daily price limits in China’s stock market. J Bank Finance. 2023;150: 106818. doi: 10.1016/j.jbankfin.2023.106818</w:t>
      </w:r>
    </w:p>
    <w:p>
      <w:pPr>
        <w:numPr>
          <w:ilvl w:val="0"/>
          <w:numId w:val="1001"/>
        </w:numPr>
        <w:pStyle w:val="Compact"/>
        <w:spacing w:line="480" w:lineRule="auto" w:after="120"/>
        <w:jc w:val="left"/>
      </w:pPr>
      <w:r>
        <w:t xml:space="preserve">Zeng, Z., Wang, G., Tang, G. Price limits hitting effect and cross-sectional stock returns: evidence from China. Financ Res Lett. 2024;60: 104803. doi: 10.1016/j.frl.2023.104803</w:t>
      </w:r>
    </w:p>
    <w:p>
      <w:pPr>
        <w:numPr>
          <w:ilvl w:val="0"/>
          <w:numId w:val="1001"/>
        </w:numPr>
        <w:pStyle w:val="Compact"/>
        <w:spacing w:line="480" w:lineRule="auto" w:after="120"/>
        <w:jc w:val="left"/>
      </w:pPr>
      <w:r>
        <w:t xml:space="preserve">Liang, H., Hu, Y. Stock price limit and its predictability in the Chinese stock market. J Forecast. 2025;44: 297-319. doi: 10.1002/for.3197</w:t>
      </w:r>
    </w:p>
    <w:p>
      <w:pPr>
        <w:numPr>
          <w:ilvl w:val="0"/>
          <w:numId w:val="1001"/>
        </w:numPr>
        <w:pStyle w:val="Compact"/>
        <w:spacing w:line="480" w:lineRule="auto" w:after="120"/>
        <w:jc w:val="left"/>
      </w:pPr>
      <w:r>
        <w:t xml:space="preserve">Kim, K. A., Limpaphayom, P. Characteristics of stocks that frequently hit price limits: empirical evidence from Taiwan and Thailand. J Financ Mark. 2000;3: 315-332.</w:t>
      </w:r>
    </w:p>
    <w:p>
      <w:pPr>
        <w:numPr>
          <w:ilvl w:val="0"/>
          <w:numId w:val="1001"/>
        </w:numPr>
        <w:pStyle w:val="Compact"/>
        <w:spacing w:line="480" w:lineRule="auto" w:after="120"/>
        <w:jc w:val="left"/>
      </w:pPr>
      <w:r>
        <w:t xml:space="preserve">Deb, S. S., Kalev, P. S., Marisetty, V. B. Flexible price limits: the case of Tokyo Stock Exchange. J Int Financ Mark Inst Money. 2013;24: 66-84.</w:t>
      </w:r>
    </w:p>
    <w:p>
      <w:pPr>
        <w:numPr>
          <w:ilvl w:val="0"/>
          <w:numId w:val="1001"/>
        </w:numPr>
        <w:pStyle w:val="Compact"/>
        <w:spacing w:line="480" w:lineRule="auto" w:after="120"/>
        <w:jc w:val="left"/>
      </w:pPr>
      <w:r>
        <w:t xml:space="preserve">Le, D. N. Evaluating impacts of reduction in fluctuation limit on stock price risks in Vietnam. J Econ Dev. 2012;214: 116-128. Available from: https://vjol.info.vn/ed/article/view/34298</w:t>
      </w:r>
    </w:p>
    <w:p>
      <w:pPr>
        <w:numPr>
          <w:ilvl w:val="0"/>
          <w:numId w:val="1001"/>
        </w:numPr>
        <w:pStyle w:val="Compact"/>
        <w:spacing w:line="480" w:lineRule="auto" w:after="120"/>
        <w:jc w:val="left"/>
      </w:pPr>
      <w:r>
        <w:t xml:space="preserve">Farber, A., Nguyen, V. N., Vuong, Q. H. Policy impacts on Vietnam stock market: a case of anomalies and disequilibria 2000–2006. CEB Working Paper No. 06/005. Brussels: Université Libre de Bruxelles; 2006. Available from: https://ideas.repec.org/p/sol/wpaper/06-005.html</w:t>
      </w:r>
    </w:p>
    <w:p>
      <w:pPr>
        <w:numPr>
          <w:ilvl w:val="0"/>
          <w:numId w:val="1001"/>
        </w:numPr>
        <w:pStyle w:val="Compact"/>
        <w:spacing w:line="480" w:lineRule="auto" w:after="120"/>
        <w:jc w:val="left"/>
      </w:pPr>
      <w:r>
        <w:t xml:space="preserve">Kelly, M. A., Clark, S. P. Returns in trading versus non-trading hours: the difference is day and night. J Asset Manag. 2011;12: 132-145. doi: 10.1057/jam.2011.2</w:t>
      </w:r>
    </w:p>
    <w:p>
      <w:pPr>
        <w:numPr>
          <w:ilvl w:val="0"/>
          <w:numId w:val="1001"/>
        </w:numPr>
        <w:pStyle w:val="Compact"/>
        <w:spacing w:line="480" w:lineRule="auto" w:after="120"/>
        <w:jc w:val="left"/>
      </w:pPr>
      <w:r>
        <w:t xml:space="preserve">Berkman, H., Koch, P. D., Tuttle, L., Zhang, Y. J. Paying attention: overnight returns and the hidden cost of buying at the open. J Financ Quant Anal. 2012;47: 715-741. doi: 10.1017/S0022109012000270</w:t>
      </w:r>
    </w:p>
    <w:p>
      <w:pPr>
        <w:numPr>
          <w:ilvl w:val="0"/>
          <w:numId w:val="1001"/>
        </w:numPr>
        <w:pStyle w:val="Compact"/>
        <w:spacing w:line="480" w:lineRule="auto" w:after="120"/>
        <w:jc w:val="left"/>
      </w:pPr>
      <w:r>
        <w:t xml:space="preserve">Aboody, D., Even-Tov, O., Lehavy, R., Trueman, B. Overnight returns and firm-specific investor sentiment. J Financ Quant Anal. 2018;53: 485-505.</w:t>
      </w:r>
    </w:p>
    <w:p>
      <w:pPr>
        <w:numPr>
          <w:ilvl w:val="0"/>
          <w:numId w:val="1001"/>
        </w:numPr>
        <w:pStyle w:val="Compact"/>
        <w:spacing w:line="480" w:lineRule="auto" w:after="120"/>
        <w:jc w:val="left"/>
      </w:pPr>
      <w:r>
        <w:t xml:space="preserve">Lou, D., Polk, C., Skouras, S. A tug of war: overnight versus intraday expected returns. J Financ Econ. 2019;134: 192-213. doi: 10.1016/j.jfineco.2019.03.011</w:t>
      </w:r>
    </w:p>
    <w:p>
      <w:pPr>
        <w:numPr>
          <w:ilvl w:val="0"/>
          <w:numId w:val="1001"/>
        </w:numPr>
        <w:pStyle w:val="Compact"/>
        <w:spacing w:line="480" w:lineRule="auto" w:after="120"/>
        <w:jc w:val="left"/>
      </w:pPr>
      <w:r>
        <w:t xml:space="preserve">Akbas, F., Boehmer, E., Jiang, C., Koch, P. D. Overnight returns, daytime reversals, and future stock returns. J Financ Econ. 2022;145: 850-875. doi: 10.1016/j.jfineco.2021.09.019</w:t>
      </w:r>
    </w:p>
    <w:p>
      <w:pPr>
        <w:numPr>
          <w:ilvl w:val="0"/>
          <w:numId w:val="1001"/>
        </w:numPr>
        <w:pStyle w:val="Compact"/>
        <w:spacing w:line="480" w:lineRule="auto" w:after="120"/>
        <w:jc w:val="left"/>
      </w:pPr>
      <w:r>
        <w:t xml:space="preserve">Bogousslavsky, V. The cross-section of intraday and overnight returns. J Financ Econ. 2021;141: 172-194.</w:t>
      </w:r>
    </w:p>
    <w:p>
      <w:pPr>
        <w:numPr>
          <w:ilvl w:val="0"/>
          <w:numId w:val="1001"/>
        </w:numPr>
        <w:pStyle w:val="Compact"/>
        <w:spacing w:line="480" w:lineRule="auto" w:after="120"/>
        <w:jc w:val="left"/>
      </w:pPr>
      <w:r>
        <w:t xml:space="preserve">Lu, Z., Malliaris, S. G., Qin, Z. Heterogeneous liquidity providers and night-minus-day return predictability. J Financ Econ. 2023;148: 175-200.</w:t>
      </w:r>
    </w:p>
    <w:p>
      <w:pPr>
        <w:numPr>
          <w:ilvl w:val="0"/>
          <w:numId w:val="1001"/>
        </w:numPr>
        <w:pStyle w:val="Compact"/>
        <w:spacing w:line="480" w:lineRule="auto" w:after="120"/>
        <w:jc w:val="left"/>
      </w:pPr>
      <w:r>
        <w:t xml:space="preserve">Qiao, K., Dam, L. The overnight return puzzle and the</w:t>
      </w:r>
      <w:r>
        <w:t xml:space="preserve"> </w:t>
      </w:r>
      <w:r>
        <w:t xml:space="preserve">“</w:t>
      </w:r>
      <w:r>
        <w:t xml:space="preserve">T+1</w:t>
      </w:r>
      <w:r>
        <w:t xml:space="preserve">”</w:t>
      </w:r>
      <w:r>
        <w:t xml:space="preserve"> </w:t>
      </w:r>
      <w:r>
        <w:t xml:space="preserve">trading rule in Chinese stock markets. J Financ Mark. 2020;50: 100534.</w:t>
      </w:r>
    </w:p>
    <w:p>
      <w:pPr>
        <w:numPr>
          <w:ilvl w:val="0"/>
          <w:numId w:val="1001"/>
        </w:numPr>
        <w:pStyle w:val="Compact"/>
        <w:spacing w:line="480" w:lineRule="auto" w:after="120"/>
        <w:jc w:val="left"/>
      </w:pPr>
      <w:r>
        <w:t xml:space="preserve">Gu, M., Hu, Y., Xiong, Z. Dissecting the lottery-like anomaly: evidence from China. Account Finance. 2025;65: 883-911. doi: 10.1111/acfi.13354</w:t>
      </w:r>
    </w:p>
    <w:p>
      <w:pPr>
        <w:numPr>
          <w:ilvl w:val="0"/>
          <w:numId w:val="1001"/>
        </w:numPr>
        <w:pStyle w:val="Compact"/>
        <w:spacing w:line="480" w:lineRule="auto" w:after="120"/>
        <w:jc w:val="left"/>
      </w:pPr>
      <w:r>
        <w:t xml:space="preserve">Qiu, J., Huang, W., Jiang, Y. Day-night anomaly returns in China: the role of institutions. Res Int Bus Finance. 2025;75: 102776.</w:t>
      </w:r>
    </w:p>
    <w:p>
      <w:pPr>
        <w:numPr>
          <w:ilvl w:val="0"/>
          <w:numId w:val="1001"/>
        </w:numPr>
        <w:pStyle w:val="Compact"/>
        <w:spacing w:line="480" w:lineRule="auto" w:after="120"/>
        <w:jc w:val="left"/>
      </w:pPr>
      <w:r>
        <w:t xml:space="preserve">Jones, C. M., Shi, D., Zhang, X., Zhang, X. Retail trading and return predictability in China. J Financ Quant Anal. 2025;60: 68-104.</w:t>
      </w:r>
    </w:p>
    <w:p>
      <w:pPr>
        <w:numPr>
          <w:ilvl w:val="0"/>
          <w:numId w:val="1001"/>
        </w:numPr>
        <w:pStyle w:val="Compact"/>
        <w:spacing w:line="480" w:lineRule="auto" w:after="120"/>
        <w:jc w:val="left"/>
      </w:pPr>
      <w:r>
        <w:t xml:space="preserve">Harvey, C. R., Liu, Y., Zhu, H. …and the cross-section of expected returns. Rev Financ Stud. 2016;29: 5-68. doi: 10.1093/rfs/hhv059</w:t>
      </w:r>
    </w:p>
    <w:p>
      <w:pPr>
        <w:numPr>
          <w:ilvl w:val="0"/>
          <w:numId w:val="1001"/>
        </w:numPr>
        <w:pStyle w:val="Compact"/>
        <w:spacing w:line="480" w:lineRule="auto" w:after="120"/>
        <w:jc w:val="left"/>
      </w:pPr>
      <w:r>
        <w:t xml:space="preserve">Harvey, C. R., Liu, Y. False (and missed) discoveries in financial economics. J Finance. 2020;75: 2503-2553. doi: 10.1111/jofi.12951</w:t>
      </w:r>
    </w:p>
    <w:p>
      <w:pPr>
        <w:numPr>
          <w:ilvl w:val="0"/>
          <w:numId w:val="1001"/>
        </w:numPr>
        <w:pStyle w:val="Compact"/>
        <w:spacing w:line="480" w:lineRule="auto" w:after="120"/>
        <w:jc w:val="left"/>
      </w:pPr>
      <w:r>
        <w:t xml:space="preserve">Chordia, T., Goyal, A., Saretto, A. Anomalies and false rejections. Rev Financ Stud. 2020;33: 2134-2179.</w:t>
      </w:r>
    </w:p>
    <w:p>
      <w:pPr>
        <w:numPr>
          <w:ilvl w:val="0"/>
          <w:numId w:val="1001"/>
        </w:numPr>
        <w:pStyle w:val="Compact"/>
        <w:spacing w:line="480" w:lineRule="auto" w:after="120"/>
        <w:jc w:val="left"/>
      </w:pPr>
      <w:r>
        <w:t xml:space="preserve">Hou, K., Xue, C., Zhang, L. Replicating anomalies. Rev Financ Stud. 2020;33: 2019-2133.</w:t>
      </w:r>
    </w:p>
    <w:p>
      <w:pPr>
        <w:numPr>
          <w:ilvl w:val="0"/>
          <w:numId w:val="1001"/>
        </w:numPr>
        <w:pStyle w:val="Compact"/>
        <w:spacing w:line="480" w:lineRule="auto" w:after="120"/>
        <w:jc w:val="left"/>
      </w:pPr>
      <w:r>
        <w:t xml:space="preserve">Huang, X., Liu, C., Shu, T. Factors and anomalies in the Vietnamese stock market. Pac Basin Finance J. 2023;82: 102176.</w:t>
      </w:r>
    </w:p>
    <w:p>
      <w:pPr>
        <w:numPr>
          <w:ilvl w:val="0"/>
          <w:numId w:val="1001"/>
        </w:numPr>
        <w:pStyle w:val="Compact"/>
        <w:spacing w:line="480" w:lineRule="auto" w:after="120"/>
        <w:jc w:val="left"/>
      </w:pPr>
      <w:r>
        <w:t xml:space="preserve">Benjamini, Y., Hochberg, Y. Controlling the false discovery rate: a practical and powerful approach to multiple testing. J R Stat Soc Series B. 1995;57: 289-300. doi: 10.1111/j.2517-6161.1995.tb02031.x</w:t>
      </w:r>
    </w:p>
    <w:p>
      <w:pPr>
        <w:numPr>
          <w:ilvl w:val="0"/>
          <w:numId w:val="1001"/>
        </w:numPr>
        <w:pStyle w:val="Compact"/>
        <w:spacing w:line="480" w:lineRule="auto" w:after="120"/>
        <w:jc w:val="left"/>
      </w:pPr>
      <w:r>
        <w:t xml:space="preserve">Holm, S. A simple sequentially rejective multiple test procedure. Scand J Stat. 1979;6: 65-70.</w:t>
      </w:r>
    </w:p>
    <w:p>
      <w:pPr>
        <w:numPr>
          <w:ilvl w:val="0"/>
          <w:numId w:val="1001"/>
        </w:numPr>
        <w:pStyle w:val="Compact"/>
        <w:spacing w:line="480" w:lineRule="auto" w:after="120"/>
        <w:jc w:val="left"/>
      </w:pPr>
      <w:r>
        <w:t xml:space="preserve">Ho Chi Minh City Securities Corporation. Important changes of new trading system [Internet]. Ho Chi Minh City: Ho Chi Minh City Securities Corporation; 2025 [cited 2026 Oct 5]. Available from: https://www.hsc.com.vn/en/important-changes-of-new-trading-system</w:t>
      </w:r>
    </w:p>
    <w:p>
      <w:pPr>
        <w:numPr>
          <w:ilvl w:val="0"/>
          <w:numId w:val="1001"/>
        </w:numPr>
        <w:pStyle w:val="Compact"/>
        <w:spacing w:line="480" w:lineRule="auto" w:after="120"/>
        <w:jc w:val="left"/>
      </w:pPr>
      <w:r>
        <w:t xml:space="preserve">Viet Nam News. KRX system officially goes live. Viet Nam News. 2025 [cited 2026 Oct 5]. Available from: https://vietnamnews.vn/economy/1717047/krx-system-officially-goes-live.html</w:t>
      </w:r>
    </w:p>
    <w:p>
      <w:pPr>
        <w:numPr>
          <w:ilvl w:val="0"/>
          <w:numId w:val="1001"/>
        </w:numPr>
        <w:pStyle w:val="Compact"/>
        <w:spacing w:line="480" w:lineRule="auto" w:after="120"/>
        <w:jc w:val="left"/>
      </w:pPr>
      <w:r>
        <w:t xml:space="preserve">Cameron, A. C., Gelbach, J. B., Miller, D. L. Robust inference with multiway clustering. J Bus Econ Stat. 2011;29: 238-249. doi: 10.1198/jbes.2010.07136</w:t>
      </w:r>
    </w:p>
    <w:p>
      <w:pPr>
        <w:numPr>
          <w:ilvl w:val="0"/>
          <w:numId w:val="1001"/>
        </w:numPr>
        <w:pStyle w:val="Compact"/>
        <w:spacing w:line="480" w:lineRule="auto" w:after="120"/>
        <w:jc w:val="left"/>
      </w:pPr>
      <w:r>
        <w:t xml:space="preserve">Fama, E. F., MacBeth, J. D. Risk, return, and equilibrium: empirical tests. J Polit Econ. 1973;81: 607-636. doi: 10.1086/260061</w:t>
      </w:r>
    </w:p>
    <w:p>
      <w:pPr>
        <w:numPr>
          <w:ilvl w:val="0"/>
          <w:numId w:val="1001"/>
        </w:numPr>
        <w:pStyle w:val="Compact"/>
        <w:spacing w:line="480" w:lineRule="auto" w:after="120"/>
        <w:jc w:val="left"/>
      </w:pPr>
      <w:r>
        <w:t xml:space="preserve">Newey, W. K., West, K. D. A simple, positive semi-definite, heteroskedasticity and autocorrelation consistent covariance matrix. Econometrica. 1987;55: 703-708. doi: 10.2307/1913610</w:t>
      </w:r>
    </w:p>
    <w:p>
      <w:pPr>
        <w:pStyle w:val="Heading2"/>
        <w:jc w:val="left"/>
      </w:pPr>
      <w:r>
        <w:t xml:space="preserve">Supporting information</w:t>
      </w:r>
    </w:p>
    <w:p>
      <w:pPr>
        <w:pStyle w:val="FirstParagraph"/>
        <w:spacing w:line="480" w:lineRule="auto" w:after="120"/>
        <w:jc w:val="both"/>
      </w:pPr>
      <w:r>
        <w:rPr>
          <w:bCs/>
          <w:b/>
        </w:rPr>
        <w:t xml:space="preserve">S1 Appendix.</w:t>
      </w:r>
      <w:r>
        <w:t xml:space="preserve"> </w:t>
      </w:r>
      <w:r>
        <w:t xml:space="preserve">Characteristic definitions and literature search. Definitions of the 22 price- and volume-based characteristics and the record of the literature search.</w:t>
      </w:r>
    </w:p>
    <w:p>
      <w:pPr>
        <w:pStyle w:val="BodyText"/>
        <w:spacing w:line="480" w:lineRule="auto" w:after="120"/>
        <w:jc w:val="both"/>
      </w:pPr>
      <w:r>
        <w:rPr>
          <w:bCs/>
          <w:b/>
        </w:rPr>
        <w:t xml:space="preserve">S1 Table.</w:t>
      </w:r>
      <w:r>
        <w:t xml:space="preserve"> </w:t>
      </w:r>
      <w:r>
        <w:t xml:space="preserve">Comparison with earlier studies. Setting, reported finding and relation to our result for the closest studies.</w:t>
      </w:r>
    </w:p>
    <w:p>
      <w:pPr>
        <w:pStyle w:val="BodyText"/>
        <w:spacing w:line="480" w:lineRule="auto" w:after="120"/>
        <w:jc w:val="both"/>
      </w:pPr>
      <w:r>
        <w:rPr>
          <w:bCs/>
          <w:b/>
        </w:rPr>
        <w:t xml:space="preserve">S2 Table.</w:t>
      </w:r>
      <w:r>
        <w:t xml:space="preserve"> </w:t>
      </w:r>
      <w:r>
        <w:t xml:space="preserve">Next-day abnormal returns under alternative event definitions. Overnight gap, intraday, close-to-close and open-to-day-</w:t>
      </w:r>
      <w:r>
        <w:rPr>
          <w:iCs/>
          <w:i/>
        </w:rPr>
        <w:t xml:space="preserve">d</w:t>
      </w:r>
      <w:r>
        <w:t xml:space="preserve">+5 returns for different return thresholds, close conditions and locked days.</w:t>
      </w:r>
    </w:p>
    <w:p>
      <w:pPr>
        <w:pStyle w:val="BodyText"/>
        <w:spacing w:line="480" w:lineRule="auto" w:after="120"/>
        <w:jc w:val="both"/>
      </w:pPr>
      <w:r>
        <w:rPr>
          <w:bCs/>
          <w:b/>
        </w:rPr>
        <w:t xml:space="preserve">S3 Table.</w:t>
      </w:r>
      <w:r>
        <w:t xml:space="preserve"> </w:t>
      </w:r>
      <w:r>
        <w:t xml:space="preserve">Adjusted</w:t>
      </w:r>
      <w:r>
        <w:t xml:space="preserve"> </w:t>
      </w:r>
      <w:r>
        <w:rPr>
          <w:iCs/>
          <w:i/>
        </w:rPr>
        <w:t xml:space="preserve">P</w:t>
      </w:r>
      <w:r>
        <w:t xml:space="preserve"> </w:t>
      </w:r>
      <w:r>
        <w:t xml:space="preserve">values of the four event tests under alternative family definitions. Benjamini–Hochberg, Holm and Bonferroni adjustments and alternative family sizes.</w:t>
      </w:r>
    </w:p>
    <w:p>
      <w:pPr>
        <w:pStyle w:val="BodyText"/>
        <w:spacing w:line="480" w:lineRule="auto" w:after="120"/>
        <w:jc w:val="both"/>
      </w:pPr>
      <w:r>
        <w:rPr>
          <w:bCs/>
          <w:b/>
        </w:rPr>
        <w:t xml:space="preserve">S4 Table.</w:t>
      </w:r>
      <w:r>
        <w:t xml:space="preserve"> </w:t>
      </w:r>
      <w:r>
        <w:t xml:space="preserve">Difference-in-differences around the KRX platform change of 5 May 2025. Excess gap of limit closes over 5–6.5% movers that closed at the extreme, before and after the change.</w:t>
      </w:r>
    </w:p>
    <w:p>
      <w:pPr>
        <w:pStyle w:val="BodyText"/>
        <w:spacing w:line="480" w:lineRule="auto" w:after="120"/>
        <w:jc w:val="both"/>
      </w:pPr>
      <w:r>
        <w:rPr>
          <w:bCs/>
          <w:b/>
        </w:rPr>
        <w:t xml:space="preserve">S5 Table.</w:t>
      </w:r>
      <w:r>
        <w:t xml:space="preserve"> </w:t>
      </w:r>
      <w:r>
        <w:t xml:space="preserve">Fama–MacBeth estimates for the 22 characteristics. Coefficients, standard errors, 95% confidence intervals and</w:t>
      </w:r>
      <w:r>
        <w:t xml:space="preserve"> </w:t>
      </w:r>
      <w:r>
        <w:rPr>
          <w:iCs/>
          <w:i/>
        </w:rPr>
        <w:t xml:space="preserve">P</w:t>
      </w:r>
      <w:r>
        <w:t xml:space="preserve"> </w:t>
      </w:r>
      <w:r>
        <w:t xml:space="preserve">values, with Benjamini–Hochberg and Holm adjustments.</w:t>
      </w:r>
    </w:p>
    <w:p>
      <w:pPr>
        <w:pStyle w:val="BodyText"/>
        <w:spacing w:line="480" w:lineRule="auto" w:after="120"/>
        <w:jc w:val="both"/>
      </w:pPr>
      <w:r>
        <w:rPr>
          <w:bCs/>
          <w:b/>
        </w:rPr>
        <w:t xml:space="preserve">S1 File.</w:t>
      </w:r>
      <w:r>
        <w:t xml:space="preserve"> </w:t>
      </w:r>
      <w:r>
        <w:t xml:space="preserve">Output tables. CSV files with the output tables behind every table and figure of the article (zip archive).</w:t>
      </w:r>
    </w:p>
    <w:sectPr>
      <w:footerReference w:type="default" r:id="rId9"/>
      <w:pgSz w:w="11906" w:h="16838"/>
      <w:pgMar w:left="1440" w:right="1440" w:top="1440" w:bottom="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4"/>
    </w:rPr>
  </w:style>
  <w:style w:styleId="BodyText" w:type="paragraph">
    <w:name w:val="Body Text"/>
    <w:basedOn w:val="Normal"/>
    <w:link w:val="BodyTextChar"/>
    <w:pPr>
      <w:spacing w:after="180" w:before="180"/>
    </w:pPr>
    <w:qFormat/>
    <w:rPr>
      <w:rFonts w:ascii="Times New Roman" w:hAnsi="Times New Roman" w:cs="Times New Roman" w:eastAsia="Times New Roman"/>
      <w:sz w:val="24"/>
    </w:rPr>
  </w:style>
  <w:style w:customStyle="1" w:styleId="FirstParagraph" w:type="paragraph">
    <w:name w:val="First Paragraph"/>
    <w:basedOn w:val="BodyText"/>
    <w:next w:val="BodyText"/>
    <w:qFormat/>
    <w:rPr>
      <w:rFonts w:ascii="Times New Roman" w:hAnsi="Times New Roman" w:cs="Times New Roman" w:eastAsia="Times New Roman"/>
      <w:sz w:val="24"/>
    </w:rPr>
  </w:style>
  <w:style w:customStyle="1" w:styleId="Compact" w:type="paragraph">
    <w:name w:val="Compact"/>
    <w:basedOn w:val="BodyText"/>
    <w:qFormat/>
    <w:pPr>
      <w:spacing w:after="36" w:before="36"/>
    </w:pPr>
    <w:rPr>
      <w:rFonts w:ascii="Times New Roman" w:hAnsi="Times New Roman" w:cs="Times New Roman" w:eastAsia="Times New Roman"/>
      <w:sz w:val="24"/>
    </w:rPr>
  </w:style>
  <w:style w:styleId="Title" w:type="paragraph">
    <w:name w:val="Title"/>
    <w:basedOn w:val="Normal"/>
    <w:next w:val="BodyText"/>
    <w:qFormat/>
    <w:pPr>
      <w:keepNext/>
      <w:keepLines/>
      <w:spacing w:after="120" w:before="240"/>
      <w:jc w:val="center"/>
    </w:pPr>
    <w:rPr>
      <w:rFonts w:ascii="Times New Roman" w:hAnsi="Times New Roman" w:cs="Times New Roman" w:eastAsia="Times New Roman"/>
      <w:b/>
      <w:bCs/>
      <w:i w:val="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120" w:before="240"/>
      <w:outlineLvl w:val="0"/>
    </w:pPr>
    <w:rPr>
      <w:rFonts w:ascii="Times New Roman" w:hAnsi="Times New Roman" w:cs="Times New Roman" w:eastAsia="Times New Roman"/>
      <w:b/>
      <w:bCs/>
      <w:i w:val="0"/>
      <w:sz w:val="32"/>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cs="Times New Roman" w:eastAsia="Times New Roman"/>
      <w:b/>
      <w:bCs/>
      <w:i w:val="0"/>
      <w:sz w:val="28"/>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hAnsi="Times New Roman" w:cs="Times New Roman" w:eastAsia="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2026-10-22T05:20:11Z</dcterms:created>
  <dcterms:modified xsi:type="dcterms:W3CDTF">2026-10-22T05:20:11Z</dcterms:modified>
</cp:coreProperties>
</file>

<file path=docProps/custom.xml><?xml version="1.0" encoding="utf-8"?>
<Properties xmlns="http://schemas.openxmlformats.org/officeDocument/2006/custom-properties" xmlns:vt="http://schemas.openxmlformats.org/officeDocument/2006/docPropsVTypes"/>
</file>