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S1 Appendix. Characteristic definitions and literature search</w:t>
      </w:r>
    </w:p>
    <w:p>
      <w:pPr>
        <w:pStyle w:val="BodyText"/>
        <w:spacing w:line="276" w:lineRule="auto" w:after="120"/>
        <w:jc w:val="both"/>
      </w:pPr>
      <w:r>
        <w:t xml:space="preserve">Do price limits delay price discovery? Overnight gaps after limit closes in Vietnam</w:t>
      </w:r>
    </w:p>
    <w:p>
      <w:pPr>
        <w:pStyle w:val="Heading2"/>
        <w:jc w:val="left"/>
      </w:pPr>
      <w:r>
        <w:t xml:space="preserve">Characteristic definitions</w:t>
      </w:r>
    </w:p>
    <w:p>
      <w:pPr>
        <w:pStyle w:val="FirstParagraph"/>
        <w:spacing w:line="276" w:lineRule="auto" w:after="120"/>
        <w:jc w:val="both"/>
      </w:pPr>
      <w:r>
        <w:t xml:space="preserve">All characteristics use data up to each week’s formation day. REV1W and REV1M are the compounded returns over the last 5 and 20 trading days, and MOM3M and MOM6M over 60 and 110 trading days ending five days before formation. IMOM compounds the return in excess of the dollar-volume-weighted market over the MOM3M window. Over the last 60 days, VOL is the standard deviation of daily returns; BETA and IVOL are the slope and residual standard deviation of a regression of those returns on the dollar-volume-weighted return of that week’s cross-section; DOWNVOL is the square root of the mean of</w:t>
      </w:r>
      <w:r>
        <w:t xml:space="preserve"> </w:t>
      </w:r>
      <m:oMath>
        <m:r>
          <m:rPr>
            <m:sty m:val="p"/>
          </m:rPr>
          <m:t>min</m:t>
        </m:r>
        <m:sSup>
          <m:e>
            <m:d>
              <m:dPr>
                <m:begChr m:val="("/>
                <m:endChr m:val=")"/>
                <m:sepChr m:val=""/>
                <m:grow/>
              </m:dPr>
              <m:e>
                <m:r>
                  <m:t>r</m:t>
                </m:r>
                <m:r>
                  <m:rPr>
                    <m:sty m:val="p"/>
                  </m:rPr>
                  <m:t>,</m:t>
                </m:r>
                <m:r>
                  <m:t>0</m:t>
                </m:r>
              </m:e>
            </m:d>
          </m:e>
          <m:sup>
            <m:r>
              <m:t>2</m:t>
            </m:r>
          </m:sup>
        </m:sSup>
      </m:oMath>
      <w:r>
        <w:t xml:space="preserve">; RANGEVOL is the Parkinson[1] high-low estimator; SKEW and KURT are the third and fourth standardized moments; AMIHUD is the mean ratio of absolute return to dollar volume [2]; LNDVOL is the log of mean dollar volume; and CSSPREAD is the Corwin and Schultz[3] spread estimator. Over the last 20 days, MAX and MIN are the largest and smallest daily returns [4], OVERNIGHT and INTRADAY the mean open-over-previous-close and close-over-open returns, and LIMITFREQ the share of days with an absolute return of 6.5% or more. DVOLCHG and TURNCHG are the ratios of 20-day to 60-day mean dollar volume and share volume. The quintile spread is the equal-weighted abnormal return of the top minus the bottom quintile over the next five days; the net spread subtracts</w:t>
      </w:r>
      <w:r>
        <w:t xml:space="preserve"> </w:t>
      </w:r>
      <m:oMath>
        <m:r>
          <m:t>2</m:t>
        </m:r>
        <m:r>
          <m:rPr>
            <m:sty m:val="p"/>
          </m:rPr>
          <m:t>×</m:t>
        </m:r>
        <m:r>
          <m:t>0.0025</m:t>
        </m:r>
        <m:r>
          <m:rPr>
            <m:sty m:val="p"/>
          </m:rPr>
          <m:t>×</m:t>
        </m:r>
        <m:d>
          <m:dPr>
            <m:begChr m:val="("/>
            <m:endChr m:val=")"/>
            <m:sepChr m:val=""/>
            <m:grow/>
          </m:dPr>
          <m:e>
            <m:sSub>
              <m:e>
                <m:r>
                  <m:rPr>
                    <m:sty m:val="p"/>
                  </m:rPr>
                  <m:t>T</m:t>
                </m:r>
                <m:r>
                  <m:rPr>
                    <m:sty m:val="p"/>
                  </m:rPr>
                  <m:t>O</m:t>
                </m:r>
              </m:e>
              <m:sub>
                <m:r>
                  <m:t>L</m:t>
                </m:r>
              </m:sub>
            </m:sSub>
            <m:r>
              <m:rPr>
                <m:sty m:val="p"/>
              </m:rPr>
              <m:t>+</m:t>
            </m:r>
            <m:sSub>
              <m:e>
                <m:r>
                  <m:rPr>
                    <m:sty m:val="p"/>
                  </m:rPr>
                  <m:t>T</m:t>
                </m:r>
                <m:r>
                  <m:rPr>
                    <m:sty m:val="p"/>
                  </m:rPr>
                  <m:t>O</m:t>
                </m:r>
              </m:e>
              <m:sub>
                <m:r>
                  <m:t>S</m:t>
                </m:r>
              </m:sub>
            </m:sSub>
          </m:e>
        </m:d>
      </m:oMath>
      <w:r>
        <w:t xml:space="preserve">, where</w:t>
      </w:r>
      <w:r>
        <w:t xml:space="preserve"> </w:t>
      </w:r>
      <m:oMath>
        <m:sSub>
          <m:e>
            <m:r>
              <m:rPr>
                <m:sty m:val="p"/>
              </m:rPr>
              <m:t>T</m:t>
            </m:r>
            <m:r>
              <m:rPr>
                <m:sty m:val="p"/>
              </m:rPr>
              <m:t>O</m:t>
            </m:r>
          </m:e>
          <m:sub>
            <m:r>
              <m:t>L</m:t>
            </m:r>
          </m:sub>
        </m:sSub>
      </m:oMath>
      <w:r>
        <w:t xml:space="preserve"> </w:t>
      </w:r>
      <w:r>
        <w:t xml:space="preserve">and</w:t>
      </w:r>
      <w:r>
        <w:t xml:space="preserve"> </w:t>
      </w:r>
      <m:oMath>
        <m:sSub>
          <m:e>
            <m:r>
              <m:rPr>
                <m:sty m:val="p"/>
              </m:rPr>
              <m:t>T</m:t>
            </m:r>
            <m:r>
              <m:rPr>
                <m:sty m:val="p"/>
              </m:rPr>
              <m:t>O</m:t>
            </m:r>
          </m:e>
          <m:sub>
            <m:r>
              <m:t>S</m:t>
            </m:r>
          </m:sub>
        </m:sSub>
      </m:oMath>
      <w:r>
        <w:t xml:space="preserve"> </w:t>
      </w:r>
      <w:r>
        <w:t xml:space="preserve">are the shares of the long and short legs replaced since the previous week.</w:t>
      </w:r>
    </w:p>
    <w:p>
      <w:pPr>
        <w:pStyle w:val="Heading2"/>
        <w:jc w:val="left"/>
      </w:pPr>
      <w:r>
        <w:t xml:space="preserve">Literature search</w:t>
      </w:r>
    </w:p>
    <w:p>
      <w:pPr>
        <w:pStyle w:val="FirstParagraph"/>
        <w:spacing w:line="276" w:lineRule="auto" w:after="120"/>
        <w:jc w:val="both"/>
      </w:pPr>
      <w:r>
        <w:t xml:space="preserve">We searched on October 4 and 5, 2026 with a web search engine; no subscription database (Scopus or Web of Science) was available, and publisher pages could not be opened. The search topics were price-limit performance (delayed price discovery, volatility spillover, trading interference, and magnet effect), price-limit band changes, price limits in Vietnam and on HOSE and HNX, overnight versus intraday returns, lottery-type (MAX) and low-volatility effects, circuit breakers, multiple testing and false discoveries in asset pricing, Fama–MacBeth and clustered standard errors, regression discontinuity, weekly return predictability, and anomalies in the Vietnamese stock market; exact query strings were not logged. We screened about 100 records by title and abstract and kept peer-reviewed journal articles in English whose bibliographic record we could confirm; working papers, theses, code repositories, and press items were not used as evidence, except for press and brokerage descriptions of HOSE rules (Materials and methods) and the working paper of Farber et al.[5], cited as background on the early market. A second search on October 6, 2026, covered studies of price limits in Vietnam, including the Vietnam Journals Online (VJOL) index, and added Le[6] and the working paper of Farber et al.[5]; Vietnamese-language articles without an English record were not screened, and the coverage of Chinese A-share studies is incomplete. We read the bibliographic records and the abstract text returned by the search tool; the full texts of the three studies closest to ours [7–9] were read on October 6, 2026, and S1 Table reports their results.</w:t>
      </w:r>
    </w:p>
    <w:p>
      <w:pPr>
        <w:pStyle w:val="Heading2"/>
        <w:jc w:val="left"/>
      </w:pPr>
      <w:r>
        <w:t xml:space="preserve">References</w:t>
      </w:r>
    </w:p>
    <w:p>
      <w:pPr>
        <w:numPr>
          <w:ilvl w:val="0"/>
          <w:numId w:val="1001"/>
        </w:numPr>
        <w:pStyle w:val="Compact"/>
        <w:spacing w:line="276" w:lineRule="auto" w:after="120"/>
        <w:jc w:val="left"/>
      </w:pPr>
      <w:r>
        <w:t xml:space="preserve">Parkinson, M. The extreme value method for estimating the variance of the rate of return. J Bus. 1980;53: 61-65. doi: 10.1086/296071</w:t>
      </w:r>
    </w:p>
    <w:p>
      <w:pPr>
        <w:numPr>
          <w:ilvl w:val="0"/>
          <w:numId w:val="1001"/>
        </w:numPr>
        <w:pStyle w:val="Compact"/>
        <w:spacing w:line="276" w:lineRule="auto" w:after="120"/>
        <w:jc w:val="left"/>
      </w:pPr>
      <w:r>
        <w:t xml:space="preserve">Amihud, Y. Illiquidity and stock returns: cross-section and time-series effects. J Financ Mark. 2002;5: 31-56. doi: 10.1016/S1386-4181(01)00024-6</w:t>
      </w:r>
    </w:p>
    <w:p>
      <w:pPr>
        <w:numPr>
          <w:ilvl w:val="0"/>
          <w:numId w:val="1001"/>
        </w:numPr>
        <w:pStyle w:val="Compact"/>
        <w:spacing w:line="276" w:lineRule="auto" w:after="120"/>
        <w:jc w:val="left"/>
      </w:pPr>
      <w:r>
        <w:t xml:space="preserve">Corwin, S. A., Schultz, P. A simple way to estimate bid-ask spreads from daily high and low prices. J Finance. 2012;67: 719-760. doi: 10.1111/j.1540-6261.2012.01729.x</w:t>
      </w:r>
    </w:p>
    <w:p>
      <w:pPr>
        <w:numPr>
          <w:ilvl w:val="0"/>
          <w:numId w:val="1001"/>
        </w:numPr>
        <w:pStyle w:val="Compact"/>
        <w:spacing w:line="276" w:lineRule="auto" w:after="120"/>
        <w:jc w:val="left"/>
      </w:pPr>
      <w:r>
        <w:t xml:space="preserve">Bali, T. G., Cakici, N., Whitelaw, R. F. Maxing out: stocks as lotteries and the cross-section of expected returns. J Financ Econ. 2011;99: 427-446. doi: 10.1016/j.jfineco.2010.08.014</w:t>
      </w:r>
    </w:p>
    <w:p>
      <w:pPr>
        <w:numPr>
          <w:ilvl w:val="0"/>
          <w:numId w:val="1001"/>
        </w:numPr>
        <w:pStyle w:val="Compact"/>
        <w:spacing w:line="276" w:lineRule="auto" w:after="120"/>
        <w:jc w:val="left"/>
      </w:pPr>
      <w:r>
        <w:t xml:space="preserve">Farber, A., Nguyen, V. N., Vuong, Q. H. Policy impacts on Vietnam stock market: a case of anomalies and disequilibria 2000–2006. CEB Working Paper No. 06/005. Brussels: Université Libre de Bruxelles; 2006. Available from: https://ideas.repec.org/p/sol/wpaper/06-005.html</w:t>
      </w:r>
    </w:p>
    <w:p>
      <w:pPr>
        <w:numPr>
          <w:ilvl w:val="0"/>
          <w:numId w:val="1001"/>
        </w:numPr>
        <w:pStyle w:val="Compact"/>
        <w:spacing w:line="276" w:lineRule="auto" w:after="120"/>
        <w:jc w:val="left"/>
      </w:pPr>
      <w:r>
        <w:t xml:space="preserve">Le, D. N. Evaluating impacts of reduction in fluctuation limit on stock price risks in Vietnam. J Econ Dev. 2012;214: 116-128. Available from: https://vjol.info.vn/ed/article/view/34298</w:t>
      </w:r>
    </w:p>
    <w:p>
      <w:pPr>
        <w:numPr>
          <w:ilvl w:val="0"/>
          <w:numId w:val="1001"/>
        </w:numPr>
        <w:pStyle w:val="Compact"/>
        <w:spacing w:line="276" w:lineRule="auto" w:after="120"/>
        <w:jc w:val="left"/>
      </w:pPr>
      <w:r>
        <w:t xml:space="preserve">Kim, K. A., Rhee, S. G. Price limit performance: evidence from the Tokyo Stock Exchange. J Finance. 1997;52: 885-901. doi: 10.1111/j.1540-6261.1997.tb04827.x</w:t>
      </w:r>
    </w:p>
    <w:p>
      <w:pPr>
        <w:numPr>
          <w:ilvl w:val="0"/>
          <w:numId w:val="1001"/>
        </w:numPr>
        <w:pStyle w:val="Compact"/>
        <w:spacing w:line="276" w:lineRule="auto" w:after="120"/>
        <w:jc w:val="left"/>
      </w:pPr>
      <w:r>
        <w:t xml:space="preserve">Huang, Y.-S., Fu, T.-W., Ke, M.-C. Daily price limits and stock price behavior: evidence from the Taiwan Stock Exchange. Int Rev Econ Finance. 2001;10: 263-288. doi: 10.1016/S1059-0560(00)00082-4</w:t>
      </w:r>
    </w:p>
    <w:p>
      <w:pPr>
        <w:numPr>
          <w:ilvl w:val="0"/>
          <w:numId w:val="1001"/>
        </w:numPr>
        <w:pStyle w:val="Compact"/>
        <w:spacing w:line="276" w:lineRule="auto" w:after="120"/>
        <w:jc w:val="left"/>
      </w:pPr>
      <w:r>
        <w:t xml:space="preserve">Qi, B. Effectiveness of price limits: evidence from China’s ChiNext market. PLoS One. 2023;18: e0287548. doi: 10.1371/journal.pone.0287548</w:t>
      </w:r>
    </w:p>
    <w:sectPr>
      <w:footerReference w:type="default" r:id="rId9"/>
      <w:pgSz w:w="11906" w:h="16838"/>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120" w:before="240"/>
      <w:jc w:val="center"/>
    </w:pPr>
    <w:rPr>
      <w:rFonts w:ascii="Times New Roman" w:hAnsi="Times New Roman" w:cs="Times New Roman" w:eastAsia="Times New Roman"/>
      <w:b/>
      <w:bCs/>
      <w:i w:val="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sz w:val="28"/>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2026-10-22T05:20:12Z</dcterms:created>
  <dcterms:modified xsi:type="dcterms:W3CDTF">2026-10-22T05:20:12Z</dcterms:modified>
</cp:coreProperties>
</file>

<file path=docProps/custom.xml><?xml version="1.0" encoding="utf-8"?>
<Properties xmlns="http://schemas.openxmlformats.org/officeDocument/2006/custom-properties" xmlns:vt="http://schemas.openxmlformats.org/officeDocument/2006/docPropsVTypes"/>
</file>