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t xml:space="preserve">S3 Table.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of the four event tests under alternative family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2508"/>
        <w:gridCol w:w="1543"/>
        <w:gridCol w:w="1833"/>
        <w:gridCol w:w="1543"/>
        <w:gridCol w:w="1640"/>
      </w:tblGrid>
      <w:tr>
        <w:trPr>
          <w:tblHeader w:val="true"/>
        </w:trPr>
        <w:tc>
          <w:tcPr>
            <w:tcW w:type="dxa" w:w="250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17"/>
              </w:rPr>
              <w:t xml:space="preserve">Family definition</w:t>
            </w:r>
          </w:p>
        </w:tc>
        <w:tc>
          <w:tcPr>
            <w:tcW w:type="dxa" w:w="1544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Ceiling,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+1</w:t>
            </w:r>
          </w:p>
        </w:tc>
        <w:tc>
          <w:tcPr>
            <w:tcW w:type="dxa" w:w="1833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Ceiling,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+1 to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+5</w:t>
            </w:r>
          </w:p>
        </w:tc>
        <w:tc>
          <w:tcPr>
            <w:tcW w:type="dxa" w:w="1544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Floor,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+1</w:t>
            </w:r>
          </w:p>
        </w:tc>
        <w:tc>
          <w:tcPr>
            <w:tcW w:type="dxa" w:w="1640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Floor,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+1 to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+5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Baseline: 22 characteristics + 4 event tests (26), BH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1.2e-05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4.0e-04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2.6e-06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1.8e-05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Event tests only (4), BH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1.8e-06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6.1e-05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4.0e-07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2.7e-06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26 tests, Holm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2.3e-05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1.4e-03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2.6e-06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4.9e-05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26 tests, Bonferroni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2.4e-05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1.6e-03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2.6e-06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5.3e-05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28 tests: adds days d+2 to d+5 for ceiling and floor, BH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1.3e-05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4.3e-04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2.8e-06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1.9e-05</w:t>
            </w:r>
          </w:p>
        </w:tc>
      </w:tr>
      <w:tr>
        <w:tc>
          <w:tcPr>
            <w:tcW w:type="dxa" w:w="250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26 tests, week-clustered event p-values, BH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9.2e-05</w:t>
            </w:r>
          </w:p>
        </w:tc>
        <w:tc>
          <w:tcPr>
            <w:tcW w:type="dxa" w:w="183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2.6e-03</w:t>
            </w:r>
          </w:p>
        </w:tc>
        <w:tc>
          <w:tcPr>
            <w:tcW w:type="dxa" w:w="1544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9.2e-05</w:t>
            </w:r>
          </w:p>
        </w:tc>
        <w:tc>
          <w:tcPr>
            <w:tcW w:type="dxa" w:w="1640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9.2e-05</w:t>
            </w:r>
          </w:p>
        </w:tc>
      </w:tr>
      <w:tr>
        <w:tc>
          <w:tcPr>
            <w:tcW w:type="dxa" w:w="250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Two families: ceiling (2) and floor (2), BH within each</w:t>
            </w:r>
          </w:p>
        </w:tc>
        <w:tc>
          <w:tcPr>
            <w:tcW w:type="dxa" w:w="1544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1.8e-06</w:t>
            </w:r>
          </w:p>
        </w:tc>
        <w:tc>
          <w:tcPr>
            <w:tcW w:type="dxa" w:w="1833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6.1e-05</w:t>
            </w:r>
          </w:p>
        </w:tc>
        <w:tc>
          <w:tcPr>
            <w:tcW w:type="dxa" w:w="1544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2.0e-07</w:t>
            </w:r>
          </w:p>
        </w:tc>
        <w:tc>
          <w:tcPr>
            <w:tcW w:type="dxa" w:w="1640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2.0e-06</w:t>
            </w:r>
          </w:p>
        </w:tc>
      </w:tr>
    </w:tbl>
    <w:p>
      <w:pPr>
        <w:pStyle w:val="BodyText"/>
        <w:spacing w:line="276" w:lineRule="auto" w:after="120"/>
        <w:jc w:val="both"/>
      </w:pPr>
      <w:r>
        <w:rPr>
          <w:iCs/>
          <w:i/>
        </w:rPr>
        <w:t xml:space="preserve">Note.</w:t>
      </w:r>
      <w:r>
        <w:t xml:space="preserve"> </w:t>
      </w:r>
      <w:r>
        <w:t xml:space="preserve">BH, Benjamini–Hochberg; Holm and Bonferroni as named. All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are below 0.05. Source: authors’ calculations.</w:t>
      </w:r>
    </w:p>
    <w:sectPr>
      <w:footerReference w:type="default" r:id="rId9"/>
      <w:pgSz w:w="11906" w:h="16838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hAnsi="Times New Roman" w:cs="Times New Roman" w:eastAsia="Times New Roman"/>
      <w:b/>
      <w:bCs/>
      <w:i w:val="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bCs/>
      <w:i w:val="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bCs/>
      <w:i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2026-10-22T05:20:12Z</dcterms:created>
  <dcterms:modified xsi:type="dcterms:W3CDTF">2026-10-22T05:20:12Z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