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 Daily price limits are meant to cool markets, but they may also delay price discovery. We examine what happens after a stock closes at its daily limit on the Ho Chi Minh Stock Exchange, a market dominated by individual investors that applies one 7% band and sets opening and closing prices by call auction. Using daily prices for 347 stocks from August 2024 to September 2026, we split the next-day abnormal return after limit closes into an overnight gap and an intraday return. We compare limit closes with stocks that rose or fell almost as far, and we test the limit effect together with a broad set of price- and volume-based characteristics under false discovery rate control. The limit tests survive this control, whereas none of the lower-powered characteristic tests does. After a ceiling close, the stock opens on average 2.2% above the market, and the following session gives back about 24% of this gap. The gap is 2.7 percentage points larger than after rises that stop short of the limit, and the difference remains when those stocks also closed at their daily high. An investor who buys at the next opening cannot capture the effect and loses 0.7% against the market by the fifth close. Floor closes are followed by a negative gap whose size depends on the benchmark. The ceiling gap appears in every calendar quarter and before the exchange changed its trading platform in 2025. The pattern is consistent with delayed price discovery, but news, investor attention, and auction overshooting may also contribute, and data on news and order books are needed to separate them. For market design, the results suggest that the opening auction absorbs much of the price adjustment that the 7% band postpones.</w:t>
      </w:r>
    </w:p>
    <w:p>
      <w:pPr>
        <w:pStyle w:val="BodyText"/>
      </w:pPr>
      <w:r>
        <w:t xml:space="preserve">[[KEYWORDS]] Market microstructure, Multiple testing, False discovery rate, Call auction, Emerging markets, Ho Chi Minh Stock Exchange</w:t>
      </w:r>
    </w:p>
    <w:bookmarkStart w:id="21" w:name="introduction"/>
    <w:p>
      <w:pPr>
        <w:pStyle w:val="Heading1"/>
      </w:pPr>
      <w:r>
        <w:t xml:space="preserve">1. Introduction</w:t>
      </w:r>
    </w:p>
    <w:p>
      <w:pPr>
        <w:pStyle w:val="FirstParagraph"/>
      </w:pPr>
      <w:r>
        <w:t xml:space="preserve">A daily price limit prevents stocks from moving beyond a fixed band within a single trading day. Exchanges in Tokyo, Taipei, Seoul, Shenzhen, and Ho Chi Minh City have used limits to cool markets after large shocks, and economists ask whether a limit protects prices or postpones adjustment. The question is sharpest where limit closes are common and call auctions set opening and closing prices. The Ho Chi Minh Stock Exchange (HOSE) has both features: one 7% band applies to all stocks, and about 2.0% of stock-days in our event window close at the upper limit (a ceiling close; Section 2.2) and about 1.4% at the lower limit (a floor close).</w:t>
      </w:r>
    </w:p>
    <w:p>
      <w:pPr>
        <w:pStyle w:val="BodyText"/>
      </w:pPr>
      <w:r>
        <w:t xml:space="preserve">Studies on band changes have documented effects on volatility, liquidity, and crash risk (Jia et al., 2024; Lien et al., 2019; Qi, 2023), and account-level data have shown that large investors buy on the limit day and sell on the next (Chen et al., 2019). For Vietnam, Le (2012) evaluated how narrower bands after 2008 affected stock price risk, and Farber et al. (2006) documented clusters and sequences of limit hits in the early years of the market. In Taiwan, which also had a 7% band, Huang et al. (2001) found that one-day up-limit closes gained 1.18% overnight and gave back 0.77% in the next session. Less is known about three questions. How large are the overnight gap and the intraday reversal after a limit close relative to a benchmark? Does the limit effect remain once the many other price-based signals that a researcher could test are taken into account? How does the pattern behave around the 2025 move of the HOSE to a new trading platform?</w:t>
      </w:r>
    </w:p>
    <w:p>
      <w:pPr>
        <w:pStyle w:val="BodyText"/>
      </w:pPr>
      <w:r>
        <w:t xml:space="preserve">We estimate the abnormal return after the ceiling and floor close on the HOSE, split it into an overnight gap and an intraday return, and test whether an outside buyer can capture it. We place the four limit tests in a family of 26 tests with 22 price- and volume-based characteristics and control the false discovery rate (FDR; Benjamini &amp; Hochberg, 1995; Harvey et al., 2016).</w:t>
      </w:r>
    </w:p>
    <w:p>
      <w:pPr>
        <w:pStyle w:val="BodyText"/>
      </w:pPr>
      <w:r>
        <w:t xml:space="preserve">This study makes three contributions. First, we measure the overnight gap and the intraday return after limit closes, a pattern that Huang et al. (2001) describe qualitatively for Taiwan, and show that the ceiling effect is a gap of 2.2%, of which the following session reverses 24%. Second, we show that the ceiling gap is 2.7 percentage points larger than after rises of 5% to 6.5% that stop short of the limit, and that the contrast survives when the comparison stocks also close at their daily high. Third, we show that all four limit tests survive a multiplicity-controlled family in which no characteristic survives and that a buyer at the next open loses 0.7% against the market by the fifth close. We also split the events at the 2025 platform change.</w:t>
      </w:r>
    </w:p>
    <w:bookmarkStart w:id="20" w:name="related-literature-and-hypotheses"/>
    <w:p>
      <w:pPr>
        <w:pStyle w:val="Heading2"/>
      </w:pPr>
      <w:r>
        <w:t xml:space="preserve">1.1. Related literature and hypotheses</w:t>
      </w:r>
    </w:p>
    <w:p>
      <w:pPr>
        <w:pStyle w:val="FirstParagraph"/>
      </w:pPr>
      <w:r>
        <w:rPr>
          <w:iCs/>
          <w:i/>
        </w:rPr>
        <w:t xml:space="preserve">Theory.</w:t>
      </w:r>
      <w:r>
        <w:t xml:space="preserve"> </w:t>
      </w:r>
      <w:r>
        <w:t xml:space="preserve">Models predict protection or distortion depending on the source of the shock. Brennan (1986) rationalized limits in futures markets, Kodres and O’Brien (1994) showed that well-chosen limits can be Pareto superior when fundamental news drives prices because they partly insure traders against implementation risk, and Greenwald and Stein (1991) linked crashes to imperfect transactional mechanisms. Subrahmanyam (1994) showed that halts can advance trades in time and raise price variability. In the model of Chen et al. (2024), volatility rises as the price nears a circuit breaker, a magnet effect. A limit that only delays adjustment leaves a predictable next-day continuation, which the return after a limit close can reveal.</w:t>
      </w:r>
    </w:p>
    <w:p>
      <w:pPr>
        <w:pStyle w:val="BodyText"/>
      </w:pPr>
      <w:r>
        <w:rPr>
          <w:iCs/>
          <w:i/>
        </w:rPr>
        <w:t xml:space="preserve">Classic evidence.</w:t>
      </w:r>
      <w:r>
        <w:t xml:space="preserve"> </w:t>
      </w:r>
      <w:r>
        <w:t xml:space="preserve">Kim and Rhee (1997) found support in Tokyo for three criticisms of limits: they spill volatility into later days, delay price discovery, and interfere with trading. Bildik and Gülay (2006) found the same result in Istanbul, with stronger evidence from price locks than from limit moves alone. Chen (1993) found that serial correlation decreases as the Taiwanese limit widens, which implies delayed adjustment under the narrower limit. Berkman and Lee (2002) examined volatility and trading activity around the revision of the Korean limit system. Huang et al. (2001) reported for Taiwan that the overnight overreaction after limit hits reverses the following day, the timing pattern we test. Cho et al. (2003) found a magnet effect: prices accelerate toward the upper limit in five-minute Taiwanese datasets. Kim and Limpaphayom (2000) showed that small, volatile, and high-volume stocks hit limits more often, whereas Deb et al. (2013) argued that rigid limits in Tokyo can disrupt price discovery and liquidity provision.</w:t>
      </w:r>
    </w:p>
    <w:p>
      <w:pPr>
        <w:pStyle w:val="BodyText"/>
      </w:pPr>
      <w:r>
        <w:rPr>
          <w:iCs/>
          <w:i/>
        </w:rPr>
        <w:t xml:space="preserve">Band changes and investor-level data.</w:t>
      </w:r>
      <w:r>
        <w:t xml:space="preserve"> </w:t>
      </w:r>
      <w:r>
        <w:t xml:space="preserve">After ChiNext widened its band from 10% to 20% in August 2020, Qi (2023) confirmed delayed price discovery, volatility spillover, and trading interference, stronger at the lower limit and with no magnet effect. Zhang et al. (2022) found higher liquidity, volatility, and probability of informed trading, and Jia et al. (2024) found lower crash risk. Wider bands raised spreads and intraday volatility but improved execution quality in Taiwan (Lien et al., 2019) and raised intraday realized variance in Korea (Kim &amp; Jun, 2019). In Shenzhen account data, large investors buy on the day a stock hits the 10% upper limit and sell the next day, and their limit-day net buying predicts a stronger long-run reversal (Chen et al., 2019). Stocks with large limit exposures attract attention and earn lower future returns, especially where retail investors hold many shares (Lin et al., 2023), and stocks with frequent upper-limit hits also earn lower future returns (Zeng et al., 2024). Liang and Hu (2025) forecast limit hits.</w:t>
      </w:r>
    </w:p>
    <w:p>
      <w:pPr>
        <w:pStyle w:val="BodyText"/>
      </w:pPr>
      <w:r>
        <w:rPr>
          <w:iCs/>
          <w:i/>
        </w:rPr>
        <w:t xml:space="preserve">Overnight and intraday returns.</w:t>
      </w:r>
      <w:r>
        <w:t xml:space="preserve"> </w:t>
      </w:r>
      <w:r>
        <w:t xml:space="preserve">Kelly and Clark (2011) showed that overnight and intraday returns differ for index funds. In U.S. stocks, positive overnight returns are followed by intraday reversals, concentrated among stocks with recent retail attention (Berkman et al., 2012). Aboody et al. (2018) tied overnight persistence to sentiment, Lou et al. (2019) found overnight and intraday continuation with an offsetting cross-period reversal, Akbas et al. (2022) found that persistent positive-overnight and negative-daytime patterns predict higher returns, Bogousslavsky (2021) linked the split to margin and lending costs, and Lu et al. (2023) linked it to market makers who absorb retail imbalances near the open. In China, overnight returns are negative on average, which Qiao and Dam (2020) linked to the T+1 rule that bars selling shares on the day of purchase; the lottery-like anomaly arises mainly overnight (Gu et al., 2025); day-night anomalies concentrate at the open and close (Qiu et al., 2025); and small retail investors show weak stock selection (Jones et al., 2025).</w:t>
      </w:r>
    </w:p>
    <w:p>
      <w:pPr>
        <w:pStyle w:val="BodyText"/>
      </w:pPr>
      <w:r>
        <w:rPr>
          <w:iCs/>
          <w:i/>
        </w:rPr>
        <w:t xml:space="preserve">Multiple testing and weekly regressions.</w:t>
      </w:r>
      <w:r>
        <w:t xml:space="preserve"> </w:t>
      </w:r>
      <w:r>
        <w:t xml:space="preserve">Harvey et al. (2016) argued that a new factor needs a</w:t>
      </w:r>
      <w:r>
        <w:t xml:space="preserve"> </w:t>
      </w:r>
      <w:r>
        <w:rPr>
          <w:iCs/>
          <w:i/>
        </w:rPr>
        <w:t xml:space="preserve">t</w:t>
      </w:r>
      <w:r>
        <w:t xml:space="preserve">-statistic above 3.0, and Harvey and Liu (2020) tied the hurdle to a chosen FDR. Chordia et al. (2020) put multiple-testing thresholds for cross-sectional regressions near 3.4, and Hou et al. (2020) found that with microcaps mitigated, 65% of 452 anomalies fail the single-test hurdle of 1.96. Petersen (2009) compared standard-error estimators for panel data, which motivates our alternative clusters, and Gutierrez and Kelley (2008) studied weekly returns, the frequency of our regressions. For Vietnam, Huang et al. (2023) found a size effect and an earnings-to-price effect.</w:t>
      </w:r>
    </w:p>
    <w:p>
      <w:pPr>
        <w:pStyle w:val="BodyText"/>
      </w:pPr>
      <w:r>
        <w:rPr>
          <w:iCs/>
          <w:i/>
        </w:rPr>
        <w:t xml:space="preserve">Gap and hypotheses.</w:t>
      </w:r>
      <w:r>
        <w:t xml:space="preserve"> </w:t>
      </w:r>
      <w:r>
        <w:t xml:space="preserve">These studies compared band regimes, sorted stocks by limit exposure, or split overnight and intraday returns for all stocks. Huang et al. (2001) linked limit hits to the overnight-intraday timing in Taiwan. The present study measures this split against benchmarks on the HOSE, places the limit tests in a family that controls for multiple testing, and uses the 2025 platform change. If a limit delays price discovery, a ceiling close predicts a positive next-day abnormal return, and a floor close predicts a negative one (H</w:t>
      </w:r>
      <w:r>
        <w:rPr>
          <w:vertAlign w:val="subscript"/>
        </w:rPr>
        <w:t xml:space="preserve">1</w:t>
      </w:r>
      <w:r>
        <w:t xml:space="preserve">). If the opening auction absorbs blocked demand, the effect concentrates in the overnight gap (H</w:t>
      </w:r>
      <w:r>
        <w:rPr>
          <w:vertAlign w:val="subscript"/>
        </w:rPr>
        <w:t xml:space="preserve">2</w:t>
      </w:r>
      <w:r>
        <w:t xml:space="preserve">). If the limit itself drives the gap, the gap after a limit close exceeds the gap after moves of a similar size that stop short of the limit (H</w:t>
      </w:r>
      <w:r>
        <w:rPr>
          <w:vertAlign w:val="subscript"/>
        </w:rPr>
        <w:t xml:space="preserve">3</w:t>
      </w:r>
      <w:r>
        <w:t xml:space="preserve">). If the gap already contains the blocked demand, an investor who buys at the next open cannot earn the continuation; the abnormal return from the next open to the fifth close is then zero or negative (H</w:t>
      </w:r>
      <w:r>
        <w:rPr>
          <w:vertAlign w:val="subscript"/>
        </w:rPr>
        <w:t xml:space="preserve">4</w:t>
      </w:r>
      <w:r>
        <w:t xml:space="preserve">). A limit effect that survives the screen applied to all 22 characteristics is more credible than a single large estimate.</w:t>
      </w:r>
    </w:p>
    <w:bookmarkEnd w:id="20"/>
    <w:bookmarkEnd w:id="21"/>
    <w:bookmarkStart w:id="24" w:name="materials-and-methods"/>
    <w:p>
      <w:pPr>
        <w:pStyle w:val="Heading1"/>
      </w:pPr>
      <w:r>
        <w:t xml:space="preserve">2. Materials and Methods</w:t>
      </w:r>
    </w:p>
    <w:bookmarkStart w:id="22" w:name="data-and-institutional-setting"/>
    <w:p>
      <w:pPr>
        <w:pStyle w:val="Heading2"/>
      </w:pPr>
      <w:r>
        <w:t xml:space="preserve">2.1. Data and institutional setting</w:t>
      </w:r>
    </w:p>
    <w:p>
      <w:pPr>
        <w:pStyle w:val="FirstParagraph"/>
      </w:pPr>
      <w:r>
        <w:rPr>
          <w:iCs/>
          <w:i/>
        </w:rPr>
        <w:t xml:space="preserve">Data source.</w:t>
      </w:r>
      <w:r>
        <w:t xml:space="preserve"> </w:t>
      </w:r>
      <w:r>
        <w:t xml:space="preserve">On September 24, 2026, we downloaded daily open, high, low, close, and volume series for all HOSE-listed stocks with the vnstock Python library (version 4.0.4; source Vietcap Securities, VCI). A listing file from the same source and date (743 rows for all instrument types) defines the universe. The retrieval returned 405 HOSE stock files with records through September 23, 2026, and we used the 519 trading days from August 21, 2024. Prices are in thousand dong. The vendor does not document corporate-action adjustment, and the files contain no market capitalization, order book, investor type, or news.</w:t>
      </w:r>
    </w:p>
    <w:p>
      <w:pPr>
        <w:pStyle w:val="BodyText"/>
      </w:pPr>
      <w:r>
        <w:rPr>
          <w:iCs/>
          <w:i/>
        </w:rPr>
        <w:t xml:space="preserve">Sample.</w:t>
      </w:r>
      <w:r>
        <w:t xml:space="preserve"> </w:t>
      </w:r>
      <w:r>
        <w:t xml:space="preserve">We kept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pPr>
        <w:pStyle w:val="BodyText"/>
      </w:pPr>
      <w:r>
        <w:rPr>
          <w:iCs/>
          <w:i/>
        </w:rPr>
        <w:t xml:space="preserve">Institutional setting.</w:t>
      </w:r>
      <w:r>
        <w:t xml:space="preserve"> </w:t>
      </w:r>
      <w:r>
        <w:t xml:space="preserve">The HOSE sets a daily price limit of 7% around the reference price, the previous close on normal trading days (Ho Chi Minh City Securities Corporation [HSC], 2025). On May 5, 2025, the HOSE moved to the trading platform of the Korea Exchange (KRX). The band remained unchanged, but at-the-open and at-the-close orders lost their priority over limit orders in the opening and closing call auctions (HSC, 2025; Viet Nam News, 2025),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bookmarkEnd w:id="22"/>
    <w:bookmarkStart w:id="23" w:name="research-design"/>
    <w:p>
      <w:pPr>
        <w:pStyle w:val="Heading2"/>
      </w:pPr>
      <w:r>
        <w:t xml:space="preserve">2.2. Research design</w:t>
      </w:r>
    </w:p>
    <w:p>
      <w:pPr>
        <w:pStyle w:val="FirstParagraph"/>
      </w:pPr>
      <w:r>
        <w:rPr>
          <w:iCs/>
          <w:i/>
        </w:rPr>
        <w:t xml:space="preserve">Returns and events.</w:t>
      </w:r>
      <w:r>
        <w:t xml:space="preserve"> </w:t>
      </w:r>
      <w:r>
        <w:t xml:space="preserve">For stock</w:t>
      </w:r>
      <w:r>
        <w:t xml:space="preserve"> </w:t>
      </w:r>
      <w:r>
        <w:rPr>
          <w:iCs/>
          <w:i/>
        </w:rPr>
        <w:t xml:space="preserve">i</w:t>
      </w:r>
      <w:r>
        <w:t xml:space="preserve"> </w:t>
      </w:r>
      <w:r>
        <w:t xml:space="preserve">on trading day</w:t>
      </w:r>
      <w:r>
        <w:t xml:space="preserve"> </w:t>
      </w:r>
      <w:r>
        <w:rPr>
          <w:iCs/>
          <w:i/>
        </w:rPr>
        <w:t xml:space="preserve">d</w:t>
      </w:r>
      <w:r>
        <w:t xml:space="preserve">,</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O</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and</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w:t>
      </w:r>
      <w:r>
        <w:t xml:space="preserve">are the close, open, high, and low prices, and the close-to-close return is</w:t>
      </w:r>
    </w:p>
    <w:p>
      <w:pPr>
        <w:pStyle w:val="BodyText"/>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oMath>
      </m:oMathPara>
    </w:p>
    <w:p>
      <w:pPr>
        <w:pStyle w:val="FirstParagraph"/>
      </w:pPr>
      <w:r>
        <w:t xml:space="preserve">[[EQNUM:1]]</w:t>
      </w:r>
    </w:p>
    <w:p>
      <w:pPr>
        <w:pStyle w:val="BodyText"/>
      </w:pPr>
      <w:r>
        <w:t xml:space="preserve">A ceiling event has a return (Equation (1)) of</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whereas a floor event has</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The event window runs from day 61, when a 60-day volume history exists, to five days before the sample end. The market return weights stocks by dollar volume,</w:t>
      </w:r>
    </w:p>
    <w:p>
      <w:pPr>
        <w:pStyle w:val="BodyText"/>
      </w:pPr>
      <m:oMathPara>
        <m:oMathParaPr>
          <m:jc m:val="center"/>
        </m:oMathParaPr>
        <m:oMath>
          <m:sSubSup>
            <m:e>
              <m:r>
                <m:t>R</m:t>
              </m:r>
            </m:e>
            <m:sub>
              <m:r>
                <m:t>d</m:t>
              </m:r>
            </m:sub>
            <m:sup>
              <m:r>
                <m:rPr>
                  <m:nor/>
                  <m:sty m:val="p"/>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r>
            <m:t> </m:t>
          </m:r>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oMath>
      </m:oMathPara>
    </w:p>
    <w:p>
      <w:pPr>
        <w:pStyle w:val="FirstParagraph"/>
      </w:pPr>
      <w:r>
        <w:t xml:space="preserve">[[EQNUM:2]]</w:t>
      </w:r>
    </w:p>
    <w:p>
      <w:pPr>
        <w:pStyle w:val="BodyText"/>
      </w:pPr>
      <w:r>
        <w:t xml:space="preserve">where</w:t>
      </w:r>
      <w:r>
        <w:t xml:space="preserve"> </w:t>
      </w:r>
      <w:r>
        <w:rPr>
          <w:iCs/>
          <w:i/>
        </w:rPr>
        <w:t xml:space="preserve">j</w:t>
      </w:r>
      <w:r>
        <w:t xml:space="preserve"> </w:t>
      </w:r>
      <w:r>
        <w:t xml:space="preserve">and</w:t>
      </w:r>
      <w:r>
        <w:t xml:space="preserve"> </w:t>
      </w:r>
      <w:r>
        <w:rPr>
          <w:iCs/>
          <w:i/>
        </w:rPr>
        <w:t xml:space="preserve">l</w:t>
      </w:r>
      <w:r>
        <w:t xml:space="preserve"> </w:t>
      </w:r>
      <w:r>
        <w:t xml:space="preserve">run over stocks with a day-</w:t>
      </w:r>
      <w:r>
        <w:rPr>
          <w:iCs/>
          <w:i/>
        </w:rPr>
        <w:t xml:space="preserve">d</w:t>
      </w:r>
      <w:r>
        <w:t xml:space="preserve"> </w:t>
      </w:r>
      <w:r>
        <w:t xml:space="preserve">return and a full 60-day history, and</w:t>
      </w:r>
      <w:r>
        <w:t xml:space="preserve"> </w:t>
      </w:r>
      <w:r>
        <w:rPr>
          <w:iCs/>
          <w:i/>
        </w:rPr>
        <w:t xml:space="preserve">V̄</w:t>
      </w:r>
      <w:r>
        <w:rPr>
          <w:iCs/>
          <w:i/>
          <w:vertAlign w:val="subscript"/>
        </w:rPr>
        <w:t xml:space="preserve">j</w:t>
      </w:r>
      <w:r>
        <w:rPr>
          <w:vertAlign w:val="subscript"/>
        </w:rPr>
        <w:t xml:space="preserve">,</w:t>
      </w:r>
      <w:r>
        <w:rPr>
          <w:iCs/>
          <w:i/>
          <w:vertAlign w:val="subscript"/>
        </w:rPr>
        <w:t xml:space="preserve">d</w:t>
      </w:r>
      <w:r>
        <w:t xml:space="preserve"> </w:t>
      </w:r>
      <w:r>
        <w:t xml:space="preserve">is the mean dollar volume of stock</w:t>
      </w:r>
      <w:r>
        <w:t xml:space="preserve"> </w:t>
      </w:r>
      <w:r>
        <w:rPr>
          <w:iCs/>
          <w:i/>
        </w:rPr>
        <w:t xml:space="preserve">j</w:t>
      </w:r>
      <w:r>
        <w:t xml:space="preserve"> </w:t>
      </w:r>
      <w:r>
        <w:t xml:space="preserve">over the 60 trading days through day</w:t>
      </w:r>
      <w:r>
        <w:t xml:space="preserve"> </w:t>
      </w:r>
      <w:r>
        <w:rPr>
          <w:iCs/>
          <w:i/>
        </w:rPr>
        <w:t xml:space="preserve">d</w:t>
      </w:r>
      <w:r>
        <w:t xml:space="preserve">.</w:t>
      </w:r>
    </w:p>
    <w:p>
      <w:pPr>
        <w:pStyle w:val="BodyText"/>
      </w:pPr>
      <w:r>
        <w:rPr>
          <w:iCs/>
          <w:i/>
        </w:rPr>
        <w:t xml:space="preserve">Exact hits.</w:t>
      </w:r>
      <w:r>
        <w:t xml:space="preserve"> </w:t>
      </w:r>
      <w:r>
        <w:t xml:space="preserve">An exact hit is an event whose close equals the limit price (within 10</w:t>
      </w:r>
      <w:r>
        <w:rPr>
          <w:vertAlign w:val="superscript"/>
        </w:rPr>
        <w:t xml:space="preserve">−6</w:t>
      </w:r>
      <w:r>
        <w:t xml:space="preserve"> </w:t>
      </w:r>
      <w:r>
        <w:t xml:space="preserve">thousand dong),</w:t>
      </w:r>
    </w:p>
    <w:p>
      <w:pPr>
        <w:pStyle w:val="BodyText"/>
      </w:pPr>
      <m:oMathPara>
        <m:oMathParaPr>
          <m:jc m:val="center"/>
        </m:oMathParaPr>
        <m:oMath>
          <m:sSubSup>
            <m:e>
              <m:r>
                <m:t>P</m:t>
              </m:r>
            </m:e>
            <m:sub>
              <m:r>
                <m:t>i</m:t>
              </m:r>
              <m:r>
                <m:rPr>
                  <m:sty m:val="p"/>
                </m:rPr>
                <m:t>,</m:t>
              </m:r>
              <m:r>
                <m:t>d</m:t>
              </m:r>
            </m:sub>
            <m:sup>
              <m:r>
                <m:rPr>
                  <m:nor/>
                  <m:sty m:val="p"/>
                </m:rPr>
                <m:t>ceiling</m:t>
              </m:r>
            </m:sup>
          </m:sSubSup>
          <m:r>
            <m:rPr>
              <m:sty m:val="p"/>
            </m:rPr>
            <m:t>=</m:t>
          </m:r>
          <m:d>
            <m:dPr>
              <m:begChr m:val="⌊"/>
              <m:endChr m:val="⌋"/>
              <m:sep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sty m:val="p"/>
                </m:rPr>
                <m:t>floor</m:t>
              </m:r>
            </m:sup>
          </m:sSubSup>
          <m:r>
            <m:rPr>
              <m:sty m:val="p"/>
            </m:rPr>
            <m:t>=</m:t>
          </m:r>
          <m:d>
            <m:dPr>
              <m:begChr m:val="⌈"/>
              <m:endChr m:val="⌉"/>
              <m:sepChr m:val=""/>
              <m:grow/>
            </m:dPr>
            <m:e>
              <m:f>
                <m:fPr>
                  <m:type m:val="bar"/>
                </m:fPr>
                <m:num>
                  <m:r>
                    <m:t>0.93</m:t>
                  </m:r>
                  <m:r>
                    <m:t> </m:t>
                  </m:r>
                  <m:sSub>
                    <m:e>
                      <m:r>
                        <m:t>C</m:t>
                      </m:r>
                    </m:e>
                    <m:sub>
                      <m:r>
                        <m:t>i</m:t>
                      </m:r>
                      <m:r>
                        <m:rPr>
                          <m:sty m:val="p"/>
                        </m:rPr>
                        <m:t>,</m:t>
                      </m:r>
                      <m:r>
                        <m:t>d</m:t>
                      </m:r>
                      <m:r>
                        <m:rPr>
                          <m:sty m:val="p"/>
                        </m:rPr>
                        <m:t>−</m:t>
                      </m:r>
                      <m:r>
                        <m:t>1</m:t>
                      </m:r>
                    </m:sub>
                  </m:sSub>
                </m:num>
                <m:den>
                  <m:r>
                    <m:t>δ</m:t>
                  </m:r>
                </m:den>
              </m:f>
            </m:e>
          </m:d>
          <m:r>
            <m:t>δ</m:t>
          </m:r>
        </m:oMath>
      </m:oMathPara>
    </w:p>
    <w:p>
      <w:pPr>
        <w:pStyle w:val="FirstParagraph"/>
      </w:pPr>
      <w:r>
        <w:t xml:space="preserve">[[EQNUM:3]]</w:t>
      </w:r>
    </w:p>
    <w:p>
      <w:pPr>
        <w:pStyle w:val="BodyText"/>
      </w:pPr>
      <w:r>
        <w:t xml:space="preserve">where ⌊ · ⌋ and ⌈ · ⌉ round down and up (after adding and subtracting 10</w:t>
      </w:r>
      <w:r>
        <w:rPr>
          <w:vertAlign w:val="superscript"/>
        </w:rPr>
        <w:t xml:space="preserve">−9</w:t>
      </w:r>
      <w:r>
        <w:t xml:space="preserve">, respectively, against floating-point error), and the tick δ is 0.01, 0.05, or 0.10 thousand dong for reference prices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below 10, from 10 to below 50, and from 50 upward. Other events are near hits (see Section 4.1, vendor price adjustment).</w:t>
      </w:r>
    </w:p>
    <w:p>
      <w:pPr>
        <w:pStyle w:val="BodyText"/>
      </w:pPr>
      <w:r>
        <w:rPr>
          <w:iCs/>
          <w:i/>
        </w:rPr>
        <w:t xml:space="preserve">Outcomes.</w:t>
      </w:r>
      <w:r>
        <w:t xml:space="preserve"> </w:t>
      </w:r>
      <w:r>
        <w:t xml:space="preserve">The abnormal return (AR) on day</w:t>
      </w:r>
      <w:r>
        <w:t xml:space="preserve"> </w:t>
      </w:r>
      <w:r>
        <w:rPr>
          <w:iCs/>
          <w:i/>
        </w:rPr>
        <w:t xml:space="preserve">d</w:t>
      </w:r>
      <w:r>
        <w:t xml:space="preserve"> </w:t>
      </w:r>
      <w:r>
        <w:t xml:space="preserve">+ 1 and the cumulative abnormal return (CAR) over days</w:t>
      </w:r>
      <w:r>
        <w:t xml:space="preserve"> </w:t>
      </w:r>
      <w:r>
        <w:rPr>
          <w:iCs/>
          <w:i/>
        </w:rPr>
        <w:t xml:space="preserve">d</w:t>
      </w:r>
      <w:r>
        <w:t xml:space="preserve"> </w:t>
      </w:r>
      <w:r>
        <w:t xml:space="preserve">+ 1 to</w:t>
      </w:r>
      <w:r>
        <w:t xml:space="preserve"> </w:t>
      </w:r>
      <w:r>
        <w:rPr>
          <w:iCs/>
          <w:i/>
        </w:rPr>
        <w:t xml:space="preserve">d</w:t>
      </w:r>
      <w:r>
        <w:t xml:space="preserve"> </w:t>
      </w:r>
      <w:r>
        <w:t xml:space="preserve">+ 5 are</w:t>
      </w:r>
    </w:p>
    <w:p>
      <w:pPr>
        <w:pStyle w:val="BodyText"/>
      </w:pPr>
      <m:oMathPara>
        <m:oMathParaPr>
          <m:jc m:val="center"/>
        </m:oMathParaPr>
        <m:oMath>
          <m:sSub>
            <m:e>
              <m:r>
                <m:rPr>
                  <m:sty m:val="p"/>
                </m:rPr>
                <m:t>A</m:t>
              </m:r>
              <m:r>
                <m:rPr>
                  <m:sty m:val="p"/>
                </m:rPr>
                <m:t>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sty m:val="p"/>
                </m:rPr>
                <m:t>mkt</m:t>
              </m:r>
            </m:sup>
          </m:sSubSup>
          <m:r>
            <m:rPr>
              <m:sty m:val="p"/>
            </m:rPr>
            <m:t>,</m:t>
          </m:r>
          <m:r>
            <m:t>  </m:t>
          </m:r>
          <m:sSub>
            <m:e>
              <m:r>
                <m:rPr>
                  <m:sty m:val="p"/>
                </m:rPr>
                <m:t>C</m:t>
              </m:r>
              <m:r>
                <m:rPr>
                  <m:sty m:val="p"/>
                </m:rPr>
                <m:t>A</m:t>
              </m:r>
              <m:r>
                <m:rPr>
                  <m:sty m:val="p"/>
                </m:rPr>
                <m:t>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Sup>
                    <m:e>
                      <m:r>
                        <m:t>R</m:t>
                      </m:r>
                    </m:e>
                    <m:sub>
                      <m:r>
                        <m:t>d</m:t>
                      </m:r>
                      <m:r>
                        <m:rPr>
                          <m:sty m:val="p"/>
                        </m:rPr>
                        <m:t>+</m:t>
                      </m:r>
                      <m:r>
                        <m:t>k</m:t>
                      </m:r>
                    </m:sub>
                    <m:sup>
                      <m:r>
                        <m:rPr>
                          <m:nor/>
                          <m:sty m:val="p"/>
                        </m:rPr>
                        <m:t>mkt</m:t>
                      </m:r>
                    </m:sup>
                  </m:sSubSup>
                </m:e>
              </m:d>
            </m:e>
          </m:nary>
        </m:oMath>
      </m:oMathPara>
    </w:p>
    <w:p>
      <w:pPr>
        <w:pStyle w:val="FirstParagraph"/>
      </w:pPr>
      <w:r>
        <w:t xml:space="preserve">[[EQNUM:4]]</w:t>
      </w:r>
    </w:p>
    <w:p>
      <w:pPr>
        <w:pStyle w:val="BodyText"/>
      </w:pPr>
      <w:r>
        <w:t xml:space="preserve">where each</w:t>
      </w:r>
      <w:r>
        <w:t xml:space="preserve"> </w:t>
      </w:r>
      <w:r>
        <w:rPr>
          <w:iCs/>
          <w:i/>
        </w:rPr>
        <w:t xml:space="preserve">R</w:t>
      </w:r>
      <w:r>
        <w:rPr>
          <w:vertAlign w:val="superscript"/>
        </w:rPr>
        <w:t xml:space="preserve">mkt</w:t>
      </w:r>
      <w:r>
        <w:rPr>
          <w:iCs/>
          <w:i/>
          <w:vertAlign w:val="subscript"/>
        </w:rPr>
        <w:t xml:space="preserve">d</w:t>
      </w:r>
      <w:r>
        <w:rPr>
          <w:vertAlign w:val="subscript"/>
        </w:rPr>
        <w:t xml:space="preserve">+</w:t>
      </w:r>
      <w:r>
        <w:rPr>
          <w:iCs/>
          <w:i/>
          <w:vertAlign w:val="subscript"/>
        </w:rPr>
        <w:t xml:space="preserve">k</w:t>
      </w:r>
      <w:r>
        <w:t xml:space="preserve"> </w:t>
      </w:r>
      <w:r>
        <w:t xml:space="preserve">uses weights through day</w:t>
      </w:r>
      <w:r>
        <w:t xml:space="preserve"> </w:t>
      </w:r>
      <w:r>
        <w:rPr>
          <w:iCs/>
          <w:i/>
        </w:rPr>
        <w:t xml:space="preserve">d</w:t>
      </w:r>
      <w:r>
        <w:t xml:space="preserve"> </w:t>
      </w:r>
      <w:r>
        <w:t xml:space="preserve">+</w:t>
      </w:r>
      <w:r>
        <w:t xml:space="preserve"> </w:t>
      </w:r>
      <w:r>
        <w:rPr>
          <w:iCs/>
          <w:i/>
        </w:rPr>
        <w:t xml:space="preserve">k</w:t>
      </w:r>
      <w:r>
        <w:t xml:space="preserve"> </w:t>
      </w:r>
      <w:r>
        <w:t xml:space="preserve">(Table 1). The day-</w:t>
      </w:r>
      <w:r>
        <w:rPr>
          <w:iCs/>
          <w:i/>
        </w:rPr>
        <w:t xml:space="preserve">d</w:t>
      </w:r>
      <w:r>
        <w:t xml:space="preserve"> </w:t>
      </w:r>
      <w:r>
        <w:t xml:space="preserve">+ 1 return splits into the overnight gap and the intraday return,</w:t>
      </w:r>
    </w:p>
    <w:p>
      <w:pPr>
        <w:pStyle w:val="BodyText"/>
      </w:pPr>
      <m:oMathPara>
        <m:oMathParaPr>
          <m:jc m:val="center"/>
        </m:oMathParaPr>
        <m:oMath>
          <m:sSub>
            <m:e>
              <m:r>
                <m:rPr>
                  <m:sty m:val="p"/>
                </m:rPr>
                <m:t>G</m:t>
              </m:r>
              <m:r>
                <m:rPr>
                  <m:sty m:val="p"/>
                </m:rPr>
                <m:t>A</m:t>
              </m:r>
              <m:r>
                <m:rPr>
                  <m:sty m:val="p"/>
                </m:rPr>
                <m:t>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sty m:val="p"/>
                </m:rPr>
                <m:t>I</m:t>
              </m:r>
              <m:r>
                <m:rPr>
                  <m:sty m:val="p"/>
                </m:rPr>
                <m:t>N</m:t>
              </m:r>
              <m:r>
                <m:rPr>
                  <m:sty m:val="p"/>
                </m:rPr>
                <m:t>T</m:t>
              </m:r>
              <m:r>
                <m:rPr>
                  <m:sty m:val="p"/>
                </m:rPr>
                <m:t>R</m:t>
              </m:r>
              <m:r>
                <m:rPr>
                  <m:sty m:val="p"/>
                </m:rPr>
                <m:t>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endChr m:val=")"/>
              <m:sepChr m:val=""/>
              <m:grow/>
            </m:dPr>
            <m:e>
              <m:r>
                <m:t>1</m:t>
              </m:r>
              <m:r>
                <m:rPr>
                  <m:sty m:val="p"/>
                </m:rPr>
                <m:t>+</m:t>
              </m:r>
              <m:sSub>
                <m:e>
                  <m:r>
                    <m:rPr>
                      <m:sty m:val="p"/>
                    </m:rPr>
                    <m:t>G</m:t>
                  </m:r>
                  <m:r>
                    <m:rPr>
                      <m:sty m:val="p"/>
                    </m:rPr>
                    <m:t>A</m:t>
                  </m:r>
                  <m:r>
                    <m:rPr>
                      <m:sty m:val="p"/>
                    </m:rPr>
                    <m:t>P</m:t>
                  </m:r>
                </m:e>
                <m:sub>
                  <m:r>
                    <m:t>i</m:t>
                  </m:r>
                  <m:r>
                    <m:rPr>
                      <m:sty m:val="p"/>
                    </m:rPr>
                    <m:t>,</m:t>
                  </m:r>
                  <m:r>
                    <m:t>d</m:t>
                  </m:r>
                </m:sub>
              </m:sSub>
            </m:e>
          </m:d>
          <m:d>
            <m:dPr>
              <m:begChr m:val="("/>
              <m:endChr m:val=")"/>
              <m:sepChr m:val=""/>
              <m:grow/>
            </m:dPr>
            <m:e>
              <m:r>
                <m:t>1</m:t>
              </m:r>
              <m:r>
                <m:rPr>
                  <m:sty m:val="p"/>
                </m:rPr>
                <m:t>+</m:t>
              </m:r>
              <m:sSub>
                <m:e>
                  <m:r>
                    <m:rPr>
                      <m:sty m:val="p"/>
                    </m:rPr>
                    <m:t>I</m:t>
                  </m:r>
                  <m:r>
                    <m:rPr>
                      <m:sty m:val="p"/>
                    </m:rPr>
                    <m:t>N</m:t>
                  </m:r>
                  <m:r>
                    <m:rPr>
                      <m:sty m:val="p"/>
                    </m:rPr>
                    <m:t>T</m:t>
                  </m:r>
                  <m:r>
                    <m:rPr>
                      <m:sty m:val="p"/>
                    </m:rPr>
                    <m:t>R</m:t>
                  </m:r>
                  <m:r>
                    <m:rPr>
                      <m:sty m:val="p"/>
                    </m:rPr>
                    <m:t>A</m:t>
                  </m:r>
                </m:e>
                <m:sub>
                  <m:r>
                    <m:t>i</m:t>
                  </m:r>
                  <m:r>
                    <m:rPr>
                      <m:sty m:val="p"/>
                    </m:rPr>
                    <m:t>,</m:t>
                  </m:r>
                  <m:r>
                    <m:t>d</m:t>
                  </m:r>
                </m:sub>
              </m:sSub>
            </m:e>
          </m:d>
        </m:oMath>
      </m:oMathPara>
    </w:p>
    <w:p>
      <w:pPr>
        <w:pStyle w:val="FirstParagraph"/>
      </w:pPr>
      <w:r>
        <w:t xml:space="preserve">[[EQNUM:5]]</w:t>
      </w:r>
    </w:p>
    <w:p>
      <w:pPr>
        <w:pStyle w:val="BodyText"/>
      </w:pPr>
      <w:r>
        <w:t xml:space="preserve">and abnormal values subtract the market counterpart of each component, the same-interval return across stocks weighted by</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known at the event close. A buyer at the next open earns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− 1 less the buy-and-hold market return Σ</w:t>
      </w:r>
      <w:r>
        <w:rPr>
          <w:iCs/>
          <w:i/>
          <w:vertAlign w:val="subscript"/>
        </w:rPr>
        <w:t xml:space="preserve">j</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w:t>
      </w:r>
      <w:r>
        <w:t xml:space="preserve">(</w:t>
      </w:r>
      <w:r>
        <w:rPr>
          <w:iCs/>
          <w:i/>
        </w:rPr>
        <w:t xml:space="preserve">C</w:t>
      </w:r>
      <w:r>
        <w:rPr>
          <w:iCs/>
          <w:i/>
          <w:vertAlign w:val="subscript"/>
        </w:rPr>
        <w:t xml:space="preserve">j</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j</w:t>
      </w:r>
      <w:r>
        <w:rPr>
          <w:vertAlign w:val="subscript"/>
        </w:rPr>
        <w:t xml:space="preserve">,</w:t>
      </w:r>
      <w:r>
        <w:rPr>
          <w:iCs/>
          <w:i/>
          <w:vertAlign w:val="subscript"/>
        </w:rPr>
        <w:t xml:space="preserve">d</w:t>
      </w:r>
      <w:r>
        <w:rPr>
          <w:vertAlign w:val="subscript"/>
        </w:rPr>
        <w:t xml:space="preserve">+1</w:t>
      </w:r>
      <w:r>
        <w:t xml:space="preserve"> </w:t>
      </w:r>
      <w:r>
        <w:t xml:space="preserve">− 1). The control benchmark is the equal-weighted mean same-interval return of control stocks (absolute day-</w:t>
      </w:r>
      <w:r>
        <w:rPr>
          <w:iCs/>
          <w:i/>
        </w:rPr>
        <w:t xml:space="preserve">d</w:t>
      </w:r>
      <w:r>
        <w:t xml:space="preserve"> </w:t>
      </w:r>
      <w:r>
        <w:t xml:space="preserve">return below 6.5%) in the event stock’s tercile of</w:t>
      </w:r>
      <w:r>
        <w:t xml:space="preserve"> </w:t>
      </w:r>
      <w:r>
        <w:rPr>
          <w:iCs/>
          <w:i/>
        </w:rPr>
        <w:t xml:space="preserve">V̄</w:t>
      </w:r>
      <w:r>
        <w:rPr>
          <w:iCs/>
          <w:i/>
          <w:vertAlign w:val="subscript"/>
        </w:rPr>
        <w:t xml:space="preserve">i</w:t>
      </w:r>
      <w:r>
        <w:rPr>
          <w:vertAlign w:val="subscript"/>
        </w:rPr>
        <w:t xml:space="preserve">,</w:t>
      </w:r>
      <w:r>
        <w:rPr>
          <w:iCs/>
          <w:i/>
          <w:vertAlign w:val="subscript"/>
        </w:rPr>
        <w:t xml:space="preserve">d</w:t>
      </w:r>
      <w:r>
        <w:t xml:space="preserve"> </w:t>
      </w:r>
      <w:r>
        <w:t xml:space="preserve">on that date; dates with fewer than 30 control stocks have no benchmark.</w:t>
      </w:r>
    </w:p>
    <w:p>
      <w:pPr>
        <w:pStyle w:val="BodyText"/>
      </w:pPr>
      <w:r>
        <w:rPr>
          <w:iCs/>
          <w:i/>
        </w:rPr>
        <w:t xml:space="preserve">Samples.</w:t>
      </w:r>
      <w:r>
        <w:t xml:space="preserve"> </w:t>
      </w:r>
      <w:r>
        <w:t xml:space="preserve">The event definition uses only returns and the close-at-high (close-at-low) condition, which proportional price adjustment by the vendor leaves unchanged except on ex-dates; the exact-hit split is a diagnostic only (Section 4.1). Event counts differ across exhibits because each outcome requires different data. Table 1 requires returns on all five days after the event (3,187 ceiling and 2,105 floor events). Tables 2 to 4 require the opening and closing prices of day</w:t>
      </w:r>
      <w:r>
        <w:t xml:space="preserve"> </w:t>
      </w:r>
      <w:r>
        <w:rPr>
          <w:iCs/>
          <w:i/>
        </w:rPr>
        <w:t xml:space="preserve">d</w:t>
      </w:r>
      <w:r>
        <w:t xml:space="preserve">+1 (3,199 and 2,111 events), the open-to-day-</w:t>
      </w:r>
      <w:r>
        <w:rPr>
          <w:iCs/>
          <w:i/>
        </w:rPr>
        <w:t xml:space="preserve">d</w:t>
      </w:r>
      <w:r>
        <w:t xml:space="preserve">+5 return also requires the day-</w:t>
      </w:r>
      <w:r>
        <w:rPr>
          <w:iCs/>
          <w:i/>
        </w:rPr>
        <w:t xml:space="preserve">d</w:t>
      </w:r>
      <w:r>
        <w:t xml:space="preserve">+5 closing price, and the control benchmark requires at least 30 control stocks on the date (3,100 and 2,047 events). Figure 2 uses event days up to the second-to-last trading day (3,220 ceiling events). No event was dropped for any other reason.</w:t>
      </w:r>
    </w:p>
    <w:p>
      <w:pPr>
        <w:pStyle w:val="BodyText"/>
      </w:pPr>
      <w:r>
        <w:rPr>
          <w:iCs/>
          <w:i/>
        </w:rPr>
        <w:t xml:space="preserve">Inference.</w:t>
      </w:r>
      <w:r>
        <w:t xml:space="preserve"> </w:t>
      </w:r>
      <w:r>
        <w:t xml:space="preserve">For</w:t>
      </w:r>
      <w:r>
        <w:t xml:space="preserve"> </w:t>
      </w:r>
      <w:r>
        <w:rPr>
          <w:iCs/>
          <w:i/>
        </w:rPr>
        <w:t xml:space="preserve">N</w:t>
      </w:r>
      <w:r>
        <w:t xml:space="preserve"> </w:t>
      </w:r>
      <w:r>
        <w:t xml:space="preserve">events</w:t>
      </w:r>
      <w:r>
        <w:t xml:space="preserve"> </w:t>
      </w:r>
      <w:r>
        <w:rPr>
          <w:iCs/>
          <w:i/>
        </w:rPr>
        <w:t xml:space="preserve">e</w:t>
      </w:r>
      <w:r>
        <w:t xml:space="preserve">, each a stock-day pair, with outcome</w:t>
      </w:r>
      <w:r>
        <w:t xml:space="preserve"> </w:t>
      </w:r>
      <w:r>
        <w:rPr>
          <w:iCs/>
          <w:i/>
        </w:rPr>
        <w:t xml:space="preserve">y</w:t>
      </w:r>
      <w:r>
        <w:rPr>
          <w:iCs/>
          <w:i/>
          <w:vertAlign w:val="subscript"/>
        </w:rPr>
        <w:t xml:space="preserve">e</w:t>
      </w:r>
      <w:r>
        <w:t xml:space="preserve"> </w:t>
      </w:r>
      <w:r>
        <w:t xml:space="preserve">and mean</w:t>
      </w:r>
      <w:r>
        <w:t xml:space="preserve"> </w:t>
      </w:r>
      <w:r>
        <w:rPr>
          <w:iCs/>
          <w:i/>
        </w:rPr>
        <w:t xml:space="preserve">ȳ</w:t>
      </w:r>
      <w:r>
        <w:t xml:space="preserve"> </w:t>
      </w:r>
      <w:r>
        <w:t xml:space="preserve">=</w:t>
      </w:r>
      <w:r>
        <w:t xml:space="preserve"> </w:t>
      </w:r>
      <w:r>
        <w:rPr>
          <w:iCs/>
          <w:i/>
        </w:rPr>
        <w:t xml:space="preserve">N</w:t>
      </w:r>
      <w:r>
        <w:rPr>
          <w:vertAlign w:val="superscript"/>
        </w:rPr>
        <w:t xml:space="preserve">−1</w:t>
      </w:r>
      <w:r>
        <w:t xml:space="preserve">Σ</w:t>
      </w:r>
      <w:r>
        <w:rPr>
          <w:iCs/>
          <w:i/>
          <w:vertAlign w:val="subscript"/>
        </w:rPr>
        <w:t xml:space="preserve">e</w:t>
      </w:r>
      <w:r>
        <w:t xml:space="preserve"> </w:t>
      </w:r>
      <w:r>
        <w:rPr>
          <w:iCs/>
          <w:i/>
        </w:rPr>
        <w:t xml:space="preserve">y</w:t>
      </w:r>
      <w:r>
        <w:rPr>
          <w:iCs/>
          <w:i/>
          <w:vertAlign w:val="subscript"/>
        </w:rPr>
        <w:t xml:space="preserve">e</w:t>
      </w:r>
      <w:r>
        <w:t xml:space="preserve">, the cluster-robust variance is</w:t>
      </w:r>
    </w:p>
    <w:p>
      <w:pPr>
        <w:pStyle w:val="BodyText"/>
      </w:pPr>
      <m:oMathPara>
        <m:oMathParaPr>
          <m:jc m:val="center"/>
        </m:oMathParaPr>
        <m:oMath>
          <m:acc>
            <m:accPr>
              <m:chr m:val="̂"/>
            </m:accPr>
            <m:e>
              <m:r>
                <m:rPr>
                  <m:sty m:val="p"/>
                </m:rPr>
                <m:t>Var</m:t>
              </m:r>
            </m:e>
          </m:acc>
          <m:d>
            <m:dPr>
              <m:begChr m:val="("/>
              <m:endChr m:val=")"/>
              <m:sepChr m:val=""/>
              <m:grow/>
            </m:dPr>
            <m:e>
              <m:bar>
                <m:barPr>
                  <m:pos m:val="top"/>
                </m:barPr>
                <m:e>
                  <m:r>
                    <m:t>y</m:t>
                  </m:r>
                </m:e>
              </m:bar>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endChr m:val=")"/>
                      <m:sepChr m:val=""/>
                      <m:grow/>
                    </m:dPr>
                    <m:e>
                      <m:nary>
                        <m:naryPr>
                          <m:chr m:val="∑"/>
                          <m:limLoc m:val="undOvr"/>
                          <m:subHide m:val="off"/>
                          <m:supHide m:val="on"/>
                        </m:naryPr>
                        <m:sub>
                          <m:r>
                            <m:t>e</m:t>
                          </m:r>
                          <m:r>
                            <m:rPr>
                              <m:sty m:val="p"/>
                            </m:rPr>
                            <m:t>∈</m:t>
                          </m:r>
                          <m:r>
                            <m:t>g</m:t>
                          </m:r>
                        </m:sub>
                        <m:sup>
                          <m:r>
                            <m:t>​</m:t>
                          </m:r>
                        </m:sup>
                        <m:e>
                          <m:d>
                            <m:dPr>
                              <m:begChr m:val="("/>
                              <m:endChr m:val=")"/>
                              <m:sepChr m:val=""/>
                              <m:grow/>
                            </m:dPr>
                            <m:e>
                              <m:sSub>
                                <m:e>
                                  <m:r>
                                    <m:t>y</m:t>
                                  </m:r>
                                </m:e>
                                <m:sub>
                                  <m:r>
                                    <m:t>e</m:t>
                                  </m:r>
                                </m:sub>
                              </m:sSub>
                              <m:r>
                                <m:rPr>
                                  <m:sty m:val="p"/>
                                </m:rPr>
                                <m:t>−</m:t>
                              </m:r>
                              <m:bar>
                                <m:barPr>
                                  <m:pos m:val="top"/>
                                </m:barPr>
                                <m:e>
                                  <m:r>
                                    <m:t>y</m:t>
                                  </m:r>
                                </m:e>
                              </m:bar>
                            </m:e>
                          </m:d>
                        </m:e>
                      </m:nary>
                    </m:e>
                  </m:d>
                </m:e>
                <m:sup>
                  <m:r>
                    <m:t>2</m:t>
                  </m:r>
                </m:sup>
              </m:sSup>
            </m:e>
          </m:nary>
        </m:oMath>
      </m:oMathPara>
    </w:p>
    <w:p>
      <w:pPr>
        <w:pStyle w:val="FirstParagraph"/>
      </w:pPr>
      <w:r>
        <w:t xml:space="preserve">[[EQNUM:6]]</w:t>
      </w:r>
    </w:p>
    <w:p>
      <w:pPr>
        <w:pStyle w:val="BodyText"/>
      </w:pPr>
      <w:r>
        <w:t xml:space="preserve">where</w:t>
      </w:r>
      <w:r>
        <w:t xml:space="preserve"> </w:t>
      </w:r>
      <w:r>
        <w:rPr>
          <w:iCs/>
          <w:i/>
        </w:rPr>
        <w:t xml:space="preserve">g</w:t>
      </w:r>
      <w:r>
        <w:t xml:space="preserve"> </w:t>
      </w:r>
      <w:r>
        <w:t xml:space="preserve">= 1, …,</w:t>
      </w:r>
      <w:r>
        <w:t xml:space="preserve"> </w:t>
      </w:r>
      <w:r>
        <w:rPr>
          <w:iCs/>
          <w:i/>
        </w:rPr>
        <w:t xml:space="preserve">G</w:t>
      </w:r>
      <w:r>
        <w:t xml:space="preserve"> </w:t>
      </w:r>
      <w:r>
        <w:t xml:space="preserve">indexes clusters: event dates, calendar weeks (ISO 8601), or blocks of ten consecutive trading days. The family</w:t>
      </w:r>
      <w:r>
        <w:t xml:space="preserve"> </w:t>
      </w:r>
      <w:r>
        <w:rPr>
          <w:iCs/>
          <w:i/>
        </w:rPr>
        <w:t xml:space="preserve">p</w:t>
      </w:r>
      <w:r>
        <w:t xml:space="preserve">-values of the four event tests use Equation (6) with event-date clusters, omit</w:t>
      </w:r>
      <w:r>
        <w:t xml:space="preserve"> </w:t>
      </w:r>
      <w:r>
        <w:rPr>
          <w:iCs/>
          <w:i/>
        </w:rPr>
        <w:t xml:space="preserve">G</w:t>
      </w:r>
      <w:r>
        <w:t xml:space="preserve">/(</w:t>
      </w:r>
      <w:r>
        <w:rPr>
          <w:iCs/>
          <w:i/>
        </w:rPr>
        <w:t xml:space="preserve">G</w:t>
      </w:r>
      <w:r>
        <w:t xml:space="preserve"> </w:t>
      </w:r>
      <w:r>
        <w:t xml:space="preserve">− 1), and take a normal reference. Table 1</w:t>
      </w:r>
      <w:r>
        <w:t xml:space="preserve"> </w:t>
      </w:r>
      <w:r>
        <w:rPr>
          <w:iCs/>
          <w:i/>
        </w:rPr>
        <w:t xml:space="preserve">t</w:t>
      </w:r>
      <w:r>
        <w:t xml:space="preserve">-statistics include the factor and use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 The family</w:t>
      </w:r>
      <w:r>
        <w:t xml:space="preserve"> </w:t>
      </w:r>
      <w:r>
        <w:rPr>
          <w:iCs/>
          <w:i/>
        </w:rPr>
        <w:t xml:space="preserve">p</w:t>
      </w:r>
      <w:r>
        <w:t xml:space="preserve">-values keep the convention of the first computation of the planned tests; the analysis plan specified date-clustered standard errors but not the reference distribution, and we did not change the convention after seeing the results, so that the multiplicity control is not tuned to them. Table 1 adds the small-sample factor and the</w:t>
      </w:r>
      <w:r>
        <w:t xml:space="preserve"> </w:t>
      </w:r>
      <w:r>
        <w:rPr>
          <w:iCs/>
          <w:i/>
        </w:rPr>
        <w:t xml:space="preserve">t</w:t>
      </w:r>
      <w:r>
        <w:t xml:space="preserve"> </w:t>
      </w:r>
      <w:r>
        <w:t xml:space="preserve">reference as a more conservative check. Under these settings, the four event tests still survive a Bonferroni correction in families of up to 683 tests with date clusters and 125 with calendar-week clusters (Section 3), so the choice does not change any conclusion. Two-way clustering by date and stock follows Cameron et al. (2011), without the factor and with the variance bounded below at 10</w:t>
      </w:r>
      <w:r>
        <w:rPr>
          <w:vertAlign w:val="superscript"/>
        </w:rPr>
        <w:t xml:space="preserve">−12</w:t>
      </w:r>
      <w:r>
        <w:t xml:space="preserve">. Table 3 reports β̂ from</w:t>
      </w:r>
      <w:r>
        <w:t xml:space="preserve"> </w:t>
      </w:r>
      <w:r>
        <w:rPr>
          <w:iCs/>
          <w:i/>
        </w:rPr>
        <w:t xml:space="preserve">y</w:t>
      </w:r>
      <w:r>
        <w:rPr>
          <w:iCs/>
          <w:i/>
          <w:vertAlign w:val="subscript"/>
        </w:rPr>
        <w:t xml:space="preserve">e</w:t>
      </w:r>
      <w:r>
        <w:t xml:space="preserve"> </w:t>
      </w:r>
      <w:r>
        <w:t xml:space="preserve">= α + β</w:t>
      </w:r>
      <w:r>
        <w:t xml:space="preserve"> </w:t>
      </w:r>
      <w:r>
        <w:rPr>
          <w:iCs/>
          <w:i/>
        </w:rPr>
        <w:t xml:space="preserve">D</w:t>
      </w:r>
      <w:r>
        <w:rPr>
          <w:iCs/>
          <w:i/>
          <w:vertAlign w:val="subscript"/>
        </w:rPr>
        <w:t xml:space="preserve">e</w:t>
      </w:r>
      <w:r>
        <w:t xml:space="preserve"> </w:t>
      </w:r>
      <w:r>
        <w:t xml:space="preserve">+</w:t>
      </w:r>
      <w:r>
        <w:t xml:space="preserve"> </w:t>
      </w:r>
      <w:r>
        <w:rPr>
          <w:iCs/>
          <w:i/>
        </w:rPr>
        <w:t xml:space="preserve">u</w:t>
      </w:r>
      <w:r>
        <w:rPr>
          <w:iCs/>
          <w:i/>
          <w:vertAlign w:val="subscript"/>
        </w:rPr>
        <w:t xml:space="preserve">e</w:t>
      </w:r>
      <w:r>
        <w:t xml:space="preserve">, where</w:t>
      </w:r>
      <w:r>
        <w:t xml:space="preserve"> </w:t>
      </w:r>
      <w:r>
        <w:rPr>
          <w:iCs/>
          <w:i/>
        </w:rPr>
        <w:t xml:space="preserve">D</w:t>
      </w:r>
      <w:r>
        <w:rPr>
          <w:iCs/>
          <w:i/>
          <w:vertAlign w:val="subscript"/>
        </w:rPr>
        <w:t xml:space="preserve">e</w:t>
      </w:r>
      <w:r>
        <w:t xml:space="preserve"> </w:t>
      </w:r>
      <w:r>
        <w:t xml:space="preserve">= 1 for limit closes and 0 for the comparison moves, α is the intercept, and</w:t>
      </w:r>
      <w:r>
        <w:t xml:space="preserve"> </w:t>
      </w:r>
      <w:r>
        <w:rPr>
          <w:iCs/>
          <w:i/>
        </w:rPr>
        <w:t xml:space="preserve">u</w:t>
      </w:r>
      <w:r>
        <w:rPr>
          <w:iCs/>
          <w:i/>
          <w:vertAlign w:val="subscript"/>
        </w:rPr>
        <w:t xml:space="preserve">e</w:t>
      </w:r>
      <w:r>
        <w:t xml:space="preserve"> </w:t>
      </w:r>
      <w:r>
        <w:t xml:space="preserve">is the error, with date-clustered HC1 standard errors (R package</w:t>
      </w:r>
      <w:r>
        <w:t xml:space="preserve"> </w:t>
      </w:r>
      <w:r>
        <w:rPr>
          <w:iCs/>
          <w:i/>
        </w:rPr>
        <w:t xml:space="preserve">sandwich</w:t>
      </w:r>
      <w:r>
        <w:t xml:space="preserve">).</w:t>
      </w:r>
    </w:p>
    <w:p>
      <w:pPr>
        <w:pStyle w:val="BodyText"/>
      </w:pPr>
      <w:r>
        <w:rPr>
          <w:iCs/>
          <w:i/>
        </w:rPr>
        <w:t xml:space="preserve">Characteristics.</w:t>
      </w:r>
      <w:r>
        <w:t xml:space="preserve"> </w:t>
      </w:r>
      <w:r>
        <w:t xml:space="preserve">We form cross-sections on trading days 120 (so that every lookback is complete), 125, and so on to 510:</w:t>
      </w:r>
      <w:r>
        <w:t xml:space="preserve"> </w:t>
      </w:r>
      <w:r>
        <w:rPr>
          <w:iCs/>
          <w:i/>
        </w:rPr>
        <w:t xml:space="preserve">T</w:t>
      </w:r>
      <w:r>
        <w:t xml:space="preserve"> </w:t>
      </w:r>
      <w:r>
        <w:t xml:space="preserve">= 79 formation weeks τ (five-trading-day periods, not the calendar weeks used for clustering), each followed by a non-overlapping five-day holding period. Each week, we rank-normalize each characteristic</w:t>
      </w:r>
      <w:r>
        <w:t xml:space="preserve"> </w:t>
      </w:r>
      <w:r>
        <w:rPr>
          <w:iCs/>
          <w:i/>
        </w:rPr>
        <w:t xml:space="preserve">x</w:t>
      </w:r>
      <w:r>
        <w:rPr>
          <w:iCs/>
          <w:i/>
          <w:vertAlign w:val="subscript"/>
        </w:rPr>
        <w:t xml:space="preserve">i</w:t>
      </w:r>
      <w:r>
        <w:rPr>
          <w:vertAlign w:val="subscript"/>
        </w:rPr>
        <w:t xml:space="preserve">,τ</w:t>
      </w:r>
      <w:r>
        <w:t xml:space="preserve"> </w:t>
      </w:r>
      <w:r>
        <w:t xml:space="preserve">across the</w:t>
      </w:r>
      <w:r>
        <w:t xml:space="preserve"> </w:t>
      </w:r>
      <w:r>
        <w:rPr>
          <w:iCs/>
          <w:i/>
        </w:rPr>
        <w:t xml:space="preserve">n</w:t>
      </w:r>
      <w:r>
        <w:rPr>
          <w:vertAlign w:val="subscript"/>
        </w:rPr>
        <w:t xml:space="preserve">τ</w:t>
      </w:r>
      <w:r>
        <w:t xml:space="preserve"> </w:t>
      </w:r>
      <w:r>
        <w:t xml:space="preserve">stocks with complete data (all 115 days of the longest lookback, trades on at least 50 of the last 60 days, and next-five-day returns) as</w:t>
      </w:r>
      <w:r>
        <w:t xml:space="preserve"> </w:t>
      </w:r>
      <w:r>
        <w:rPr>
          <w:iCs/>
          <w:i/>
        </w:rPr>
        <w:t xml:space="preserve">z</w:t>
      </w:r>
      <w:r>
        <w:rPr>
          <w:iCs/>
          <w:i/>
          <w:vertAlign w:val="subscript"/>
        </w:rPr>
        <w:t xml:space="preserve">i</w:t>
      </w:r>
      <w:r>
        <w:rPr>
          <w:vertAlign w:val="subscript"/>
        </w:rPr>
        <w:t xml:space="preserve">,τ</w:t>
      </w:r>
      <w:r>
        <w:t xml:space="preserve"> </w:t>
      </w:r>
      <w:r>
        <w:t xml:space="preserve">= Φ</w:t>
      </w:r>
      <w:r>
        <w:rPr>
          <w:vertAlign w:val="superscript"/>
        </w:rPr>
        <w:t xml:space="preserve">−1</w:t>
      </w:r>
      <w:r>
        <w:t xml:space="preserve">((rank(</w:t>
      </w:r>
      <w:r>
        <w:rPr>
          <w:iCs/>
          <w:i/>
        </w:rPr>
        <w:t xml:space="preserve">x</w:t>
      </w:r>
      <w:r>
        <w:rPr>
          <w:iCs/>
          <w:i/>
          <w:vertAlign w:val="subscript"/>
        </w:rPr>
        <w:t xml:space="preserve">i</w:t>
      </w:r>
      <w:r>
        <w:rPr>
          <w:vertAlign w:val="subscript"/>
        </w:rPr>
        <w:t xml:space="preserve">,τ</w:t>
      </w:r>
      <w:r>
        <w:t xml:space="preserve">) − 0.5)/</w:t>
      </w:r>
      <w:r>
        <w:rPr>
          <w:iCs/>
          <w:i/>
        </w:rPr>
        <w:t xml:space="preserve">n</w:t>
      </w:r>
      <w:r>
        <w:rPr>
          <w:vertAlign w:val="subscript"/>
        </w:rPr>
        <w:t xml:space="preserve">τ</w:t>
      </w:r>
      <w:r>
        <w:t xml:space="preserve">), with ties at average ranks and Φ</w:t>
      </w:r>
      <w:r>
        <w:rPr>
          <w:vertAlign w:val="superscript"/>
        </w:rPr>
        <w:t xml:space="preserve">−1</w:t>
      </w:r>
      <w:r>
        <w:t xml:space="preserve"> </w:t>
      </w:r>
      <w:r>
        <w:t xml:space="preserve">the inverse standard normal distribution function. The outcome</w:t>
      </w:r>
      <w:r>
        <w:t xml:space="preserve"> </w:t>
      </w:r>
      <w:r>
        <w:rPr>
          <w:iCs/>
          <w:i/>
        </w:rPr>
        <w:t xml:space="preserve">y</w:t>
      </w:r>
      <w:r>
        <w:rPr>
          <w:iCs/>
          <w:i/>
          <w:vertAlign w:val="subscript"/>
        </w:rPr>
        <w:t xml:space="preserve">i</w:t>
      </w:r>
      <w:r>
        <w:rPr>
          <w:vertAlign w:val="subscript"/>
        </w:rPr>
        <w:t xml:space="preserve">,τ</w:t>
      </w:r>
      <w:r>
        <w:t xml:space="preserve"> </w:t>
      </w:r>
      <w:r>
        <w:t xml:space="preserve">is the stock’s compounded return over the next five trading days minus the</w:t>
      </w:r>
      <w:r>
        <w:t xml:space="preserve"> </w:t>
      </w:r>
      <w:r>
        <w:rPr>
          <w:iCs/>
          <w:i/>
        </w:rPr>
        <w:t xml:space="preserve">V̄</w:t>
      </w:r>
      <w:r>
        <w:t xml:space="preserve">-weighted average five-day return of these stocks. The Fama and MacBeth (1973) regressions are</w:t>
      </w:r>
    </w:p>
    <w:p>
      <w:pPr>
        <w:pStyle w:val="BodyText"/>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r>
            <m:t> </m:t>
          </m:r>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oMath>
      </m:oMathPara>
    </w:p>
    <w:p>
      <w:pPr>
        <w:pStyle w:val="FirstParagraph"/>
      </w:pPr>
      <w:r>
        <w:t xml:space="preserve">[[EQNUM:7]]</w:t>
      </w:r>
    </w:p>
    <w:p>
      <w:pPr>
        <w:pStyle w:val="BodyText"/>
      </w:pPr>
      <w:r>
        <w:t xml:space="preserve">with a weekly intercept</w:t>
      </w:r>
      <w:r>
        <w:t xml:space="preserve"> </w:t>
      </w:r>
      <w:r>
        <w:rPr>
          <w:iCs/>
          <w:i/>
        </w:rPr>
        <w:t xml:space="preserve">a</w:t>
      </w:r>
      <w:r>
        <w:rPr>
          <w:vertAlign w:val="subscript"/>
        </w:rPr>
        <w:t xml:space="preserve">τ</w:t>
      </w:r>
      <w:r>
        <w:t xml:space="preserve">, slope γ</w:t>
      </w:r>
      <w:r>
        <w:rPr>
          <w:vertAlign w:val="subscript"/>
        </w:rPr>
        <w:t xml:space="preserve">τ</w:t>
      </w:r>
      <w:r>
        <w:t xml:space="preserve">, and residual ε</w:t>
      </w:r>
      <w:r>
        <w:rPr>
          <w:iCs/>
          <w:i/>
          <w:vertAlign w:val="subscript"/>
        </w:rPr>
        <w:t xml:space="preserve">i</w:t>
      </w:r>
      <w:r>
        <w:rPr>
          <w:vertAlign w:val="subscript"/>
        </w:rPr>
        <w:t xml:space="preserve">,τ</w:t>
      </w:r>
      <w:r>
        <w:t xml:space="preserve">. The</w:t>
      </w:r>
      <w:r>
        <w:t xml:space="preserve"> </w:t>
      </w:r>
      <w:r>
        <w:rPr>
          <w:iCs/>
          <w:i/>
        </w:rPr>
        <w:t xml:space="preserve">t</w:t>
      </w:r>
      <w:r>
        <w:t xml:space="preserve">-statistic of γ̂ uses Newey and West’s (1987) standard errors (four lags, Bartlett weights, and no prewhitening) and 78 degrees of freedom. Supplementary Material S1 defines the 22 momentum, reversal, risk, liquidity, volume, and intraday characteristics. We also report long–short spreads between the extreme quintiles before and after a cost of 25 basis points per unit of traded value. The minimum detectable effect (MDE) at 80% power and a 5% two-sided level is MDE = (1.96 + 0.84) ŜE(γ̂) ≈ 2.8 ŜE(γ̂), with ŜE the Newey–West standard error.</w:t>
      </w:r>
    </w:p>
    <w:p>
      <w:pPr>
        <w:pStyle w:val="BodyText"/>
      </w:pPr>
      <w:r>
        <w:rPr>
          <w:iCs/>
          <w:i/>
        </w:rPr>
        <w:t xml:space="preserve">Multiplicity and survival.</w:t>
      </w:r>
      <w:r>
        <w:t xml:space="preserve"> </w:t>
      </w:r>
      <w:r>
        <w:t xml:space="preserve">The family has</w:t>
      </w:r>
      <w:r>
        <w:t xml:space="preserve"> </w:t>
      </w:r>
      <w:r>
        <w:rPr>
          <w:iCs/>
          <w:i/>
        </w:rPr>
        <w:t xml:space="preserve">m</w:t>
      </w:r>
      <w:r>
        <w:t xml:space="preserve"> </w:t>
      </w:r>
      <w:r>
        <w:t xml:space="preserve">= 26 tests: 22 characteristics and the ceiling and floor tests at the two horizons of Equation (4). With</w:t>
      </w:r>
      <w:r>
        <w:t xml:space="preserve"> </w:t>
      </w:r>
      <w:r>
        <w:rPr>
          <w:iCs/>
          <w:i/>
        </w:rPr>
        <w:t xml:space="preserve">p</w:t>
      </w:r>
      <w:r>
        <w:t xml:space="preserve">-values ordered as</w:t>
      </w:r>
      <w:r>
        <w:t xml:space="preserve"> </w:t>
      </w:r>
      <w:r>
        <w:rPr>
          <w:iCs/>
          <w:i/>
        </w:rPr>
        <w:t xml:space="preserve">p</w:t>
      </w:r>
      <w:r>
        <w:rPr>
          <w:vertAlign w:val="subscript"/>
        </w:rPr>
        <w:t xml:space="preserve">(1)</w:t>
      </w:r>
      <w:r>
        <w:t xml:space="preserve"> </w:t>
      </w:r>
      <w:r>
        <w:t xml:space="preserve">≤ … ≤</w:t>
      </w:r>
      <w:r>
        <w:t xml:space="preserve"> </w:t>
      </w:r>
      <w:r>
        <w:rPr>
          <w:iCs/>
          <w:i/>
        </w:rPr>
        <w:t xml:space="preserve">p</w:t>
      </w:r>
      <w:r>
        <w:rPr>
          <w:vertAlign w:val="subscript"/>
        </w:rPr>
        <w:t xml:space="preserve">(</w:t>
      </w:r>
      <w:r>
        <w:rPr>
          <w:iCs/>
          <w:i/>
          <w:vertAlign w:val="subscript"/>
        </w:rPr>
        <w:t xml:space="preserve">m</w:t>
      </w:r>
      <w:r>
        <w:rPr>
          <w:vertAlign w:val="subscript"/>
        </w:rPr>
        <w:t xml:space="preserve">)</w:t>
      </w:r>
      <w:r>
        <w:t xml:space="preserve">, the Benjamini–Hochberg (BH) adjusted</w:t>
      </w:r>
      <w:r>
        <w:t xml:space="preserve"> </w:t>
      </w:r>
      <w:r>
        <w:rPr>
          <w:iCs/>
          <w:i/>
        </w:rPr>
        <w:t xml:space="preserve">p</w:t>
      </w:r>
      <w:r>
        <w:t xml:space="preserve">-value at rank</w:t>
      </w:r>
      <w:r>
        <w:t xml:space="preserve"> </w:t>
      </w:r>
      <w:r>
        <w:rPr>
          <w:iCs/>
          <w:i/>
        </w:rPr>
        <w:t xml:space="preserve">r</w:t>
      </w:r>
      <w:r>
        <w:t xml:space="preserve"> </w:t>
      </w:r>
      <w:r>
        <w:t xml:space="preserve">is</w:t>
      </w:r>
    </w:p>
    <w:p>
      <w:pPr>
        <w:pStyle w:val="BodyText"/>
      </w:pPr>
      <m:oMathPara>
        <m:oMathParaPr>
          <m:jc m:val="center"/>
        </m:oMathParaPr>
        <m:oMath>
          <m:sSub>
            <m:e>
              <m:acc>
                <m:accPr>
                  <m:chr m:val="̃"/>
                </m:accPr>
                <m:e>
                  <m:r>
                    <m:t>p</m:t>
                  </m:r>
                </m:e>
              </m:acc>
            </m:e>
            <m:sub>
              <m:d>
                <m:dPr>
                  <m:begChr m:val="("/>
                  <m:endChr m:val=")"/>
                  <m:sepChr m:val=""/>
                  <m:grow/>
                </m:dPr>
                <m:e>
                  <m:r>
                    <m:t>r</m:t>
                  </m:r>
                </m:e>
              </m:d>
            </m:sub>
          </m:sSub>
          <m:r>
            <m:rPr>
              <m:sty m:val="p"/>
            </m:rPr>
            <m:t>=</m:t>
          </m:r>
          <m:limLow>
            <m:e>
              <m:r>
                <m:rPr>
                  <m:sty m:val="p"/>
                </m:rPr>
                <m:t>min</m:t>
              </m:r>
            </m:e>
            <m:lim>
              <m:r>
                <m:t>s</m:t>
              </m:r>
              <m:r>
                <m:rPr>
                  <m:sty m:val="p"/>
                </m:rPr>
                <m:t>≥</m:t>
              </m:r>
              <m:r>
                <m:t>r</m:t>
              </m:r>
            </m:lim>
          </m:limLow>
          <m:d>
            <m:dPr>
              <m:begChr m:val="{"/>
              <m:endChr m:val="}"/>
              <m:sepChr m:val=""/>
              <m:grow/>
            </m:dPr>
            <m:e>
              <m:r>
                <m:rPr>
                  <m:sty m:val="p"/>
                </m:rPr>
                <m:t>min</m:t>
              </m:r>
              <m:r>
                <m:t>​</m:t>
              </m:r>
              <m:d>
                <m:dPr>
                  <m:begChr m:val="("/>
                  <m:endChr m:val=")"/>
                  <m:sepChr m:val=""/>
                  <m:grow/>
                </m:dPr>
                <m:e>
                  <m:r>
                    <m:t>1</m:t>
                  </m:r>
                  <m:r>
                    <m:rPr>
                      <m:sty m:val="p"/>
                    </m:rPr>
                    <m:t>,</m:t>
                  </m:r>
                  <m:f>
                    <m:fPr>
                      <m:type m:val="bar"/>
                    </m:fPr>
                    <m:num>
                      <m:r>
                        <m:t>m</m:t>
                      </m:r>
                    </m:num>
                    <m:den>
                      <m:r>
                        <m:t>s</m:t>
                      </m:r>
                    </m:den>
                  </m:f>
                  <m:r>
                    <m:t> </m:t>
                  </m:r>
                  <m:sSub>
                    <m:e>
                      <m:r>
                        <m:t>p</m:t>
                      </m:r>
                    </m:e>
                    <m:sub>
                      <m:d>
                        <m:dPr>
                          <m:begChr m:val="("/>
                          <m:endChr m:val=")"/>
                          <m:sepChr m:val=""/>
                          <m:grow/>
                        </m:dPr>
                        <m:e>
                          <m:r>
                            <m:t>s</m:t>
                          </m:r>
                        </m:e>
                      </m:d>
                    </m:sub>
                  </m:sSub>
                </m:e>
              </m:d>
            </m:e>
          </m:d>
        </m:oMath>
      </m:oMathPara>
    </w:p>
    <w:p>
      <w:pPr>
        <w:pStyle w:val="FirstParagraph"/>
      </w:pPr>
      <w:r>
        <w:t xml:space="preserve">[[EQNUM:8]]</w:t>
      </w:r>
    </w:p>
    <w:p>
      <w:pPr>
        <w:pStyle w:val="BodyText"/>
      </w:pPr>
      <w:r>
        <w:t xml:space="preserve">We also report Holm’s (1979) adjustments and the |</w:t>
      </w:r>
      <w:r>
        <w:rPr>
          <w:iCs/>
          <w:i/>
        </w:rPr>
        <w:t xml:space="preserve">t</w:t>
      </w:r>
      <w:r>
        <w:t xml:space="preserve">| = 3 hurdle of Harvey et al. (2016). A test survives if</w:t>
      </w:r>
      <w:r>
        <w:t xml:space="preserve"> </w:t>
      </w:r>
      <w:r>
        <w:rPr>
          <w:iCs/>
          <w:i/>
        </w:rPr>
        <w:t xml:space="preserve">p̃</w:t>
      </w:r>
      <w:r>
        <w:t xml:space="preserve"> </w:t>
      </w:r>
      <w:r>
        <w:t xml:space="preserve">&lt; 0.05, which controls the FDR at 5%; if its signs agree in the discovery half (the first 39 weeks or events up to the median event date) and the confirmation half; and if its confirmation-half |</w:t>
      </w:r>
      <w:r>
        <w:rPr>
          <w:iCs/>
          <w:i/>
        </w:rPr>
        <w:t xml:space="preserve">t</w:t>
      </w:r>
      <w:r>
        <w:t xml:space="preserve">| exceeds 1.96. Lookbacks overlap with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 Section 3 reports the event tests under alternative family definitions.</w:t>
      </w:r>
    </w:p>
    <w:p>
      <w:pPr>
        <w:pStyle w:val="BodyText"/>
      </w:pPr>
      <w:r>
        <w:rPr>
          <w:iCs/>
          <w:i/>
        </w:rPr>
        <w:t xml:space="preserve">Analysis plan.</w:t>
      </w:r>
      <w:r>
        <w:t xml:space="preserve"> </w:t>
      </w:r>
      <w:r>
        <w:t xml:space="preserve">We fixed the family, estimators, multiplicity control, and survival rule in a written analysis plan before computing the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t xml:space="preserve"> </w:t>
      </w:r>
      <w:r>
        <w:rPr>
          <w:iCs/>
          <w:i/>
        </w:rPr>
        <w:t xml:space="preserve">d</w:t>
      </w:r>
      <w:r>
        <w:t xml:space="preserve">+1 to</w:t>
      </w:r>
      <w:r>
        <w:t xml:space="preserve"> </w:t>
      </w:r>
      <w:r>
        <w:rPr>
          <w:iCs/>
          <w:i/>
        </w:rPr>
        <w:t xml:space="preserve">d</w:t>
      </w:r>
      <w:r>
        <w:t xml:space="preserve">+5 (not</w:t>
      </w:r>
      <w:r>
        <w:t xml:space="preserve"> </w:t>
      </w:r>
      <w:r>
        <w:rPr>
          <w:iCs/>
          <w:i/>
        </w:rPr>
        <w:t xml:space="preserve">d</w:t>
      </w:r>
      <w:r>
        <w:t xml:space="preserve">+2 to</w:t>
      </w:r>
      <w:r>
        <w:t xml:space="preserve"> </w:t>
      </w:r>
      <w:r>
        <w:rPr>
          <w:iCs/>
          <w:i/>
        </w:rPr>
        <w:t xml:space="preserve">d</w:t>
      </w:r>
      <w: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vertAlign w:val="subscript"/>
        </w:rPr>
        <w:t xml:space="preserve">2</w:t>
      </w:r>
      <w:r>
        <w:t xml:space="preserve"> </w:t>
      </w:r>
      <w:r>
        <w:t xml:space="preserve">to H</w:t>
      </w:r>
      <w:r>
        <w:rPr>
          <w:vertAlign w:val="subscript"/>
        </w:rPr>
        <w:t xml:space="preserve">4</w:t>
      </w:r>
      <w:r>
        <w:t xml:space="preserve"> </w:t>
      </w:r>
      <w:r>
        <w:t xml:space="preserve">rest on them: decomposition, next-open returns, control group, sub-limit comparison, exact hits, two-way clustering, subsamples, terciles, platform split, and outlier exclusion. We also screened several candidate ideas on the same data before choosing this one, so the effect sizes may be overstated.</w:t>
      </w:r>
    </w:p>
    <w:p>
      <w:pPr>
        <w:pStyle w:val="BodyText"/>
      </w:pPr>
      <w:r>
        <w:rPr>
          <w:iCs/>
          <w:i/>
        </w:rPr>
        <w:t xml:space="preserve">Software and code.</w:t>
      </w:r>
      <w:r>
        <w:t xml:space="preserve"> </w:t>
      </w:r>
      <w:r>
        <w:t xml:space="preserve">One R 4.3.3 script (packages sandwich, lmtest, and ggplot2) reproduces every number, table, and figure; code, data, and output tables are public (Section 6.5).</w:t>
      </w:r>
    </w:p>
    <w:bookmarkEnd w:id="23"/>
    <w:bookmarkEnd w:id="24"/>
    <w:bookmarkStart w:id="25" w:name="results"/>
    <w:p>
      <w:pPr>
        <w:pStyle w:val="Heading1"/>
      </w:pPr>
      <w:r>
        <w:t xml:space="preserve">3. Results</w:t>
      </w:r>
    </w:p>
    <w:p>
      <w:pPr>
        <w:pStyle w:val="FirstParagraph"/>
      </w:pPr>
      <w:r>
        <w:t xml:space="preserve">The event sample contains 3,187 ceiling events on 446 dates and 2,105 floor events on 319 dates.</w:t>
      </w:r>
    </w:p>
    <w:p>
      <w:pPr>
        <w:pStyle w:val="BodyText"/>
      </w:pPr>
      <w:r>
        <w:t xml:space="preserve">Figure 1 plots the</w:t>
      </w:r>
      <w:r>
        <w:t xml:space="preserve"> </w:t>
      </w:r>
      <w:r>
        <w:rPr>
          <w:iCs/>
          <w:i/>
        </w:rPr>
        <w:t xml:space="preserve">t</w:t>
      </w:r>
      <w:r>
        <w:t xml:space="preserve">-statistics of the 22 slopes γ̂ in Equation (7): none reaches |</w:t>
      </w:r>
      <w:r>
        <w:rPr>
          <w:iCs/>
          <w:i/>
        </w:rPr>
        <w:t xml:space="preserve">t</w:t>
      </w:r>
      <w:r>
        <w:t xml:space="preserve">| = 3 in any sample or 1.96 in the full sample, and none survives the BH control. The largest full-sample |</w:t>
      </w:r>
      <w:r>
        <w:rPr>
          <w:iCs/>
          <w:i/>
        </w:rPr>
        <w:t xml:space="preserve">t</w:t>
      </w:r>
      <w:r>
        <w:t xml:space="preserve">| is 1.45, for 3-month and idiosyncratic momentum (confirmation-half</w:t>
      </w:r>
      <w:r>
        <w:t xml:space="preserve"> </w:t>
      </w:r>
      <w:r>
        <w:rPr>
          <w:iCs/>
          <w:i/>
        </w:rPr>
        <w:t xml:space="preserve">t</w:t>
      </w:r>
      <w:r>
        <w:t xml:space="preserve"> </w:t>
      </w:r>
      <w:r>
        <w:t xml:space="preserve">of 1.17 and 1.14). After the 25-basis-point cost, 18 of the 22 long–short quintile spreads are negative. With 79 weekly cross-sections, the MDE at 80% power is 0.12 to 0.31 percentage points per week per standard deviation; therefore, the null excludes only large effects. With eight Newey–West lags, the largest |</w:t>
      </w:r>
      <w:r>
        <w:rPr>
          <w:iCs/>
          <w:i/>
        </w:rPr>
        <w:t xml:space="preserve">t</w:t>
      </w:r>
      <w:r>
        <w:t xml:space="preserve">| is 1.79, and dropping the least liquid 20% of stocks leaves it at 1.62.</w:t>
      </w:r>
    </w:p>
    <w:p>
      <w:pPr>
        <w:pStyle w:val="BodyText"/>
      </w:pPr>
      <w:r>
        <w:t xml:space="preserve">Without market capitalization or accounting data, we cannot test the size and earnings-to-price effects that Huang et al. (2023) found in Vietnam; therefore, our null result does not contradict theirs. A short sample, which leaves a premium of a tenth of a percentage point per week below the MDE, and limits that censor the highs and lows of range-based characteristics can each produce the null, and we draw no conclusion about market efficiency.</w:t>
      </w:r>
    </w:p>
    <w:p>
      <w:pPr>
        <w:pStyle w:val="BodyText"/>
      </w:pPr>
      <w:r>
        <w:t xml:space="preserve">Table 1 presents the results of the event tests. Ceiling closes earn a market-adjusted return of 1.66% on day</w:t>
      </w:r>
      <w:r>
        <w:t xml:space="preserve"> </w:t>
      </w:r>
      <w:r>
        <w:rPr>
          <w:iCs/>
          <w:i/>
        </w:rPr>
        <w:t xml:space="preserve">d</w:t>
      </w:r>
      <w:r>
        <w:t xml:space="preserve">+1 and 1.45% over days</w:t>
      </w:r>
      <w:r>
        <w:t xml:space="preserve"> </w:t>
      </w:r>
      <w:r>
        <w:rPr>
          <w:iCs/>
          <w:i/>
        </w:rPr>
        <w:t xml:space="preserve">d</w:t>
      </w:r>
      <w:r>
        <w:t xml:space="preserve">+1 to</w:t>
      </w:r>
      <w:r>
        <w:t xml:space="preserve"> </w:t>
      </w:r>
      <w:r>
        <w:rPr>
          <w:iCs/>
          <w:i/>
        </w:rPr>
        <w:t xml:space="preserve">d</w:t>
      </w:r>
      <w:r>
        <w:t xml:space="preserve">+5, and floor closes earn −0.71% and −1.76%. All four tests survive the BH control (Equation (8); adjusted</w:t>
      </w:r>
      <w:r>
        <w:t xml:space="preserve"> </w:t>
      </w:r>
      <w:r>
        <w:rPr>
          <w:iCs/>
          <w:i/>
        </w:rPr>
        <w:t xml:space="preserve">p</w:t>
      </w:r>
      <w:r>
        <w:t xml:space="preserve">-values of at most 0.0004), maintain their signs in both halves, and exceed |</w:t>
      </w:r>
      <w:r>
        <w:rPr>
          <w:iCs/>
          <w:i/>
        </w:rPr>
        <w:t xml:space="preserve">t</w:t>
      </w:r>
      <w:r>
        <w:t xml:space="preserve">| = 1.96 in the confirmation half. Clustering by calendar week or 10-day block, with a</w:t>
      </w:r>
      <w:r>
        <w:t xml:space="preserve"> </w:t>
      </w:r>
      <w:r>
        <w:rPr>
          <w:iCs/>
          <w:i/>
        </w:rPr>
        <w:t xml:space="preserve">t</w:t>
      </w:r>
      <w:r>
        <w:t xml:space="preserve"> </w:t>
      </w:r>
      <w:r>
        <w:t xml:space="preserve">reference, leaves all four significant. The floor five-day test clears the confirmation criterion by the smallest margin (</w:t>
      </w:r>
      <w:r>
        <w:rPr>
          <w:iCs/>
          <w:i/>
        </w:rPr>
        <w:t xml:space="preserve">t</w:t>
      </w:r>
      <w:r>
        <w:t xml:space="preserve"> </w:t>
      </w:r>
      <w:r>
        <w:t xml:space="preserve">= −2.22 with week clusters), and all four tests survive the rule reapplied with week-clustered statistics.</w:t>
      </w:r>
    </w:p>
    <w:p>
      <w:pPr>
        <w:pStyle w:val="BodyText"/>
      </w:pPr>
      <w:r>
        <w:t xml:space="preserve">For ceilings, the five-day result comes from the first day: over days</w:t>
      </w:r>
      <w:r>
        <w:t xml:space="preserve"> </w:t>
      </w:r>
      <w:r>
        <w:rPr>
          <w:iCs/>
          <w:i/>
        </w:rPr>
        <w:t xml:space="preserve">d</w:t>
      </w:r>
      <w:r>
        <w:t xml:space="preserve">+2 to</w:t>
      </w:r>
      <w:r>
        <w:t xml:space="preserve"> </w:t>
      </w:r>
      <w:r>
        <w:rPr>
          <w:iCs/>
          <w:i/>
        </w:rPr>
        <w:t xml:space="preserve">d</w:t>
      </w:r>
      <w:r>
        <w:t xml:space="preserve">+5, the ceiling return is −0.24% (</w:t>
      </w:r>
      <w:r>
        <w:rPr>
          <w:iCs/>
          <w:i/>
        </w:rPr>
        <w:t xml:space="preserve">t</w:t>
      </w:r>
      <w:r>
        <w:t xml:space="preserve"> </w:t>
      </w:r>
      <w:r>
        <w:t xml:space="preserve">= −1.53). After floor closes, days</w:t>
      </w:r>
      <w:r>
        <w:t xml:space="preserve"> </w:t>
      </w:r>
      <w:r>
        <w:rPr>
          <w:iCs/>
          <w:i/>
        </w:rPr>
        <w:t xml:space="preserve">d</w:t>
      </w:r>
      <w:r>
        <w:t xml:space="preserve">+2 to</w:t>
      </w:r>
      <w:r>
        <w:t xml:space="preserve"> </w:t>
      </w:r>
      <w:r>
        <w:rPr>
          <w:iCs/>
          <w:i/>
        </w:rPr>
        <w:t xml:space="preserve">d</w:t>
      </w:r>
      <w:r>
        <w:t xml:space="preserve">+5 add −1.10% (</w:t>
      </w:r>
      <w:r>
        <w:rPr>
          <w:iCs/>
          <w:i/>
        </w:rPr>
        <w:t xml:space="preserve">t</w:t>
      </w:r>
      <w:r>
        <w:t xml:space="preserve"> </w:t>
      </w:r>
      <w:r>
        <w:t xml:space="preserve">= −2.91), but the confirmation-half week-clustered</w:t>
      </w:r>
      <w:r>
        <w:t xml:space="preserve"> </w:t>
      </w:r>
      <w:r>
        <w:rPr>
          <w:iCs/>
          <w:i/>
        </w:rPr>
        <w:t xml:space="preserve">t</w:t>
      </w:r>
      <w:r>
        <w:t xml:space="preserve"> </w:t>
      </w:r>
      <w:r>
        <w:t xml:space="preserve">is −1.14. With days</w:t>
      </w:r>
      <w:r>
        <w:t xml:space="preserve"> </w:t>
      </w:r>
      <w:r>
        <w:rPr>
          <w:iCs/>
          <w:i/>
        </w:rPr>
        <w:t xml:space="preserve">d</w:t>
      </w:r>
      <w:r>
        <w:t xml:space="preserve">+2 to</w:t>
      </w:r>
      <w:r>
        <w:t xml:space="preserve"> </w:t>
      </w:r>
      <w:r>
        <w:rPr>
          <w:iCs/>
          <w:i/>
        </w:rPr>
        <w:t xml:space="preserve">d</w:t>
      </w:r>
      <w:r>
        <w:t xml:space="preserve">+5 as the second horizon, the ceiling test would fail, and the floor test would fail the confirmation criterion. Ceiling closes carry a one-day effect, whereas floor closes carry a one-day effect plus some later drift. These tests support H</w:t>
      </w:r>
      <w:r>
        <w:rPr>
          <w:vertAlign w:val="subscript"/>
        </w:rPr>
        <w:t xml:space="preserve">1</w:t>
      </w:r>
      <w:r>
        <w:t xml:space="preserve">: limit closes predict the next day’s abnormal return, whereas none of the 22 characteristics passes the same screen at its weekly horizon.</w:t>
      </w:r>
    </w:p>
    <w:p>
      <w:pPr>
        <w:pStyle w:val="BodyText"/>
      </w:pPr>
      <w:r>
        <w:t xml:space="preserve">Table 2 decomposes the next-day return, as in Equation (5). After a ceiling close, the overnight gap is 2.24% (two-way-clustered</w:t>
      </w:r>
      <w:r>
        <w:t xml:space="preserve"> </w:t>
      </w:r>
      <w:r>
        <w:rPr>
          <w:iCs/>
          <w:i/>
        </w:rPr>
        <w:t xml:space="preserve">t</w:t>
      </w:r>
      <w:r>
        <w:t xml:space="preserve"> </w:t>
      </w:r>
      <w:r>
        <w:t xml:space="preserve">= 9.7) and the intraday return is −0.54% (</w:t>
      </w:r>
      <w:r>
        <w:rPr>
          <w:iCs/>
          <w:i/>
        </w:rPr>
        <w:t xml:space="preserve">t</w:t>
      </w:r>
      <w:r>
        <w:t xml:space="preserve"> </w:t>
      </w:r>
      <w:r>
        <w:t xml:space="preserve">= −3.5): the session reverses about 24% of the gap, and the close-to-close effect is positive because the gap exceeds the giveback. The effect occurs in the opening auction, as H</w:t>
      </w:r>
      <w:r>
        <w:rPr>
          <w:vertAlign w:val="subscript"/>
        </w:rPr>
        <w:t xml:space="preserve">2</w:t>
      </w:r>
      <w:r>
        <w:t xml:space="preserve"> </w:t>
      </w:r>
      <w:r>
        <w:t xml:space="preserve">predicts. A stock that closes at its ceiling may carry unfilled buy orders into the night; those orders and any overnight news would set the opening price, and the intraday reversal suggests that part of that price reflects transient demand.</w:t>
      </w:r>
    </w:p>
    <w:p>
      <w:pPr>
        <w:pStyle w:val="BodyText"/>
      </w:pPr>
      <w:r>
        <w:t xml:space="preserve">After a floor close, the gap is −0.97% (</w:t>
      </w:r>
      <w:r>
        <w:rPr>
          <w:iCs/>
          <w:i/>
        </w:rPr>
        <w:t xml:space="preserve">t</w:t>
      </w:r>
      <w:r>
        <w:t xml:space="preserve"> </w:t>
      </w:r>
      <w:r>
        <w:t xml:space="preserve">= −4.6). The intraday return is a weak reversal of 0.30%.</w:t>
      </w:r>
    </w:p>
    <w:p>
      <w:pPr>
        <w:pStyle w:val="BodyText"/>
      </w:pPr>
      <w:r>
        <w:t xml:space="preserve">The ceiling gap holds for exact limit hits (2.79%) and for the first day of a streak of exact hits (2.39%). Near hits show a smaller gap (1.67%) and no significant intraday return. However, their median day-</w:t>
      </w:r>
      <w:r>
        <w:rPr>
          <w:iCs/>
          <w:i/>
        </w:rPr>
        <w:t xml:space="preserve">d</w:t>
      </w:r>
      <w:r>
        <w:t xml:space="preserve"> </w:t>
      </w:r>
      <w:r>
        <w:t xml:space="preserve">return is 6.89%, almost the same as the 6.90% of exact hits, and 83% of their closes are not multiples of the tick size. This points to later price adjustment by the vendor rather than to closes below the limit. The split is therefore weighted toward higher-priced stocks, where the tick is coarser, and we do not read the difference as a gradient toward the limit.</w:t>
      </w:r>
    </w:p>
    <w:p>
      <w:pPr>
        <w:pStyle w:val="BodyText"/>
      </w:pPr>
      <w:r>
        <w:t xml:space="preserve">The ceiling gap appears in both halves of the sample and on days locked at one price from open to close. It also appears in each tercile of the 60-day average dollar volume; in the most liquid tercile it is 1.52%. Against same-date controls, the ceiling gap is 2.70%.</w:t>
      </w:r>
    </w:p>
    <w:p>
      <w:pPr>
        <w:pStyle w:val="BodyText"/>
      </w:pPr>
      <w:r>
        <w:t xml:space="preserve">The floor effect is less robust. Against same-date controls, the floor close-to-close return is −1.65%, so its size depends on the benchmark. Floor events also cluster on market-wide down days: excluding days on which the market fell by more than 2% removes 1,371 of the 2,111 floor events. The floor gap is also not significant in the least liquid tercile (</w:t>
      </w:r>
      <w:r>
        <w:rPr>
          <w:iCs/>
          <w:i/>
        </w:rPr>
        <w:t xml:space="preserve">t</w:t>
      </w:r>
      <w:r>
        <w:t xml:space="preserve"> </w:t>
      </w:r>
      <w:r>
        <w:t xml:space="preserve">= −1.0).</w:t>
      </w:r>
    </w:p>
    <w:p>
      <w:pPr>
        <w:pStyle w:val="BodyText"/>
      </w:pPr>
      <w: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iCs/>
          <w:i/>
        </w:rPr>
        <w:t xml:space="preserve">t</w:t>
      </w:r>
      <w:r>
        <w:t xml:space="preserve"> </w:t>
      </w:r>
      <w:r>
        <w:t xml:space="preserve">= −2.7) and −0.53% against same-date controls (</w:t>
      </w:r>
      <w:r>
        <w:rPr>
          <w:iCs/>
          <w:i/>
        </w:rPr>
        <w:t xml:space="preserve">t</w:t>
      </w:r>
      <w:r>
        <w:t xml:space="preserve"> </w:t>
      </w:r>
      <w:r>
        <w:t xml:space="preserve">= −1.8), which supports H</w:t>
      </w:r>
      <w:r>
        <w:rPr>
          <w:vertAlign w:val="subscript"/>
        </w:rPr>
        <w:t xml:space="preserve">4</w:t>
      </w:r>
      <w: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iCs/>
          <w:i/>
        </w:rPr>
        <w:t xml:space="preserve">t</w:t>
      </w:r>
      <w:r>
        <w:t xml:space="preserve"> </w:t>
      </w:r>
      <w:r>
        <w:t xml:space="preserve">= −1.7), which is not significant at the 5% level.</w:t>
      </w:r>
    </w:p>
    <w:p>
      <w:pPr>
        <w:pStyle w:val="BodyText"/>
      </w:pPr>
      <w:r>
        <w:t xml:space="preserve">Figure 2 plots the three next-day measures against the size of the day-</w:t>
      </w:r>
      <w:r>
        <w:rPr>
          <w:iCs/>
          <w:i/>
        </w:rPr>
        <w:t xml:space="preserve">d</w:t>
      </w:r>
      <w:r>
        <w:t xml:space="preserve"> </w:t>
      </w:r>
      <w:r>
        <w:t xml:space="preserve">move. Inside the band, the close-to-close relation is negative, a short-term reversal. At the limit, the relation breaks, and the overnight gap jumps up at the ceiling and down at the floor.</w:t>
      </w:r>
    </w:p>
    <w:p>
      <w:pPr>
        <w:pStyle w:val="BodyText"/>
      </w:pPr>
      <w:r>
        <w:t xml:space="preserve">Table 3 quantifies the break. Ceiling closers have a gap 2.66 percentage points larger than stocks that rose 5% to 6.5% (</w:t>
      </w:r>
      <w:r>
        <w:rPr>
          <w:iCs/>
          <w:i/>
        </w:rPr>
        <w:t xml:space="preserve">t</w:t>
      </w:r>
      <w:r>
        <w:t xml:space="preserve"> </w:t>
      </w:r>
      <w:r>
        <w:t xml:space="preserve">= 14.0). Their intraday return is 0.31 points lower. Floor closers have a gap 1.59 points lower than stocks that fell 5% to 6.5% (</w:t>
      </w:r>
      <w:r>
        <w:rPr>
          <w:iCs/>
          <w:i/>
        </w:rPr>
        <w:t xml:space="preserve">t</w:t>
      </w:r>
      <w:r>
        <w:t xml:space="preserve"> </w:t>
      </w:r>
      <w:r>
        <w:t xml:space="preserve">= −9.7).</w:t>
      </w:r>
    </w:p>
    <w:p>
      <w:pPr>
        <w:pStyle w:val="BodyText"/>
      </w:pPr>
      <w:r>
        <w:t xml:space="preserve">Because the event rule requires a close at the day’s high (low), we repeat the comparison with stocks that also closed at their high (low). The ceiling gap is then 3.14 points larger (</w:t>
      </w:r>
      <w:r>
        <w:rPr>
          <w:iCs/>
          <w:i/>
        </w:rPr>
        <w:t xml:space="preserve">t</w:t>
      </w:r>
      <w:r>
        <w:t xml:space="preserve"> </w:t>
      </w:r>
      <w:r>
        <w:t xml:space="preserve">= 14.5), and the floor gap is 1.81 points lower. A strong close therefore does not explain the contrast, which supports H</w:t>
      </w:r>
      <w:r>
        <w:rPr>
          <w:vertAlign w:val="subscript"/>
        </w:rPr>
        <w:t xml:space="preserve">3</w:t>
      </w:r>
      <w:r>
        <w:t xml:space="preserve">. The comparison is an association around a rule-based threshold, not a regression-discontinuity design, and stocks that reach the limit may differ in news content.</w:t>
      </w:r>
    </w:p>
    <w:p>
      <w:pPr>
        <w:pStyle w:val="BodyText"/>
      </w:pPr>
      <w:r>
        <w:t xml:space="preserve">Three readings fit the pattern, and our data do not separate them: (1) demand or supply that the limit blocked on day</w:t>
      </w:r>
      <w:r>
        <w:t xml:space="preserve"> </w:t>
      </w:r>
      <w:r>
        <w:rPr>
          <w:iCs/>
          <w:i/>
        </w:rPr>
        <w:t xml:space="preserve">d</w:t>
      </w:r>
      <w:r>
        <w:t xml:space="preserve"> </w:t>
      </w:r>
      <w:r>
        <w:t xml:space="preserve">clears at the next opening, the delayed price discovery of Kim and Rhee (1997); (2) news and retail attention persist overnight and produce the overnight gain and intraday reversal of attention-grabbing stocks (Berkman et al., 2012), with or without a limit; and (3) the opening auction overshoots and corrects within the day. Lacking announcements, order books, and limit-free stock-days, we run two partial checks. First, the ceiling gap rises across terciles of day-</w:t>
      </w:r>
      <w:r>
        <w:rPr>
          <w:iCs/>
          <w:i/>
        </w:rPr>
        <w:t xml:space="preserve">d</w:t>
      </w:r>
      <w:r>
        <w:t xml:space="preserve"> </w:t>
      </w:r>
      <w:r>
        <w:t xml:space="preserve">volume relative to its prior 60-day mean (1.97%, 2.16%, and 2.63%) and of the prior 20-day return (1.41%, 2.18%, and 3.16%), which fits readings (1) and (2) alike, and stays positive and significant in the lowest tercile of each proxy (</w:t>
      </w:r>
      <w:r>
        <w:rPr>
          <w:iCs/>
          <w:i/>
        </w:rPr>
        <w:t xml:space="preserve">t</w:t>
      </w:r>
      <w:r>
        <w:t xml:space="preserve"> </w:t>
      </w:r>
      <w:r>
        <w:t xml:space="preserve">= 4.8 and 4.2).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t xml:space="preserve"> </w:t>
      </w:r>
      <w:r>
        <w:t xml:space="preserve">“</w:t>
      </w:r>
      <w:r>
        <w:t xml:space="preserve">break at the limit</w:t>
      </w:r>
      <w:r>
        <w:t xml:space="preserve">”</w:t>
      </w:r>
      <w:r>
        <w:t xml:space="preserve"> </w:t>
      </w:r>
      <w:r>
        <w:t xml:space="preserve">is a description and delayed price discovery one hypothesis. Testing the magnet effect (Chen et al., 2024; Cho et al., 2003) requires intraday prices, which we lack.</w:t>
      </w:r>
    </w:p>
    <w:p>
      <w:pPr>
        <w:pStyle w:val="BodyText"/>
      </w:pPr>
      <w:r>
        <w:t xml:space="preserve">Table 4 splits the events on May 5, 2025, when the HOSE moved to the KRX platform.</w:t>
      </w:r>
    </w:p>
    <w:p>
      <w:pPr>
        <w:pStyle w:val="BodyText"/>
      </w:pPr>
      <w:r>
        <w:t xml:space="preserve">The ceiling gap, followed by an intraday reversal, appears in both periods: 1.65% before and 2.49% after (difference</w:t>
      </w:r>
      <w:r>
        <w:t xml:space="preserve"> </w:t>
      </w:r>
      <w:r>
        <w:rPr>
          <w:iCs/>
          <w:i/>
        </w:rPr>
        <w:t xml:space="preserve">t</w:t>
      </w:r>
      <w:r>
        <w:t xml:space="preserve"> </w:t>
      </w:r>
      <w:r>
        <w:t xml:space="preserve">= 1.6). The floor gap is more negative after the move, at −0.42% before and −1.37% after (difference</w:t>
      </w:r>
      <w:r>
        <w:t xml:space="preserve"> </w:t>
      </w:r>
      <w:r>
        <w:rPr>
          <w:iCs/>
          <w:i/>
        </w:rPr>
        <w:t xml:space="preserve">t</w:t>
      </w:r>
      <w:r>
        <w:t xml:space="preserve"> </w:t>
      </w:r>
      <w:r>
        <w:t xml:space="preserve">= −3.2). After the move, the intraday return after floor closes turns positive (0.64%). The floor drift from the next open to day</w:t>
      </w:r>
      <w:r>
        <w:t xml:space="preserve"> </w:t>
      </w:r>
      <w:r>
        <w:rPr>
          <w:iCs/>
          <w:i/>
        </w:rPr>
        <w:t xml:space="preserve">d</w:t>
      </w:r>
      <w:r>
        <w:t xml:space="preserve">+5 exists only before the move (−1.73% before and −0.15% after).</w:t>
      </w:r>
    </w:p>
    <w:p>
      <w:pPr>
        <w:pStyle w:val="BodyText"/>
      </w:pPr>
      <w:r>
        <w:t xml:space="preserve">The change coincides with a different market period. The post-change sample accounts for 71% of the ceiling events and 58% of the floor events. Before the change, neither the ceiling close-to-close return (</w:t>
      </w:r>
      <w:r>
        <w:rPr>
          <w:iCs/>
          <w:i/>
        </w:rPr>
        <w:t xml:space="preserve">t</w:t>
      </w:r>
      <w:r>
        <w:t xml:space="preserve"> </w:t>
      </w:r>
      <w:r>
        <w:t xml:space="preserve">= 1.0) nor the floor gap (</w:t>
      </w:r>
      <w:r>
        <w:rPr>
          <w:iCs/>
          <w:i/>
        </w:rPr>
        <w:t xml:space="preserve">t</w:t>
      </w:r>
      <w:r>
        <w:t xml:space="preserve"> </w:t>
      </w:r>
      <w:r>
        <w:t xml:space="preserve">= −1.9) is significant at the 5% level. The full-sample significance of these two measures therefore rests mainly on post-change events. We cannot attribute the differences between the periods to the auction rules.</w:t>
      </w:r>
    </w:p>
    <w:p>
      <w:pPr>
        <w:pStyle w:val="BodyText"/>
      </w:pPr>
      <w:r>
        <w:t xml:space="preserve">Because the events are unbalanced in time, Table 5 reports them by calendar quarter. The ceiling gap is positive and significant in each of the eight quarters (</w:t>
      </w:r>
      <w:r>
        <w:rPr>
          <w:iCs/>
          <w:i/>
        </w:rPr>
        <w:t xml:space="preserve">t</w:t>
      </w:r>
      <w:r>
        <w:t xml:space="preserve"> </w:t>
      </w:r>
      <w:r>
        <w:t xml:space="preserve">from 2.5 to 16.8). The floor gap is negative in every quarter and significant at the 5% level in seven of them.</w:t>
      </w:r>
    </w:p>
    <w:p>
      <w:pPr>
        <w:pStyle w:val="BodyText"/>
      </w:pPr>
      <w:r>
        <w:t xml:space="preserve">We also move the break date to the first trading day of each month from January 2025 to April 2026. These placebo dates give ceiling-gap differences between −0.45 and 0.72 percentage points, all with |</w:t>
      </w:r>
      <w:r>
        <w:rPr>
          <w:iCs/>
          <w:i/>
        </w:rPr>
        <w:t xml:space="preserve">t</w:t>
      </w:r>
      <w:r>
        <w:t xml:space="preserve">| of at most 1.4. The split at May 5, 2025, gives the largest difference, 0.85 points, but it is not significant either (</w:t>
      </w:r>
      <w:r>
        <w:rPr>
          <w:iCs/>
          <w:i/>
        </w:rPr>
        <w:t xml:space="preserve">t</w:t>
      </w:r>
      <w:r>
        <w:t xml:space="preserve"> </w:t>
      </w:r>
      <w:r>
        <w:t xml:space="preserve">= 1.6). For floors, the difference is positive at the four placebo dates before the platform change and negative at 11 of the 11 later ones. The split at May 5, 2025, gives −0.95 points (</w:t>
      </w:r>
      <w:r>
        <w:rPr>
          <w:iCs/>
          <w:i/>
        </w:rPr>
        <w:t xml:space="preserve">t</w:t>
      </w:r>
      <w:r>
        <w:t xml:space="preserve"> </w:t>
      </w:r>
      <w:r>
        <w:t xml:space="preserve">= −3.2), close to the placebo dates that follow it. Table 5 shows no trend in the floor gap, but the floor gap is weak in 2025-Q2 (−0.34%), the quarter with the most floor events (802). The placebo dates therefore cannot separate a break at the platform change from a shift specific to that quarter.</w:t>
      </w:r>
    </w:p>
    <w:p>
      <w:pPr>
        <w:pStyle w:val="BodyText"/>
      </w:pPr>
      <w:r>
        <w:t xml:space="preserve">A difference-in-differences regression compares limit closes with 5–6.5% movers that also closed at the extreme (repository table C31). For ceilings, the excess gap was 2.91 percentage points before the change (</w:t>
      </w:r>
      <w:r>
        <w:rPr>
          <w:iCs/>
          <w:i/>
        </w:rPr>
        <w:t xml:space="preserve">t</w:t>
      </w:r>
      <w:r>
        <w:t xml:space="preserve"> </w:t>
      </w:r>
      <w:r>
        <w:t xml:space="preserve">= 6.2) and changed by 0.38 points after it (</w:t>
      </w:r>
      <w:r>
        <w:rPr>
          <w:iCs/>
          <w:i/>
        </w:rPr>
        <w:t xml:space="preserve">t</w:t>
      </w:r>
      <w:r>
        <w:t xml:space="preserve"> </w:t>
      </w:r>
      <w:r>
        <w:t xml:space="preserve">= 0.8). For floors, the excess gap was −1.62 points before (</w:t>
      </w:r>
      <w:r>
        <w:rPr>
          <w:iCs/>
          <w:i/>
        </w:rPr>
        <w:t xml:space="preserve">t</w:t>
      </w:r>
      <w:r>
        <w:t xml:space="preserve"> </w:t>
      </w:r>
      <w:r>
        <w:t xml:space="preserve">= −6.6) and changed by −0.49 points (</w:t>
      </w:r>
      <w:r>
        <w:rPr>
          <w:iCs/>
          <w:i/>
        </w:rPr>
        <w:t xml:space="preserve">t</w:t>
      </w:r>
      <w:r>
        <w:t xml:space="preserve"> </w:t>
      </w:r>
      <w:r>
        <w:t xml:space="preserve">= −1.5). The break at the limit is therefore present before the change and does not depend on the post-change period, although the significance of the raw ceiling close-to-close return and of the raw floor gap does (Table 4). These comparisons describe timing, not an effect of the auction rules.</w:t>
      </w:r>
    </w:p>
    <w:p>
      <w:pPr>
        <w:pStyle w:val="BodyText"/>
      </w:pPr>
      <w: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w:t>
      </w:r>
    </w:p>
    <w:p>
      <w:pPr>
        <w:pStyle w:val="BodyText"/>
      </w:pPr>
      <w:r>
        <w:t xml:space="preserve">To bound the effect of a wider search, let</w:t>
      </w:r>
      <w:r>
        <w:t xml:space="preserve"> </w:t>
      </w:r>
      <w:r>
        <w:rPr>
          <w:iCs/>
          <w:i/>
        </w:rPr>
        <w:t xml:space="preserve">p</w:t>
      </w:r>
      <w:r>
        <w:rPr>
          <w:vertAlign w:val="subscript"/>
        </w:rPr>
        <w:t xml:space="preserve">max</w:t>
      </w:r>
      <w:r>
        <w:t xml:space="preserve"> </w:t>
      </w:r>
      <w:r>
        <w:t xml:space="preserve">be the largest event-test</w:t>
      </w:r>
      <w:r>
        <w:t xml:space="preserve"> </w:t>
      </w:r>
      <w:r>
        <w:rPr>
          <w:iCs/>
          <w:i/>
        </w:rPr>
        <w:t xml:space="preserve">p</w:t>
      </w:r>
      <w:r>
        <w:t xml:space="preserve">-value computed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All four event tests survive a Bonferroni correction at 5% in families of up to</w:t>
      </w:r>
      <w:r>
        <w:t xml:space="preserve"> </w:t>
      </w:r>
      <w:r>
        <w:rPr>
          <w:iCs/>
          <w:i/>
        </w:rPr>
        <w:t xml:space="preserve">m</w:t>
      </w:r>
      <w:r>
        <w:rPr>
          <w:vertAlign w:val="subscript"/>
        </w:rPr>
        <w:t xml:space="preserve">max</w:t>
      </w:r>
      <w:r>
        <w:t xml:space="preserve"> </w:t>
      </w:r>
      <w:r>
        <w:t xml:space="preserve">= ⌊ 0.05 /</w:t>
      </w:r>
      <w:r>
        <w:t xml:space="preserve"> </w:t>
      </w:r>
      <w:r>
        <w:rPr>
          <w:iCs/>
          <w:i/>
        </w:rPr>
        <w:t xml:space="preserve">p</w:t>
      </w:r>
      <w:r>
        <w:rPr>
          <w:vertAlign w:val="subscript"/>
        </w:rPr>
        <w:t xml:space="preserve">max</w:t>
      </w:r>
      <w:r>
        <w:t xml:space="preserve"> </w:t>
      </w:r>
      <w:r>
        <w:t xml:space="preserve">⌋ tests: 683 with date clusters and 125 with calendar-week clusters (</w:t>
      </w:r>
      <w:r>
        <w:rPr>
          <w:iCs/>
          <w:i/>
        </w:rPr>
        <w:t xml:space="preserve">p</w:t>
      </w:r>
      <w:r>
        <w:rPr>
          <w:vertAlign w:val="subscript"/>
        </w:rPr>
        <w:t xml:space="preserve">max</w:t>
      </w:r>
      <w:r>
        <w:t xml:space="preserve"> </w:t>
      </w:r>
      <w:r>
        <w:t xml:space="preserve">of 0.00007 and 0.00040). The bound limits false discoveries but leaves the upward bias in effect sizes untouched. The four event tests also survive every alternative family definition we consider: the four event tests as their own family, separate ceiling and floor families, the 26 tests under Holm or Bonferroni adjustment, a 28-test family that adds the days</w:t>
      </w:r>
      <w:r>
        <w:t xml:space="preserve"> </w:t>
      </w:r>
      <w:r>
        <w:rPr>
          <w:iCs/>
          <w:i/>
        </w:rPr>
        <w:t xml:space="preserve">d</w:t>
      </w:r>
      <w:r>
        <w:t xml:space="preserve">+2 to</w:t>
      </w:r>
      <w:r>
        <w:t xml:space="preserve"> </w:t>
      </w:r>
      <w:r>
        <w:rPr>
          <w:iCs/>
          <w:i/>
        </w:rPr>
        <w:t xml:space="preserve">d</w:t>
      </w:r>
      <w:r>
        <w:t xml:space="preserve">+5 outcomes, and week-clustered event</w:t>
      </w:r>
      <w:r>
        <w:t xml:space="preserve"> </w:t>
      </w:r>
      <w:r>
        <w:rPr>
          <w:iCs/>
          <w:i/>
        </w:rPr>
        <w:t xml:space="preserve">p</w:t>
      </w:r>
      <w:r>
        <w:t xml:space="preserve">-values; the largest adjusted</w:t>
      </w:r>
      <w:r>
        <w:t xml:space="preserve"> </w:t>
      </w:r>
      <w:r>
        <w:rPr>
          <w:iCs/>
          <w:i/>
        </w:rPr>
        <w:t xml:space="preserve">p</w:t>
      </w:r>
      <w:r>
        <w:t xml:space="preserve">-value across these definitions is 0.0026 (repository table C32).</w:t>
      </w:r>
    </w:p>
    <w:p>
      <w:pPr>
        <w:pStyle w:val="BodyText"/>
      </w:pPr>
      <w:r>
        <w:t xml:space="preserve">Event definitions that do not depend on the tick grid give the same picture (repository table C28). The ceiling gap is 2.07% for returns of at least 6.0% that close at the high, 2.33% at 6.8%, 2.35% for returns between 6.7% and 7.3%, 2.10% without the close-at-high condition, and 2.91% on days locked at one price (all</w:t>
      </w:r>
      <w:r>
        <w:t xml:space="preserve"> </w:t>
      </w:r>
      <w:r>
        <w:rPr>
          <w:iCs/>
          <w:i/>
        </w:rPr>
        <w:t xml:space="preserve">t</w:t>
      </w:r>
      <w:r>
        <w:t xml:space="preserve"> </w:t>
      </w:r>
      <w:r>
        <w:t xml:space="preserve">above 2.9); the floor gap ranges from −0.79% to −2.50%.</w:t>
      </w:r>
    </w:p>
    <w:p>
      <w:pPr>
        <w:pStyle w:val="BodyText"/>
      </w:pPr>
      <w:r>
        <w:t xml:space="preserve">The results support H</w:t>
      </w:r>
      <w:r>
        <w:rPr>
          <w:vertAlign w:val="subscript"/>
        </w:rPr>
        <w:t xml:space="preserve">1</w:t>
      </w:r>
      <w:r>
        <w:t xml:space="preserve"> </w:t>
      </w:r>
      <w:r>
        <w:t xml:space="preserve">to H</w:t>
      </w:r>
      <w:r>
        <w:rPr>
          <w:vertAlign w:val="subscript"/>
        </w:rPr>
        <w:t xml:space="preserve">4</w:t>
      </w:r>
      <w:r>
        <w:t xml:space="preserve"> </w:t>
      </w:r>
      <w:r>
        <w:t xml:space="preserve">for ceilings; the floor effect depends on the benchmark and its drift appears only before the 2025 platform change.</w:t>
      </w:r>
    </w:p>
    <w:bookmarkEnd w:id="25"/>
    <w:bookmarkStart w:id="27" w:name="discussion"/>
    <w:p>
      <w:pPr>
        <w:pStyle w:val="Heading1"/>
      </w:pPr>
      <w:r>
        <w:t xml:space="preserve">4. Discussion</w:t>
      </w:r>
    </w:p>
    <w:p>
      <w:pPr>
        <w:pStyle w:val="FirstParagraph"/>
      </w:pPr>
      <w:r>
        <w:t xml:space="preserve">Our ceiling gap is larger than the 1.18% that Huang et al. (2001) reported for Taiwan, and the following session reverses a smaller share of it (about 24% against about two thirds). Our decomposition also adds timing to the evidence of Kim and Rhee (1997): on the HOSE, the continuation after ceiling closes arrives at the next opening and ends after the first day, and the intraday giveback is a one-day analogue of the cross-period reversal in Lou et al. (2019). A pure attention reading must explain the contrast with stocks that moved almost as far, including those that also closed at their high, and a gap-only reading cannot explain the pre-change post-open drift after floor closes.</w:t>
      </w:r>
    </w:p>
    <w:p>
      <w:pPr>
        <w:pStyle w:val="BodyText"/>
      </w:pPr>
      <w:r>
        <w:t xml:space="preserve">The earlier studies measure different outcomes and horizons, so Table 6 compares signs, timing, and mechanisms rather than magnitudes.</w:t>
      </w:r>
    </w:p>
    <w:p>
      <w:pPr>
        <w:pStyle w:val="BodyText"/>
      </w:pPr>
      <w:r>
        <w:t xml:space="preserve">A 7% band leaves room for a large overnight gap, so the opening auction may do much of the adjustment that a wider band would allow on day</w:t>
      </w:r>
      <w:r>
        <w:t xml:space="preserve"> </w:t>
      </w:r>
      <w:r>
        <w:rPr>
          <w:iCs/>
          <w:i/>
        </w:rPr>
        <w:t xml:space="preserve">d</w:t>
      </w:r>
      <w:r>
        <w:t xml:space="preserve">. The floor results after at-the-open orders lost priority (Table 4) fit auction design shaping how the opening absorbs overnight pressure, but the market period changed at the same time; a band change on the HOSE, like the ChiNext widening that Qi (2023) studied, would give a natural experiment.</w:t>
      </w:r>
    </w:p>
    <w:p>
      <w:pPr>
        <w:pStyle w:val="BodyText"/>
      </w:pPr>
      <w:r>
        <w:t xml:space="preserve">The volume and prior-return results also fit an attention channel in which the limit amplifies demand: a stock at its ceiling may appear on screens and rankings the next morning, and a queue at the limit may signal excess demand.</w:t>
      </w:r>
    </w:p>
    <w:p>
      <w:pPr>
        <w:pStyle w:val="BodyText"/>
      </w:pPr>
      <w:r>
        <w:t xml:space="preserve">The estimates describe what follows limit closes on the HOSE from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bookmarkStart w:id="26" w:name="limitations"/>
    <w:p>
      <w:pPr>
        <w:pStyle w:val="Heading2"/>
      </w:pPr>
      <w:r>
        <w:t xml:space="preserve">4.1. Limitations</w:t>
      </w:r>
    </w:p>
    <w:p>
      <w:pPr>
        <w:pStyle w:val="FirstParagraph"/>
      </w:pPr>
      <w:r>
        <w:t xml:space="preserve">(i) The sample covers 519 trading days on one exchange, with one platform change and a period of market stress. (ii) Without order-book, investor-type, announcement, or news data, we infer the unfilled-demand mechanism and cannot separate it from selection on news. (iii) The 7% band, reference price, and platform change come from brokerage and press descriptions, checked against returns but not against exchange circulars; tick sizes, reference prices on corporate-action days, and wider bands for first-day listings and resumed trading are assumptions. (iv) The vendor appears to adjust earlier prices for later corporate actions. For stocks priced at 10 thousand dong or more, only 25% to 58% of closes are tick multiples, and near hits make up 62% of ceiling events for the higher-priced stocks against 23% for the others. Proportional adjustment leaves returns (except on ex-dates), the close-at-high rule, and locked days unchanged but makes the exact-hit classification of Equation (3) unreliable, so we treat that split as a data check, not a measure of distance to the limit. The listing snapshot excludes stocks delisted before the download. (v) Events in one market episode may depend on each other beyond our clustering, and we computed no calendar-time portfolio estimates or standard errors robust to both cross-sectional and serial dependence. (vi) Several characteristics (5-day return, largest and smallest daily returns, move frequency, and overnight return) share inputs with the event definition, and the Corwin–Schultz spread and range volatility use limit-censored highs and lows. (vii) The floor effect depends on the benchmark, and we built no beta- and size-matched control for the five-day outcome. (viii) The characteristic tests have limited power, and effect sizes may carry winner’s-curse bias from choosing this question among several screened on the same data.</w:t>
      </w:r>
    </w:p>
    <w:bookmarkEnd w:id="26"/>
    <w:bookmarkEnd w:id="27"/>
    <w:bookmarkStart w:id="28" w:name="conclusions"/>
    <w:p>
      <w:pPr>
        <w:pStyle w:val="Heading1"/>
      </w:pPr>
      <w:r>
        <w:t xml:space="preserve">5. Conclusions</w:t>
      </w:r>
    </w:p>
    <w:p>
      <w:pPr>
        <w:pStyle w:val="FirstParagraph"/>
      </w:pPr>
      <w: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bookmarkEnd w:id="28"/>
    <w:bookmarkStart w:id="36" w:name="declarations"/>
    <w:p>
      <w:pPr>
        <w:pStyle w:val="Heading1"/>
      </w:pPr>
      <w:r>
        <w:t xml:space="preserve">6. Declarations</w:t>
      </w:r>
    </w:p>
    <w:bookmarkStart w:id="29" w:name="ethical-considerations"/>
    <w:p>
      <w:pPr>
        <w:pStyle w:val="Heading2"/>
      </w:pPr>
      <w:r>
        <w:t xml:space="preserve">6.1. Ethical considerations</w:t>
      </w:r>
    </w:p>
    <w:p>
      <w:pPr>
        <w:pStyle w:val="FirstParagraph"/>
      </w:pPr>
      <w:r>
        <w:t xml:space="preserve">Not applicable. The study uses public market prices and involves no human or animal participants.</w:t>
      </w:r>
    </w:p>
    <w:bookmarkEnd w:id="29"/>
    <w:bookmarkStart w:id="30" w:name="use-of-artificial-intelligence-ai"/>
    <w:p>
      <w:pPr>
        <w:pStyle w:val="Heading2"/>
      </w:pPr>
      <w:r>
        <w:t xml:space="preserve">6.2. Use of artificial intelligence (AI)</w:t>
      </w:r>
    </w:p>
    <w:p>
      <w:pPr>
        <w:pStyle w:val="FirstParagraph"/>
      </w:pPr>
      <w:r>
        <w:t xml:space="preserve">The authors used the generative AI assistant Claude (Anthropic) to run the literature searches (Supplementary Material S1), write R code, draft and edit text, and check reported numbers against the output files. Every number comes from the authors’ R code. The authors reviewed all AI-assisted output and take full responsibility for the content. References and the institutional facts in Section 2.1 were checked by web search, not against exchange circulars.</w:t>
      </w:r>
    </w:p>
    <w:bookmarkEnd w:id="30"/>
    <w:bookmarkStart w:id="31" w:name="conflict-of-interest"/>
    <w:p>
      <w:pPr>
        <w:pStyle w:val="Heading2"/>
      </w:pPr>
      <w:r>
        <w:t xml:space="preserve">6.3. Conflict of interest</w:t>
      </w:r>
    </w:p>
    <w:p>
      <w:pPr>
        <w:pStyle w:val="FirstParagraph"/>
      </w:pPr>
      <w:r>
        <w:t xml:space="preserve">The authors declare no conflicts of interest.</w:t>
      </w:r>
    </w:p>
    <w:bookmarkEnd w:id="31"/>
    <w:bookmarkStart w:id="32" w:name="funding"/>
    <w:p>
      <w:pPr>
        <w:pStyle w:val="Heading2"/>
      </w:pPr>
      <w:r>
        <w:t xml:space="preserve">6.4. Funding</w:t>
      </w:r>
    </w:p>
    <w:p>
      <w:pPr>
        <w:pStyle w:val="FirstParagraph"/>
      </w:pPr>
      <w:r>
        <w:t xml:space="preserve">This research did not receive any financial support.</w:t>
      </w:r>
    </w:p>
    <w:bookmarkEnd w:id="32"/>
    <w:bookmarkStart w:id="34" w:name="data-availability"/>
    <w:p>
      <w:pPr>
        <w:pStyle w:val="Heading2"/>
      </w:pPr>
      <w:r>
        <w:t xml:space="preserve">6.5. Data availability</w:t>
      </w:r>
    </w:p>
    <w:p>
      <w:pPr>
        <w:pStyle w:val="FirstParagraph"/>
      </w:pPr>
      <w:r>
        <w:t xml:space="preserve">The price files (vnstock 4.0.4, source VCI, retrieved on September 24, 2026), the R code, and the output tables are available at</w:t>
      </w:r>
      <w:r>
        <w:t xml:space="preserve"> </w:t>
      </w:r>
      <w:hyperlink r:id="rId33">
        <w:r>
          <w:rPr>
            <w:rStyle w:val="Hyperlink"/>
          </w:rPr>
          <w:t xml:space="preserve">https://github.com/trungcandygit/black_litterman_2</w:t>
        </w:r>
      </w:hyperlink>
      <w:r>
        <w:t xml:space="preserve"> </w:t>
      </w:r>
      <w:r>
        <w:t xml:space="preserve">(folders data/raw and paper2).</w:t>
      </w:r>
    </w:p>
    <w:bookmarkEnd w:id="34"/>
    <w:bookmarkStart w:id="35" w:name="author-contributions"/>
    <w:p>
      <w:pPr>
        <w:pStyle w:val="Heading2"/>
      </w:pPr>
      <w:r>
        <w:t xml:space="preserve">6.6. Author contributions</w:t>
      </w:r>
    </w:p>
    <w:p>
      <w:pPr>
        <w:pStyle w:val="FirstParagraph"/>
      </w:pPr>
      <w:r>
        <w:t xml:space="preserve">Nguyen Thanh Binh: conceptualization, supervision, validation, and writing (review and editing). Nguyen Van Trung: conceptualization, data curation, formal analysis, methodology, software, visualization, project administration, and writing (original draft). Ha Hong Hanh: methodology, validation, and writing (review and editing). Nguyen Bach Diep: investigation, resources, and writing (review and editing).</w:t>
      </w:r>
    </w:p>
    <w:bookmarkEnd w:id="35"/>
    <w:bookmarkEnd w:id="36"/>
    <w:bookmarkStart w:id="68" w:name="references"/>
    <w:p>
      <w:pPr>
        <w:pStyle w:val="Heading1"/>
      </w:pPr>
      <w:r>
        <w:t xml:space="preserve">References</w:t>
      </w:r>
    </w:p>
    <w:p>
      <w:pPr>
        <w:pStyle w:val="FirstParagraph"/>
      </w:pPr>
      <w:r>
        <w:t xml:space="preserve">Aboody, D., Even-Tov, O., Lehavy, R., &amp; Trueman, B. (2018). Overnight returns and firm-specific investor sentiment.</w:t>
      </w:r>
      <w:r>
        <w:t xml:space="preserve"> </w:t>
      </w:r>
      <w:r>
        <w:rPr>
          <w:iCs/>
          <w:i/>
        </w:rPr>
        <w:t xml:space="preserve">Journal of Financial and Quantitative Analysis, 53</w:t>
      </w:r>
      <w:r>
        <w:t xml:space="preserve">(2), 485–505.</w:t>
      </w:r>
    </w:p>
    <w:p>
      <w:pPr>
        <w:pStyle w:val="BodyText"/>
      </w:pPr>
      <w:r>
        <w:t xml:space="preserve">Akbas, F., Boehmer, E., Jiang, C., &amp; Koch, P. D. (2022). Overnight returns, daytime reversals, and future stock returns.</w:t>
      </w:r>
      <w:r>
        <w:t xml:space="preserve"> </w:t>
      </w:r>
      <w:r>
        <w:rPr>
          <w:iCs/>
          <w:i/>
        </w:rPr>
        <w:t xml:space="preserve">Journal of Financial Economics, 145</w:t>
      </w:r>
      <w:r>
        <w:t xml:space="preserve">(3), 850–875.</w:t>
      </w:r>
      <w:r>
        <w:t xml:space="preserve"> </w:t>
      </w:r>
      <w:hyperlink r:id="rId37">
        <w:r>
          <w:rPr>
            <w:rStyle w:val="Hyperlink"/>
          </w:rPr>
          <w:t xml:space="preserve">https://doi.org/10.1016/j.jfineco.2021.09.019</w:t>
        </w:r>
      </w:hyperlink>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57</w:t>
      </w:r>
      <w:r>
        <w:t xml:space="preserve">(1), 289–300.</w:t>
      </w:r>
      <w:r>
        <w:t xml:space="preserve"> </w:t>
      </w:r>
      <w:hyperlink r:id="rId38">
        <w:r>
          <w:rPr>
            <w:rStyle w:val="Hyperlink"/>
          </w:rPr>
          <w:t xml:space="preserve">https://doi.org/10.1111/j.2517-6161.1995.tb02031.x</w:t>
        </w:r>
      </w:hyperlink>
    </w:p>
    <w:p>
      <w:pPr>
        <w:pStyle w:val="BodyText"/>
      </w:pPr>
      <w:r>
        <w:t xml:space="preserve">Berkman, H., &amp; Lee, J. B. T. (2002). The effectiveness of price limits in an emerging market: Evidence from the Korean Stock Exchange.</w:t>
      </w:r>
      <w:r>
        <w:t xml:space="preserve"> </w:t>
      </w:r>
      <w:r>
        <w:rPr>
          <w:iCs/>
          <w:i/>
        </w:rPr>
        <w:t xml:space="preserve">Pacific-Basin Finance Journal, 10</w:t>
      </w:r>
      <w:r>
        <w:t xml:space="preserve">(5), 517–530.</w:t>
      </w:r>
      <w:r>
        <w:t xml:space="preserve"> </w:t>
      </w:r>
      <w:hyperlink r:id="rId39">
        <w:r>
          <w:rPr>
            <w:rStyle w:val="Hyperlink"/>
          </w:rPr>
          <w:t xml:space="preserve">https://doi.org/10.1016/S0927-538X(02)00040-9</w:t>
        </w:r>
      </w:hyperlink>
    </w:p>
    <w:p>
      <w:pPr>
        <w:pStyle w:val="BodyText"/>
      </w:pPr>
      <w:r>
        <w:t xml:space="preserve">Berkman, H., Koch, P. D., Tuttle, L., &amp; Zhang, Y. J. (2012). Paying attention: Overnight returns and the hidden cost of buying at the open.</w:t>
      </w:r>
      <w:r>
        <w:t xml:space="preserve"> </w:t>
      </w:r>
      <w:r>
        <w:rPr>
          <w:iCs/>
          <w:i/>
        </w:rPr>
        <w:t xml:space="preserve">Journal of Financial and Quantitative Analysis, 47</w:t>
      </w:r>
      <w:r>
        <w:t xml:space="preserve">(4), 715–741.</w:t>
      </w:r>
      <w:r>
        <w:t xml:space="preserve"> </w:t>
      </w:r>
      <w:hyperlink r:id="rId40">
        <w:r>
          <w:rPr>
            <w:rStyle w:val="Hyperlink"/>
          </w:rPr>
          <w:t xml:space="preserve">https://doi.org/10.1017/S0022109012000270</w:t>
        </w:r>
      </w:hyperlink>
    </w:p>
    <w:p>
      <w:pPr>
        <w:pStyle w:val="BodyText"/>
      </w:pPr>
      <w:r>
        <w:t xml:space="preserve">Bildik, R., &amp; Gülay, G. (2006). Are price limits effective? Evidence from the Istanbul Stock Exchange.</w:t>
      </w:r>
      <w:r>
        <w:t xml:space="preserve"> </w:t>
      </w:r>
      <w:r>
        <w:rPr>
          <w:iCs/>
          <w:i/>
        </w:rPr>
        <w:t xml:space="preserve">Journal of Financial Research, 29</w:t>
      </w:r>
      <w:r>
        <w:t xml:space="preserve">(3), 383–403.</w:t>
      </w:r>
      <w:r>
        <w:t xml:space="preserve"> </w:t>
      </w:r>
      <w:hyperlink r:id="rId41">
        <w:r>
          <w:rPr>
            <w:rStyle w:val="Hyperlink"/>
          </w:rPr>
          <w:t xml:space="preserve">https://doi.org/10.1111/j.1475-6803.2006.00185.x</w:t>
        </w:r>
      </w:hyperlink>
    </w:p>
    <w:p>
      <w:pPr>
        <w:pStyle w:val="BodyText"/>
      </w:pPr>
      <w:r>
        <w:t xml:space="preserve">Bogousslavsky, V. (2021). The cross-section of intraday and overnight returns.</w:t>
      </w:r>
      <w:r>
        <w:t xml:space="preserve"> </w:t>
      </w:r>
      <w:r>
        <w:rPr>
          <w:iCs/>
          <w:i/>
        </w:rPr>
        <w:t xml:space="preserve">Journal of Financial Economics, 141</w:t>
      </w:r>
      <w:r>
        <w:t xml:space="preserve">(1), 172–194.</w:t>
      </w:r>
    </w:p>
    <w:p>
      <w:pPr>
        <w:pStyle w:val="BodyText"/>
      </w:pPr>
      <w:r>
        <w:t xml:space="preserve">Brennan, M. J. (1986). A theory of price limits in futures markets.</w:t>
      </w:r>
      <w:r>
        <w:t xml:space="preserve"> </w:t>
      </w:r>
      <w:r>
        <w:rPr>
          <w:iCs/>
          <w:i/>
        </w:rPr>
        <w:t xml:space="preserve">Journal of Financial Economics, 16</w:t>
      </w:r>
      <w:r>
        <w:t xml:space="preserve">(2), 213–233.</w:t>
      </w:r>
      <w:r>
        <w:t xml:space="preserve"> </w:t>
      </w:r>
      <w:hyperlink r:id="rId42">
        <w:r>
          <w:rPr>
            <w:rStyle w:val="Hyperlink"/>
          </w:rPr>
          <w:t xml:space="preserve">https://doi.org/10.1016/0304-405X(86)90061-9</w:t>
        </w:r>
      </w:hyperlink>
    </w:p>
    <w:p>
      <w:pPr>
        <w:pStyle w:val="BodyText"/>
      </w:pPr>
      <w:r>
        <w:t xml:space="preserve">Cameron, A. C., Gelbach, J. B., &amp; Miller, D. L. (2011). Robust inference with multiway clustering.</w:t>
      </w:r>
      <w:r>
        <w:t xml:space="preserve"> </w:t>
      </w:r>
      <w:r>
        <w:rPr>
          <w:iCs/>
          <w:i/>
        </w:rPr>
        <w:t xml:space="preserve">Journal of Business &amp; Economic Statistics, 29</w:t>
      </w:r>
      <w:r>
        <w:t xml:space="preserve">(2), 238–249.</w:t>
      </w:r>
      <w:r>
        <w:t xml:space="preserve"> </w:t>
      </w:r>
      <w:hyperlink r:id="rId43">
        <w:r>
          <w:rPr>
            <w:rStyle w:val="Hyperlink"/>
          </w:rPr>
          <w:t xml:space="preserve">https://doi.org/10.1198/jbes.2010.07136</w:t>
        </w:r>
      </w:hyperlink>
    </w:p>
    <w:p>
      <w:pPr>
        <w:pStyle w:val="BodyText"/>
      </w:pPr>
      <w:r>
        <w:t xml:space="preserve">Chen, H., Petukhov, A., Wang, J., &amp; Xing, H. (2024). The dark side of circuit breakers.</w:t>
      </w:r>
      <w:r>
        <w:t xml:space="preserve"> </w:t>
      </w:r>
      <w:r>
        <w:rPr>
          <w:iCs/>
          <w:i/>
        </w:rPr>
        <w:t xml:space="preserve">The Journal of Finance, 79</w:t>
      </w:r>
      <w:r>
        <w:t xml:space="preserve">(2), 1405–1455.</w:t>
      </w:r>
      <w:r>
        <w:t xml:space="preserve"> </w:t>
      </w:r>
      <w:hyperlink r:id="rId44">
        <w:r>
          <w:rPr>
            <w:rStyle w:val="Hyperlink"/>
          </w:rPr>
          <w:t xml:space="preserve">https://doi.org/10.1111/jofi.13310</w:t>
        </w:r>
      </w:hyperlink>
    </w:p>
    <w:p>
      <w:pPr>
        <w:pStyle w:val="BodyText"/>
      </w:pPr>
      <w:r>
        <w:t xml:space="preserve">Chen, T., Gao, Z., He, J., Jiang, W., &amp; Xiong, W. (2019). Daily price limits and destructive market behavior.</w:t>
      </w:r>
      <w:r>
        <w:t xml:space="preserve"> </w:t>
      </w:r>
      <w:r>
        <w:rPr>
          <w:iCs/>
          <w:i/>
        </w:rPr>
        <w:t xml:space="preserve">Journal of Econometrics, 208</w:t>
      </w:r>
      <w:r>
        <w:t xml:space="preserve">(1), 249–264.</w:t>
      </w:r>
      <w:r>
        <w:t xml:space="preserve"> </w:t>
      </w:r>
      <w:hyperlink r:id="rId45">
        <w:r>
          <w:rPr>
            <w:rStyle w:val="Hyperlink"/>
          </w:rPr>
          <w:t xml:space="preserve">https://doi.org/10.1016/j.jeconom.2018.09.014</w:t>
        </w:r>
      </w:hyperlink>
    </w:p>
    <w:p>
      <w:pPr>
        <w:pStyle w:val="BodyText"/>
      </w:pPr>
      <w:r>
        <w:t xml:space="preserve">Chen, Y.-M. (1993). Price limits and stock market volatility in Taiwan.</w:t>
      </w:r>
      <w:r>
        <w:t xml:space="preserve"> </w:t>
      </w:r>
      <w:r>
        <w:rPr>
          <w:iCs/>
          <w:i/>
        </w:rPr>
        <w:t xml:space="preserve">Pacific-Basin Finance Journal, 1</w:t>
      </w:r>
      <w:r>
        <w:t xml:space="preserve">(2), 139–153.</w:t>
      </w:r>
      <w:r>
        <w:t xml:space="preserve"> </w:t>
      </w:r>
      <w:hyperlink r:id="rId46">
        <w:r>
          <w:rPr>
            <w:rStyle w:val="Hyperlink"/>
          </w:rPr>
          <w:t xml:space="preserve">https://doi.org/10.1016/0927-538X(93)90005-3</w:t>
        </w:r>
      </w:hyperlink>
    </w:p>
    <w:p>
      <w:pPr>
        <w:pStyle w:val="BodyText"/>
      </w:pPr>
      <w:r>
        <w:t xml:space="preserve">Cho, D. D., Russell, J., Tiao, G. C., &amp; Tsay, R. S. (2003). The magnet effect of price limits: Evidence from high-frequency data on Taiwan Stock Exchange.</w:t>
      </w:r>
      <w:r>
        <w:t xml:space="preserve"> </w:t>
      </w:r>
      <w:r>
        <w:rPr>
          <w:iCs/>
          <w:i/>
        </w:rPr>
        <w:t xml:space="preserve">Journal of Empirical Finance, 10</w:t>
      </w:r>
      <w:r>
        <w:t xml:space="preserve">(1–2), 133–168.</w:t>
      </w:r>
      <w:r>
        <w:t xml:space="preserve"> </w:t>
      </w:r>
      <w:hyperlink r:id="rId47">
        <w:r>
          <w:rPr>
            <w:rStyle w:val="Hyperlink"/>
          </w:rPr>
          <w:t xml:space="preserve">https://doi.org/10.1016/S0927-5398(02)00024-5</w:t>
        </w:r>
      </w:hyperlink>
    </w:p>
    <w:p>
      <w:pPr>
        <w:pStyle w:val="BodyText"/>
      </w:pPr>
      <w:r>
        <w:t xml:space="preserve">Chordia, T., Goyal, A., &amp; Saretto, A. (2020). Anomalies and false rejections.</w:t>
      </w:r>
      <w:r>
        <w:t xml:space="preserve"> </w:t>
      </w:r>
      <w:r>
        <w:rPr>
          <w:iCs/>
          <w:i/>
        </w:rPr>
        <w:t xml:space="preserve">The Review of Financial Studies, 33</w:t>
      </w:r>
      <w:r>
        <w:t xml:space="preserve">(5), 2134–2179.</w:t>
      </w:r>
    </w:p>
    <w:p>
      <w:pPr>
        <w:pStyle w:val="BodyText"/>
      </w:pPr>
      <w:r>
        <w:t xml:space="preserve">Deb, S. S., Kalev, P. S., &amp; Marisetty, V. B. (2013). Flexible price limits: The case of Tokyo Stock Exchange.</w:t>
      </w:r>
      <w:r>
        <w:t xml:space="preserve"> </w:t>
      </w:r>
      <w:r>
        <w:rPr>
          <w:iCs/>
          <w:i/>
        </w:rPr>
        <w:t xml:space="preserve">Journal of International Financial Markets, Institutions and Money, 24</w:t>
      </w:r>
      <w:r>
        <w:t xml:space="preserve">, 66–84.</w:t>
      </w:r>
    </w:p>
    <w:p>
      <w:pPr>
        <w:pStyle w:val="BodyText"/>
      </w:pPr>
      <w:r>
        <w:t xml:space="preserve">Fama, E. F., &amp; MacBeth, J. D. (1973). Risk, return, and equilibrium: Empirical tests.</w:t>
      </w:r>
      <w:r>
        <w:t xml:space="preserve"> </w:t>
      </w:r>
      <w:r>
        <w:rPr>
          <w:iCs/>
          <w:i/>
        </w:rPr>
        <w:t xml:space="preserve">Journal of Political Economy, 81</w:t>
      </w:r>
      <w:r>
        <w:t xml:space="preserve">(3), 607–636.</w:t>
      </w:r>
      <w:r>
        <w:t xml:space="preserve"> </w:t>
      </w:r>
      <w:hyperlink r:id="rId48">
        <w:r>
          <w:rPr>
            <w:rStyle w:val="Hyperlink"/>
          </w:rPr>
          <w:t xml:space="preserve">https://doi.org/10.1086/260061</w:t>
        </w:r>
      </w:hyperlink>
    </w:p>
    <w:p>
      <w:pPr>
        <w:pStyle w:val="BodyText"/>
      </w:pPr>
      <w:r>
        <w:t xml:space="preserve">Farber, A., Nguyen, V. N., &amp; Vuong, Q. H. (2006).</w:t>
      </w:r>
      <w:r>
        <w:t xml:space="preserve"> </w:t>
      </w:r>
      <w:r>
        <w:rPr>
          <w:iCs/>
          <w:i/>
        </w:rPr>
        <w:t xml:space="preserve">Policy impacts on Vietnam stock market: A case of anomalies and disequilibria 2000–2006</w:t>
      </w:r>
      <w:r>
        <w:t xml:space="preserve"> </w:t>
      </w:r>
      <w:r>
        <w:t xml:space="preserve">(CEB Working Paper No. 06/005). Université Libre de Bruxelles.</w:t>
      </w:r>
      <w:r>
        <w:t xml:space="preserve"> </w:t>
      </w:r>
      <w:hyperlink r:id="rId49">
        <w:r>
          <w:rPr>
            <w:rStyle w:val="Hyperlink"/>
          </w:rPr>
          <w:t xml:space="preserve">https://ideas.repec.org/p/sol/wpaper/06-005.html</w:t>
        </w:r>
      </w:hyperlink>
    </w:p>
    <w:p>
      <w:pPr>
        <w:pStyle w:val="BodyText"/>
      </w:pPr>
      <w:r>
        <w:t xml:space="preserve">Greenwald, B. C., &amp; Stein, J. C. (1991). Transactional risk, market crashes, and the role of circuit breakers.</w:t>
      </w:r>
      <w:r>
        <w:t xml:space="preserve"> </w:t>
      </w:r>
      <w:r>
        <w:rPr>
          <w:iCs/>
          <w:i/>
        </w:rPr>
        <w:t xml:space="preserve">Journal of Business, 64</w:t>
      </w:r>
      <w:r>
        <w:t xml:space="preserve">(4), 443–462.</w:t>
      </w:r>
    </w:p>
    <w:p>
      <w:pPr>
        <w:pStyle w:val="BodyText"/>
      </w:pPr>
      <w:r>
        <w:t xml:space="preserve">Gu, M., Hu, Y., &amp; Xiong, Z. (2025). Dissecting the lottery-like anomaly: Evidence from China.</w:t>
      </w:r>
      <w:r>
        <w:t xml:space="preserve"> </w:t>
      </w:r>
      <w:r>
        <w:rPr>
          <w:iCs/>
          <w:i/>
        </w:rPr>
        <w:t xml:space="preserve">Accounting &amp; Finance, 65</w:t>
      </w:r>
      <w:r>
        <w:t xml:space="preserve">(1), 883–911.</w:t>
      </w:r>
      <w:r>
        <w:t xml:space="preserve"> </w:t>
      </w:r>
      <w:hyperlink r:id="rId50">
        <w:r>
          <w:rPr>
            <w:rStyle w:val="Hyperlink"/>
          </w:rPr>
          <w:t xml:space="preserve">https://doi.org/10.1111/acfi.13354</w:t>
        </w:r>
      </w:hyperlink>
    </w:p>
    <w:p>
      <w:pPr>
        <w:pStyle w:val="BodyText"/>
      </w:pPr>
      <w:r>
        <w:t xml:space="preserve">Gutierrez, R. C., Jr., &amp; Kelley, E. K. (2008). The long-lasting momentum in weekly returns.</w:t>
      </w:r>
      <w:r>
        <w:t xml:space="preserve"> </w:t>
      </w:r>
      <w:r>
        <w:rPr>
          <w:iCs/>
          <w:i/>
        </w:rPr>
        <w:t xml:space="preserve">The Journal of Finance, 63</w:t>
      </w:r>
      <w:r>
        <w:t xml:space="preserve">(1), 415–447.</w:t>
      </w:r>
      <w:r>
        <w:t xml:space="preserve"> </w:t>
      </w:r>
      <w:hyperlink r:id="rId51">
        <w:r>
          <w:rPr>
            <w:rStyle w:val="Hyperlink"/>
          </w:rPr>
          <w:t xml:space="preserve">https://doi.org/10.1111/j.1540-6261.2008.01320.x</w:t>
        </w:r>
      </w:hyperlink>
    </w:p>
    <w:p>
      <w:pPr>
        <w:pStyle w:val="BodyText"/>
      </w:pPr>
      <w:r>
        <w:t xml:space="preserve">Harvey, C. R., &amp; Liu, Y. (2020). False (and missed) discoveries in financial economics.</w:t>
      </w:r>
      <w:r>
        <w:t xml:space="preserve"> </w:t>
      </w:r>
      <w:r>
        <w:rPr>
          <w:iCs/>
          <w:i/>
        </w:rPr>
        <w:t xml:space="preserve">The Journal of Finance, 75</w:t>
      </w:r>
      <w:r>
        <w:t xml:space="preserve">(5), 2503–2553.</w:t>
      </w:r>
      <w:r>
        <w:t xml:space="preserve"> </w:t>
      </w:r>
      <w:hyperlink r:id="rId52">
        <w:r>
          <w:rPr>
            <w:rStyle w:val="Hyperlink"/>
          </w:rPr>
          <w:t xml:space="preserve">https://doi.org/10.1111/jofi.12951</w:t>
        </w:r>
      </w:hyperlink>
    </w:p>
    <w:p>
      <w:pPr>
        <w:pStyle w:val="BodyText"/>
      </w:pPr>
      <w:r>
        <w:t xml:space="preserve">Harvey, C. R., Liu, Y., &amp; Zhu, H. (2016). …and the cross-section of expected returns.</w:t>
      </w:r>
      <w:r>
        <w:t xml:space="preserve"> </w:t>
      </w:r>
      <w:r>
        <w:rPr>
          <w:iCs/>
          <w:i/>
        </w:rPr>
        <w:t xml:space="preserve">The Review of Financial Studies, 29</w:t>
      </w:r>
      <w:r>
        <w:t xml:space="preserve">(1), 5–68.</w:t>
      </w:r>
      <w:r>
        <w:t xml:space="preserve"> </w:t>
      </w:r>
      <w:hyperlink r:id="rId53">
        <w:r>
          <w:rPr>
            <w:rStyle w:val="Hyperlink"/>
          </w:rPr>
          <w:t xml:space="preserve">https://doi.org/10.1093/rfs/hhv059</w:t>
        </w:r>
      </w:hyperlink>
    </w:p>
    <w:p>
      <w:pPr>
        <w:pStyle w:val="BodyText"/>
      </w:pPr>
      <w:r>
        <w:t xml:space="preserve">Holm, S. (1979). A simple sequentially rejective multiple test procedure.</w:t>
      </w:r>
      <w:r>
        <w:t xml:space="preserve"> </w:t>
      </w:r>
      <w:r>
        <w:rPr>
          <w:iCs/>
          <w:i/>
        </w:rPr>
        <w:t xml:space="preserve">Scandinavian Journal of Statistics, 6</w:t>
      </w:r>
      <w:r>
        <w:t xml:space="preserve">(2), 65–70.</w:t>
      </w:r>
    </w:p>
    <w:p>
      <w:pPr>
        <w:pStyle w:val="BodyText"/>
      </w:pPr>
      <w:r>
        <w:t xml:space="preserve">Hou, K., Xue, C., &amp; Zhang, L. (2020). Replicating anomalies.</w:t>
      </w:r>
      <w:r>
        <w:t xml:space="preserve"> </w:t>
      </w:r>
      <w:r>
        <w:rPr>
          <w:iCs/>
          <w:i/>
        </w:rPr>
        <w:t xml:space="preserve">The Review of Financial Studies, 33</w:t>
      </w:r>
      <w:r>
        <w:t xml:space="preserve">(5), 2019–2133.</w:t>
      </w:r>
    </w:p>
    <w:p>
      <w:pPr>
        <w:pStyle w:val="BodyText"/>
      </w:pPr>
      <w:r>
        <w:t xml:space="preserve">HSC. (2025).</w:t>
      </w:r>
      <w:r>
        <w:t xml:space="preserve"> </w:t>
      </w:r>
      <w:r>
        <w:rPr>
          <w:iCs/>
          <w:i/>
        </w:rPr>
        <w:t xml:space="preserve">Important changes of new trading system</w:t>
      </w:r>
      <w:r>
        <w:t xml:space="preserve">. Ho Chi Minh City Securities Corporation.</w:t>
      </w:r>
      <w:r>
        <w:t xml:space="preserve"> </w:t>
      </w:r>
      <w:hyperlink r:id="rId54">
        <w:r>
          <w:rPr>
            <w:rStyle w:val="Hyperlink"/>
          </w:rPr>
          <w:t xml:space="preserve">https://www.hsc.com.vn/en/important-changes-of-new-trading-system</w:t>
        </w:r>
      </w:hyperlink>
      <w:r>
        <w:t xml:space="preserve">. Accessed on October 5, 2026.</w:t>
      </w:r>
    </w:p>
    <w:p>
      <w:pPr>
        <w:pStyle w:val="BodyText"/>
      </w:pPr>
      <w:r>
        <w:t xml:space="preserve">Huang, X., Liu, C., &amp; Shu, T. (2023). Factors and anomalies in the Vietnamese stock market.</w:t>
      </w:r>
      <w:r>
        <w:t xml:space="preserve"> </w:t>
      </w:r>
      <w:r>
        <w:rPr>
          <w:iCs/>
          <w:i/>
        </w:rPr>
        <w:t xml:space="preserve">Pacific-Basin Finance Journal, 82</w:t>
      </w:r>
      <w:r>
        <w:t xml:space="preserve">, 102176.</w:t>
      </w:r>
    </w:p>
    <w:p>
      <w:pPr>
        <w:pStyle w:val="BodyText"/>
      </w:pPr>
      <w:r>
        <w:t xml:space="preserve">Huang, Y.-S., Fu, T.-W., &amp; Ke, M.-C. (2001). Daily price limits and stock price behavior: Evidence from the Taiwan Stock Exchange.</w:t>
      </w:r>
      <w:r>
        <w:t xml:space="preserve"> </w:t>
      </w:r>
      <w:r>
        <w:rPr>
          <w:iCs/>
          <w:i/>
        </w:rPr>
        <w:t xml:space="preserve">International Review of Economics &amp; Finance, 10</w:t>
      </w:r>
      <w:r>
        <w:t xml:space="preserve">(3), 263–288.</w:t>
      </w:r>
      <w:r>
        <w:t xml:space="preserve"> </w:t>
      </w:r>
      <w:hyperlink r:id="rId55">
        <w:r>
          <w:rPr>
            <w:rStyle w:val="Hyperlink"/>
          </w:rPr>
          <w:t xml:space="preserve">https://doi.org/10.1016/S1059-0560(00)00082-4</w:t>
        </w:r>
      </w:hyperlink>
    </w:p>
    <w:p>
      <w:pPr>
        <w:pStyle w:val="BodyText"/>
      </w:pPr>
      <w:r>
        <w:t xml:space="preserve">Jia, S., An, Y., Yang, L., &amp; Zhou, F. (2024). Price limit relaxation and stock price crash risk: Evidence from China.</w:t>
      </w:r>
      <w:r>
        <w:t xml:space="preserve"> </w:t>
      </w:r>
      <w:r>
        <w:rPr>
          <w:iCs/>
          <w:i/>
        </w:rPr>
        <w:t xml:space="preserve">Finance Research Letters, 59</w:t>
      </w:r>
      <w:r>
        <w:t xml:space="preserve">, 104715.</w:t>
      </w:r>
      <w:r>
        <w:t xml:space="preserve"> </w:t>
      </w:r>
      <w:hyperlink r:id="rId56">
        <w:r>
          <w:rPr>
            <w:rStyle w:val="Hyperlink"/>
          </w:rPr>
          <w:t xml:space="preserve">https://doi.org/10.1016/j.frl.2023.104715</w:t>
        </w:r>
      </w:hyperlink>
    </w:p>
    <w:p>
      <w:pPr>
        <w:pStyle w:val="BodyText"/>
      </w:pPr>
      <w:r>
        <w:t xml:space="preserve">Jones, C. M., Shi, D., Zhang, X., &amp; Zhang, X. (2025). Retail trading and return predictability in China.</w:t>
      </w:r>
      <w:r>
        <w:t xml:space="preserve"> </w:t>
      </w:r>
      <w:r>
        <w:rPr>
          <w:iCs/>
          <w:i/>
        </w:rPr>
        <w:t xml:space="preserve">Journal of Financial and Quantitative Analysis, 60</w:t>
      </w:r>
      <w:r>
        <w:t xml:space="preserve">(1), 68–104.</w:t>
      </w:r>
    </w:p>
    <w:p>
      <w:pPr>
        <w:pStyle w:val="BodyText"/>
      </w:pPr>
      <w:r>
        <w:t xml:space="preserve">Kelly, M. A., &amp; Clark, S. P. (2011). Returns in trading versus non-trading hours: The difference is day and night.</w:t>
      </w:r>
      <w:r>
        <w:t xml:space="preserve"> </w:t>
      </w:r>
      <w:r>
        <w:rPr>
          <w:iCs/>
          <w:i/>
        </w:rPr>
        <w:t xml:space="preserve">Journal of Asset Management, 12</w:t>
      </w:r>
      <w:r>
        <w:t xml:space="preserve">, 132–145.</w:t>
      </w:r>
      <w:r>
        <w:t xml:space="preserve"> </w:t>
      </w:r>
      <w:hyperlink r:id="rId57">
        <w:r>
          <w:rPr>
            <w:rStyle w:val="Hyperlink"/>
          </w:rPr>
          <w:t xml:space="preserve">https://doi.org/10.1057/jam.2011.2</w:t>
        </w:r>
      </w:hyperlink>
    </w:p>
    <w:p>
      <w:pPr>
        <w:pStyle w:val="BodyText"/>
      </w:pPr>
      <w:r>
        <w:t xml:space="preserve">Kim, K. A., &amp; Limpaphayom, P. (2000). Characteristics of stocks that frequently hit price limits: Empirical evidence from Taiwan and Thailand.</w:t>
      </w:r>
      <w:r>
        <w:t xml:space="preserve"> </w:t>
      </w:r>
      <w:r>
        <w:rPr>
          <w:iCs/>
          <w:i/>
        </w:rPr>
        <w:t xml:space="preserve">Journal of Financial Markets, 3</w:t>
      </w:r>
      <w:r>
        <w:t xml:space="preserve">(3), 315–332.</w:t>
      </w:r>
    </w:p>
    <w:p>
      <w:pPr>
        <w:pStyle w:val="BodyText"/>
      </w:pPr>
      <w:r>
        <w:t xml:space="preserve">Kim, K. A., &amp; Rhee, S. G. (1997). Price limit performance: Evidence from the Tokyo Stock Exchange.</w:t>
      </w:r>
      <w:r>
        <w:t xml:space="preserve"> </w:t>
      </w:r>
      <w:r>
        <w:rPr>
          <w:iCs/>
          <w:i/>
        </w:rPr>
        <w:t xml:space="preserve">The Journal of Finance, 52</w:t>
      </w:r>
      <w:r>
        <w:t xml:space="preserve">(2), 885–901.</w:t>
      </w:r>
      <w:r>
        <w:t xml:space="preserve"> </w:t>
      </w:r>
      <w:hyperlink r:id="rId58">
        <w:r>
          <w:rPr>
            <w:rStyle w:val="Hyperlink"/>
          </w:rPr>
          <w:t xml:space="preserve">https://doi.org/10.1111/j.1540-6261.1997.tb04827.x</w:t>
        </w:r>
      </w:hyperlink>
    </w:p>
    <w:p>
      <w:pPr>
        <w:pStyle w:val="BodyText"/>
      </w:pPr>
      <w:r>
        <w:t xml:space="preserve">Kim, W., &amp; Jun, S. (2019). Effects of a price limit change on market stability at the intraday horizon in the Korean stock market.</w:t>
      </w:r>
      <w:r>
        <w:t xml:space="preserve"> </w:t>
      </w:r>
      <w:r>
        <w:rPr>
          <w:iCs/>
          <w:i/>
        </w:rPr>
        <w:t xml:space="preserve">Applied Economics Letters, 26</w:t>
      </w:r>
      <w:r>
        <w:t xml:space="preserve">(7), 582–586.</w:t>
      </w:r>
    </w:p>
    <w:p>
      <w:pPr>
        <w:pStyle w:val="BodyText"/>
      </w:pPr>
      <w:r>
        <w:t xml:space="preserve">Kodres, L. E., &amp; O’Brien, D. P. (1994). The existence of Pareto-superior price limits.</w:t>
      </w:r>
      <w:r>
        <w:t xml:space="preserve"> </w:t>
      </w:r>
      <w:r>
        <w:rPr>
          <w:iCs/>
          <w:i/>
        </w:rPr>
        <w:t xml:space="preserve">American Economic Review, 84</w:t>
      </w:r>
      <w:r>
        <w:t xml:space="preserve">(4), 919–932.</w:t>
      </w:r>
    </w:p>
    <w:p>
      <w:pPr>
        <w:pStyle w:val="BodyText"/>
      </w:pPr>
      <w:r>
        <w:t xml:space="preserve">Le, D. N. (2012). Evaluating impacts of reduction in fluctuation limit on stock price risks in Vietnam.</w:t>
      </w:r>
      <w:r>
        <w:t xml:space="preserve"> </w:t>
      </w:r>
      <w:r>
        <w:rPr>
          <w:iCs/>
          <w:i/>
        </w:rPr>
        <w:t xml:space="preserve">Journal of Economic Development</w:t>
      </w:r>
      <w:r>
        <w:t xml:space="preserve"> </w:t>
      </w:r>
      <w:r>
        <w:t xml:space="preserve">(University of Economics Ho Chi Minh City), (214), 116–128.</w:t>
      </w:r>
      <w:r>
        <w:t xml:space="preserve"> </w:t>
      </w:r>
      <w:hyperlink r:id="rId59">
        <w:r>
          <w:rPr>
            <w:rStyle w:val="Hyperlink"/>
          </w:rPr>
          <w:t xml:space="preserve">https://vjol.info.vn/ed/article/view/34298</w:t>
        </w:r>
      </w:hyperlink>
    </w:p>
    <w:p>
      <w:pPr>
        <w:pStyle w:val="BodyText"/>
      </w:pPr>
      <w:r>
        <w:t xml:space="preserve">Liang, H., &amp; Hu, Y. (2025). Stock price limit and its predictability in the Chinese stock market.</w:t>
      </w:r>
      <w:r>
        <w:t xml:space="preserve"> </w:t>
      </w:r>
      <w:r>
        <w:rPr>
          <w:iCs/>
          <w:i/>
        </w:rPr>
        <w:t xml:space="preserve">Journal of Forecasting, 44</w:t>
      </w:r>
      <w:r>
        <w:t xml:space="preserve">, 297–319.</w:t>
      </w:r>
      <w:r>
        <w:t xml:space="preserve"> </w:t>
      </w:r>
      <w:hyperlink r:id="rId60">
        <w:r>
          <w:rPr>
            <w:rStyle w:val="Hyperlink"/>
          </w:rPr>
          <w:t xml:space="preserve">https://doi.org/10.1002/for.3197</w:t>
        </w:r>
      </w:hyperlink>
    </w:p>
    <w:p>
      <w:pPr>
        <w:pStyle w:val="BodyText"/>
      </w:pPr>
      <w:r>
        <w:t xml:space="preserve">Lien, D., Hung, P.-H., Zhu, J.-D., &amp; Chen, Y.-H. (2019). Price limit changes and market quality in the Taiwan Stock Exchange.</w:t>
      </w:r>
      <w:r>
        <w:t xml:space="preserve"> </w:t>
      </w:r>
      <w:r>
        <w:rPr>
          <w:iCs/>
          <w:i/>
        </w:rPr>
        <w:t xml:space="preserve">Pacific-Basin Finance Journal, 55</w:t>
      </w:r>
      <w:r>
        <w:t xml:space="preserve">, 239–258.</w:t>
      </w:r>
    </w:p>
    <w:p>
      <w:pPr>
        <w:pStyle w:val="BodyText"/>
      </w:pPr>
      <w:r>
        <w:t xml:space="preserve">Lin, F., Qiu, Z., &amp; Zheng, W. (2023). Cranes among chickens: The general-attention-grabbing effect of daily price limits in China’s stock market.</w:t>
      </w:r>
      <w:r>
        <w:t xml:space="preserve"> </w:t>
      </w:r>
      <w:r>
        <w:rPr>
          <w:iCs/>
          <w:i/>
        </w:rPr>
        <w:t xml:space="preserve">Journal of Banking &amp; Finance, 150</w:t>
      </w:r>
      <w:r>
        <w:t xml:space="preserve">, 106818.</w:t>
      </w:r>
      <w:r>
        <w:t xml:space="preserve"> </w:t>
      </w:r>
      <w:hyperlink r:id="rId61">
        <w:r>
          <w:rPr>
            <w:rStyle w:val="Hyperlink"/>
          </w:rPr>
          <w:t xml:space="preserve">https://doi.org/10.1016/j.jbankfin.2023.106818</w:t>
        </w:r>
      </w:hyperlink>
    </w:p>
    <w:p>
      <w:pPr>
        <w:pStyle w:val="BodyText"/>
      </w:pPr>
      <w:r>
        <w:t xml:space="preserve">Lou, D., Polk, C., &amp; Skouras, S. (2019). A tug of war: Overnight versus intraday expected returns.</w:t>
      </w:r>
      <w:r>
        <w:t xml:space="preserve"> </w:t>
      </w:r>
      <w:r>
        <w:rPr>
          <w:iCs/>
          <w:i/>
        </w:rPr>
        <w:t xml:space="preserve">Journal of Financial Economics, 134</w:t>
      </w:r>
      <w:r>
        <w:t xml:space="preserve">(1), 192–213.</w:t>
      </w:r>
      <w:r>
        <w:t xml:space="preserve"> </w:t>
      </w:r>
      <w:hyperlink r:id="rId62">
        <w:r>
          <w:rPr>
            <w:rStyle w:val="Hyperlink"/>
          </w:rPr>
          <w:t xml:space="preserve">https://doi.org/10.1016/j.jfineco.2019.03.011</w:t>
        </w:r>
      </w:hyperlink>
    </w:p>
    <w:p>
      <w:pPr>
        <w:pStyle w:val="BodyText"/>
      </w:pPr>
      <w:r>
        <w:t xml:space="preserve">Lu, Z., Malliaris, S. G., &amp; Qin, Z. (2023). Heterogeneous liquidity providers and night-minus-day return predictability.</w:t>
      </w:r>
      <w:r>
        <w:t xml:space="preserve"> </w:t>
      </w:r>
      <w:r>
        <w:rPr>
          <w:iCs/>
          <w:i/>
        </w:rPr>
        <w:t xml:space="preserve">Journal of Financial Economics, 148</w:t>
      </w:r>
      <w:r>
        <w:t xml:space="preserve">(3), 175–200.</w:t>
      </w:r>
    </w:p>
    <w:p>
      <w:pPr>
        <w:pStyle w:val="BodyText"/>
      </w:pPr>
      <w:r>
        <w:t xml:space="preserve">Newey, W. K., &amp; West, K. D. (1987). A simple, positive semi-definite, heteroskedasticity and autocorrelation consistent covariance matrix.</w:t>
      </w:r>
      <w:r>
        <w:t xml:space="preserve"> </w:t>
      </w:r>
      <w:r>
        <w:rPr>
          <w:iCs/>
          <w:i/>
        </w:rPr>
        <w:t xml:space="preserve">Econometrica, 55</w:t>
      </w:r>
      <w:r>
        <w:t xml:space="preserve">(3), 703–708.</w:t>
      </w:r>
      <w:r>
        <w:t xml:space="preserve"> </w:t>
      </w:r>
      <w:hyperlink r:id="rId63">
        <w:r>
          <w:rPr>
            <w:rStyle w:val="Hyperlink"/>
          </w:rPr>
          <w:t xml:space="preserve">https://doi.org/10.2307/1913610</w:t>
        </w:r>
      </w:hyperlink>
    </w:p>
    <w:p>
      <w:pPr>
        <w:pStyle w:val="BodyText"/>
      </w:pPr>
      <w:r>
        <w:t xml:space="preserve">Petersen, M. A. (2009). Estimating standard errors in finance panel data sets: Comparing approaches.</w:t>
      </w:r>
      <w:r>
        <w:t xml:space="preserve"> </w:t>
      </w:r>
      <w:r>
        <w:rPr>
          <w:iCs/>
          <w:i/>
        </w:rPr>
        <w:t xml:space="preserve">The Review of Financial Studies, 22</w:t>
      </w:r>
      <w:r>
        <w:t xml:space="preserve">(1), 435–480.</w:t>
      </w:r>
    </w:p>
    <w:p>
      <w:pPr>
        <w:pStyle w:val="BodyText"/>
      </w:pPr>
      <w:r>
        <w:t xml:space="preserve">Qi, B. (2023). Effectiveness of price limits: Evidence from China’s ChiNext market.</w:t>
      </w:r>
      <w:r>
        <w:t xml:space="preserve"> </w:t>
      </w:r>
      <w:r>
        <w:rPr>
          <w:iCs/>
          <w:i/>
        </w:rPr>
        <w:t xml:space="preserve">PLOS ONE, 18</w:t>
      </w:r>
      <w:r>
        <w:t xml:space="preserve">(6), e0287548.</w:t>
      </w:r>
      <w:r>
        <w:t xml:space="preserve"> </w:t>
      </w:r>
      <w:hyperlink r:id="rId64">
        <w:r>
          <w:rPr>
            <w:rStyle w:val="Hyperlink"/>
          </w:rPr>
          <w:t xml:space="preserve">https://doi.org/10.1371/journal.pone.0287548</w:t>
        </w:r>
      </w:hyperlink>
    </w:p>
    <w:p>
      <w:pPr>
        <w:pStyle w:val="BodyText"/>
      </w:pPr>
      <w:r>
        <w:t xml:space="preserve">Qiao, K., &amp; Dam, L. (2020). The overnight return puzzle and the</w:t>
      </w:r>
      <w:r>
        <w:t xml:space="preserve"> </w:t>
      </w:r>
      <w:r>
        <w:t xml:space="preserve">“</w:t>
      </w:r>
      <w:r>
        <w:t xml:space="preserve">T+1</w:t>
      </w:r>
      <w:r>
        <w:t xml:space="preserve">”</w:t>
      </w:r>
      <w:r>
        <w:t xml:space="preserve"> </w:t>
      </w:r>
      <w:r>
        <w:t xml:space="preserve">trading rule in Chinese stock markets.</w:t>
      </w:r>
      <w:r>
        <w:t xml:space="preserve"> </w:t>
      </w:r>
      <w:r>
        <w:rPr>
          <w:iCs/>
          <w:i/>
        </w:rPr>
        <w:t xml:space="preserve">Journal of Financial Markets, 50</w:t>
      </w:r>
      <w:r>
        <w:t xml:space="preserve">, 100534.</w:t>
      </w:r>
    </w:p>
    <w:p>
      <w:pPr>
        <w:pStyle w:val="BodyText"/>
      </w:pPr>
      <w:r>
        <w:t xml:space="preserve">Qiu, J., Huang, W., &amp; Jiang, Y. (2025). Day-night anomaly returns in China: The role of institutions.</w:t>
      </w:r>
      <w:r>
        <w:t xml:space="preserve"> </w:t>
      </w:r>
      <w:r>
        <w:rPr>
          <w:iCs/>
          <w:i/>
        </w:rPr>
        <w:t xml:space="preserve">Research in International Business and Finance, 75</w:t>
      </w:r>
      <w:r>
        <w:t xml:space="preserve">, 102776.</w:t>
      </w:r>
    </w:p>
    <w:p>
      <w:pPr>
        <w:pStyle w:val="BodyText"/>
      </w:pPr>
      <w:r>
        <w:t xml:space="preserve">Subrahmanyam, A. (1994). Circuit breakers and market volatility: A theoretical perspective.</w:t>
      </w:r>
      <w:r>
        <w:t xml:space="preserve"> </w:t>
      </w:r>
      <w:r>
        <w:rPr>
          <w:iCs/>
          <w:i/>
        </w:rPr>
        <w:t xml:space="preserve">The Journal of Finance, 49</w:t>
      </w:r>
      <w:r>
        <w:t xml:space="preserve">(1), 237–254.</w:t>
      </w:r>
      <w:r>
        <w:t xml:space="preserve"> </w:t>
      </w:r>
      <w:hyperlink r:id="rId65">
        <w:r>
          <w:rPr>
            <w:rStyle w:val="Hyperlink"/>
          </w:rPr>
          <w:t xml:space="preserve">https://doi.org/10.1111/j.1540-6261.1994.tb04427.x</w:t>
        </w:r>
      </w:hyperlink>
    </w:p>
    <w:p>
      <w:pPr>
        <w:pStyle w:val="BodyText"/>
      </w:pPr>
      <w:r>
        <w:t xml:space="preserve">Viet Nam News. (2025).</w:t>
      </w:r>
      <w:r>
        <w:t xml:space="preserve"> </w:t>
      </w:r>
      <w:r>
        <w:rPr>
          <w:iCs/>
          <w:i/>
        </w:rPr>
        <w:t xml:space="preserve">KRX system officially goes live</w:t>
      </w:r>
      <w:r>
        <w:t xml:space="preserve">. Viet Nam News.</w:t>
      </w:r>
      <w:r>
        <w:t xml:space="preserve"> </w:t>
      </w:r>
      <w:hyperlink r:id="rId66">
        <w:r>
          <w:rPr>
            <w:rStyle w:val="Hyperlink"/>
          </w:rPr>
          <w:t xml:space="preserve">https://vietnamnews.vn/economy/1717047/krx-system-officially-goes-live.html</w:t>
        </w:r>
      </w:hyperlink>
      <w:r>
        <w:t xml:space="preserve">. Accessed on October 5, 2026.</w:t>
      </w:r>
    </w:p>
    <w:p>
      <w:pPr>
        <w:pStyle w:val="BodyText"/>
      </w:pPr>
      <w:r>
        <w:t xml:space="preserve">Zeng, Z., Wang, G., &amp; Tang, G. (2024). Price limits hitting effect and cross-sectional stock returns: Evidence from China.</w:t>
      </w:r>
      <w:r>
        <w:t xml:space="preserve"> </w:t>
      </w:r>
      <w:r>
        <w:rPr>
          <w:iCs/>
          <w:i/>
        </w:rPr>
        <w:t xml:space="preserve">Finance Research Letters, 60</w:t>
      </w:r>
      <w:r>
        <w:t xml:space="preserve">, 104803.</w:t>
      </w:r>
      <w:r>
        <w:t xml:space="preserve"> </w:t>
      </w:r>
      <w:hyperlink r:id="rId67">
        <w:r>
          <w:rPr>
            <w:rStyle w:val="Hyperlink"/>
          </w:rPr>
          <w:t xml:space="preserve">https://doi.org/10.1016/j.frl.2023.104803</w:t>
        </w:r>
      </w:hyperlink>
    </w:p>
    <w:p>
      <w:pPr>
        <w:pStyle w:val="BodyText"/>
      </w:pPr>
      <w:r>
        <w:t xml:space="preserve">Zhang, X., Wang, Z., Hao, J., &amp; He, F. (2022). Price limit and stock market quality: Evidence from a quasi-natural experiment in the Chinese stock market.</w:t>
      </w:r>
      <w:r>
        <w:t xml:space="preserve"> </w:t>
      </w:r>
      <w:r>
        <w:rPr>
          <w:iCs/>
          <w:i/>
        </w:rPr>
        <w:t xml:space="preserve">Pacific-Basin Finance Journal, 74</w:t>
      </w:r>
      <w:r>
        <w:t xml:space="preserve">, 101778.</w:t>
      </w:r>
    </w:p>
    <w:bookmarkEnd w:id="68"/>
    <w:bookmarkStart w:id="69" w:name="figures"/>
    <w:p>
      <w:pPr>
        <w:pStyle w:val="Heading1"/>
      </w:pPr>
      <w:r>
        <w:t xml:space="preserve">Figures</w:t>
      </w:r>
    </w:p>
    <w:p>
      <w:pPr>
        <w:pStyle w:val="FirstParagraph"/>
      </w:pPr>
      <w:r>
        <w:t xml:space="preserve">[[FIG:figures/F1_characteristics.png]]</w:t>
      </w:r>
    </w:p>
    <w:p>
      <w:pPr>
        <w:pStyle w:val="BodyText"/>
      </w:pPr>
      <w:r>
        <w:t xml:space="preserve">[[CAP]] Figure 1 Fama–MacBeth</w:t>
      </w:r>
      <w:r>
        <w:t xml:space="preserve"> </w:t>
      </w:r>
      <w:r>
        <w:rPr>
          <w:iCs/>
          <w:i/>
        </w:rPr>
        <w:t xml:space="preserve">t</w:t>
      </w:r>
      <w:r>
        <w:t xml:space="preserve">-statistics of the 22 characteristics</w:t>
      </w:r>
    </w:p>
    <w:p>
      <w:pPr>
        <w:pStyle w:val="BodyText"/>
      </w:pPr>
      <w:r>
        <w:t xml:space="preserve">[[NOTE]]</w:t>
      </w:r>
      <w:r>
        <w:t xml:space="preserve"> </w:t>
      </w:r>
      <w:r>
        <w:rPr>
          <w:iCs/>
          <w:i/>
        </w:rPr>
        <w:t xml:space="preserve">Note.</w:t>
      </w:r>
      <w:r>
        <w:t xml:space="preserve"> </w:t>
      </w:r>
      <w:r>
        <w:t xml:space="preserve">Full sample, discovery half (first 39 weeks), and confirmation half, ordered by absolute full-sample</w:t>
      </w:r>
      <w:r>
        <w:t xml:space="preserve"> </w:t>
      </w:r>
      <w:r>
        <w:rPr>
          <w:iCs/>
          <w:i/>
        </w:rPr>
        <w:t xml:space="preserve">t</w:t>
      </w:r>
      <w:r>
        <w:t xml:space="preserve">. Dashed lines mark |</w:t>
      </w:r>
      <w:r>
        <w:rPr>
          <w:iCs/>
          <w:i/>
        </w:rPr>
        <w:t xml:space="preserve">t</w:t>
      </w:r>
      <w:r>
        <w:t xml:space="preserve">| = 1.96 and dotted lines |</w:t>
      </w:r>
      <w:r>
        <w:rPr>
          <w:iCs/>
          <w:i/>
        </w:rPr>
        <w:t xml:space="preserve">t</w:t>
      </w:r>
      <w:r>
        <w:t xml:space="preserve">| = 3. Supplementary Material S1 defines the labels.</w:t>
      </w:r>
    </w:p>
    <w:p>
      <w:pPr>
        <w:pStyle w:val="BodyText"/>
      </w:pPr>
      <w:r>
        <w:t xml:space="preserve">[[FIG:figures/F2_break_at_limit.png]]</w:t>
      </w:r>
    </w:p>
    <w:p>
      <w:pPr>
        <w:pStyle w:val="BodyText"/>
      </w:pPr>
      <w:r>
        <w:t xml:space="preserve">[[CAP]] Figure 2 Next-day abnormal return by the size of the day-</w:t>
      </w:r>
      <w:r>
        <w:rPr>
          <w:iCs/>
          <w:i/>
        </w:rPr>
        <w:t xml:space="preserve">d</w:t>
      </w:r>
      <w:r>
        <w:t xml:space="preserve"> </w:t>
      </w:r>
      <w:r>
        <w:t xml:space="preserve">move</w:t>
      </w:r>
    </w:p>
    <w:p>
      <w:pPr>
        <w:pStyle w:val="BodyText"/>
      </w:pPr>
      <w:r>
        <w:t xml:space="preserve">[[NOTE]]</w:t>
      </w:r>
      <w:r>
        <w:t xml:space="preserve"> </w:t>
      </w:r>
      <w:r>
        <w:rPr>
          <w:iCs/>
          <w:i/>
        </w:rPr>
        <w:t xml:space="preserve">Note.</w:t>
      </w:r>
      <w:r>
        <w:t xml:space="preserve"> </w:t>
      </w:r>
      <w:r>
        <w:t xml:space="preserve">Circles are 1-point bins inside the band, triangles are ceiling and floor events, and squares are other moves of 6.5% to 10%. Bars are 95% confidence intervals clustered by date. Market weights are lagged to day</w:t>
      </w:r>
      <w:r>
        <w:t xml:space="preserve"> </w:t>
      </w:r>
      <w:r>
        <w:rPr>
          <w:iCs/>
          <w:i/>
        </w:rPr>
        <w:t xml:space="preserve">d</w:t>
      </w:r>
      <w:r>
        <w:t xml:space="preserve">.</w:t>
      </w:r>
    </w:p>
    <w:bookmarkEnd w:id="69"/>
    <w:bookmarkStart w:id="70" w:name="tables"/>
    <w:p>
      <w:pPr>
        <w:pStyle w:val="Heading1"/>
      </w:pPr>
      <w:r>
        <w:t xml:space="preserve">Tables</w:t>
      </w:r>
    </w:p>
    <w:p>
      <w:pPr>
        <w:pStyle w:val="FirstParagraph"/>
      </w:pPr>
      <w:r>
        <w:t xml:space="preserve">[[CAP]] Table 1 Market-adjusted returns after ceiling and floor closes</w:t>
      </w:r>
    </w:p>
    <w:tbl>
      <w:tblPr>
        <w:tblStyle w:val="Table"/>
        <w:tblW w:type="pct" w:w="5000"/>
        <w:tblLook w:firstRow="1" w:lastRow="0" w:firstColumn="0" w:lastColumn="0" w:noHBand="0" w:noVBand="0" w:val="0020"/>
        <w:jc w:val="start"/>
      </w:tblPr>
      <w:tblGrid>
        <w:gridCol w:w="728"/>
        <w:gridCol w:w="1365"/>
        <w:gridCol w:w="819"/>
        <w:gridCol w:w="1001"/>
        <w:gridCol w:w="1001"/>
        <w:gridCol w:w="1183"/>
        <w:gridCol w:w="1183"/>
        <w:gridCol w:w="637"/>
      </w:tblGrid>
      <w:tr>
        <w:trPr>
          <w:tblHeader w:val="true"/>
        </w:trPr>
        <w:tc>
          <w:tcPr/>
          <w:p>
            <w:pPr>
              <w:pStyle w:val="Compact"/>
              <w:jc w:val="left"/>
            </w:pPr>
            <w:r>
              <w:t xml:space="preserve">Event</w:t>
            </w:r>
          </w:p>
        </w:tc>
        <w:tc>
          <w:tcPr/>
          <w:p>
            <w:pPr>
              <w:pStyle w:val="Compact"/>
              <w:jc w:val="left"/>
            </w:pPr>
            <w:r>
              <w:t xml:space="preserve">Horizon</w:t>
            </w:r>
          </w:p>
        </w:tc>
        <w:tc>
          <w:tcPr/>
          <w:p>
            <w:pPr>
              <w:pStyle w:val="Compact"/>
              <w:jc w:val="left"/>
            </w:pPr>
            <w:r>
              <w:t xml:space="preserve">Mean (%)</w:t>
            </w:r>
          </w:p>
        </w:tc>
        <w:tc>
          <w:tcPr/>
          <w:p>
            <w:pPr>
              <w:pStyle w:val="Compact"/>
              <w:jc w:val="left"/>
            </w:pPr>
            <w:r>
              <w:rPr>
                <w:iCs/>
                <w:i/>
              </w:rPr>
              <w:t xml:space="preserve">t</w:t>
            </w:r>
            <w:r>
              <w:t xml:space="preserve"> </w:t>
            </w:r>
            <w:r>
              <w:t xml:space="preserve">(date)</w:t>
            </w:r>
          </w:p>
        </w:tc>
        <w:tc>
          <w:tcPr/>
          <w:p>
            <w:pPr>
              <w:pStyle w:val="Compact"/>
              <w:jc w:val="left"/>
            </w:pPr>
            <w:r>
              <w:rPr>
                <w:iCs/>
                <w:i/>
              </w:rPr>
              <w:t xml:space="preserve">t</w:t>
            </w:r>
            <w:r>
              <w:t xml:space="preserve"> </w:t>
            </w:r>
            <w:r>
              <w:t xml:space="preserve">(week)</w:t>
            </w:r>
          </w:p>
        </w:tc>
        <w:tc>
          <w:tcPr/>
          <w:p>
            <w:pPr>
              <w:pStyle w:val="Compact"/>
              <w:jc w:val="left"/>
            </w:pPr>
            <w:r>
              <w:rPr>
                <w:iCs/>
                <w:i/>
              </w:rPr>
              <w:t xml:space="preserve">t</w:t>
            </w:r>
            <w:r>
              <w:t xml:space="preserve"> </w:t>
            </w:r>
            <w:r>
              <w:t xml:space="preserve">(10-day)</w:t>
            </w:r>
          </w:p>
        </w:tc>
        <w:tc>
          <w:tcPr/>
          <w:p>
            <w:pPr>
              <w:pStyle w:val="Compact"/>
              <w:jc w:val="left"/>
            </w:pPr>
            <w:r>
              <w:rPr>
                <w:iCs/>
                <w:i/>
              </w:rPr>
              <w:t xml:space="preserve">t</w:t>
            </w:r>
            <w:r>
              <w:t xml:space="preserve"> </w:t>
            </w:r>
            <w:r>
              <w:t xml:space="preserve">(halves)</w:t>
            </w:r>
          </w:p>
        </w:tc>
        <w:tc>
          <w:tcPr/>
          <w:p>
            <w:pPr>
              <w:pStyle w:val="Compact"/>
              <w:jc w:val="left"/>
            </w:pPr>
            <w:r>
              <w:t xml:space="preserve">Events</w:t>
            </w:r>
          </w:p>
        </w:tc>
      </w:tr>
      <w:tr>
        <w:tc>
          <w:tcPr/>
          <w:p>
            <w:pPr>
              <w:pStyle w:val="Compact"/>
              <w:jc w:val="left"/>
            </w:pPr>
            <w:r>
              <w:t xml:space="preserve">Ceiling</w:t>
            </w:r>
          </w:p>
        </w:tc>
        <w:tc>
          <w:tcPr/>
          <w:p>
            <w:pPr>
              <w:pStyle w:val="Compact"/>
              <w:jc w:val="left"/>
            </w:pPr>
            <w:r>
              <w:rPr>
                <w:iCs/>
                <w:i/>
              </w:rPr>
              <w:t xml:space="preserve">d</w:t>
            </w:r>
            <w:r>
              <w:t xml:space="preserve">+1</w:t>
            </w:r>
          </w:p>
        </w:tc>
        <w:tc>
          <w:tcPr/>
          <w:p>
            <w:pPr>
              <w:pStyle w:val="Compact"/>
              <w:jc w:val="left"/>
            </w:pPr>
            <w:r>
              <w:t xml:space="preserve">1.66</w:t>
            </w:r>
          </w:p>
        </w:tc>
        <w:tc>
          <w:tcPr/>
          <w:p>
            <w:pPr>
              <w:pStyle w:val="Compact"/>
              <w:jc w:val="left"/>
            </w:pPr>
            <w:r>
              <w:t xml:space="preserve">4.90</w:t>
            </w:r>
          </w:p>
        </w:tc>
        <w:tc>
          <w:tcPr/>
          <w:p>
            <w:pPr>
              <w:pStyle w:val="Compact"/>
              <w:jc w:val="left"/>
            </w:pPr>
            <w:r>
              <w:t xml:space="preserve">4.67</w:t>
            </w:r>
          </w:p>
        </w:tc>
        <w:tc>
          <w:tcPr/>
          <w:p>
            <w:pPr>
              <w:pStyle w:val="Compact"/>
              <w:jc w:val="left"/>
            </w:pPr>
            <w:r>
              <w:t xml:space="preserve">4.61</w:t>
            </w:r>
          </w:p>
        </w:tc>
        <w:tc>
          <w:tcPr/>
          <w:p>
            <w:pPr>
              <w:pStyle w:val="Compact"/>
              <w:jc w:val="left"/>
            </w:pPr>
            <w:r>
              <w:t xml:space="preserve">2.2 / 13.7</w:t>
            </w:r>
          </w:p>
        </w:tc>
        <w:tc>
          <w:tcPr/>
          <w:p>
            <w:pPr>
              <w:pStyle w:val="Compact"/>
              <w:jc w:val="left"/>
            </w:pPr>
            <w:r>
              <w:t xml:space="preserve">3,187</w:t>
            </w:r>
          </w:p>
        </w:tc>
      </w:tr>
      <w:tr>
        <w:tc>
          <w:tcPr/>
          <w:p>
            <w:pPr>
              <w:pStyle w:val="Compact"/>
              <w:jc w:val="left"/>
            </w:pPr>
            <w:r>
              <w:t xml:space="preserve">Ceiling</w:t>
            </w:r>
          </w:p>
        </w:tc>
        <w:tc>
          <w:tcPr/>
          <w:p>
            <w:pPr>
              <w:pStyle w:val="Compact"/>
              <w:jc w:val="left"/>
            </w:pPr>
            <w:r>
              <w:rPr>
                <w:iCs/>
                <w:i/>
              </w:rPr>
              <w:t xml:space="preserve">d</w:t>
            </w:r>
            <w:r>
              <w:t xml:space="preserve">+1 to</w:t>
            </w:r>
            <w:r>
              <w:t xml:space="preserve"> </w:t>
            </w:r>
            <w:r>
              <w:rPr>
                <w:iCs/>
                <w:i/>
              </w:rPr>
              <w:t xml:space="preserve">d</w:t>
            </w:r>
            <w:r>
              <w:t xml:space="preserve">+5</w:t>
            </w:r>
          </w:p>
        </w:tc>
        <w:tc>
          <w:tcPr/>
          <w:p>
            <w:pPr>
              <w:pStyle w:val="Compact"/>
              <w:jc w:val="left"/>
            </w:pPr>
            <w:r>
              <w:t xml:space="preserve">1.45</w:t>
            </w:r>
          </w:p>
        </w:tc>
        <w:tc>
          <w:tcPr/>
          <w:p>
            <w:pPr>
              <w:pStyle w:val="Compact"/>
              <w:jc w:val="left"/>
            </w:pPr>
            <w:r>
              <w:t xml:space="preserve">4.00</w:t>
            </w:r>
          </w:p>
        </w:tc>
        <w:tc>
          <w:tcPr/>
          <w:p>
            <w:pPr>
              <w:pStyle w:val="Compact"/>
              <w:jc w:val="left"/>
            </w:pPr>
            <w:r>
              <w:t xml:space="preserve">3.67</w:t>
            </w:r>
          </w:p>
        </w:tc>
        <w:tc>
          <w:tcPr/>
          <w:p>
            <w:pPr>
              <w:pStyle w:val="Compact"/>
              <w:jc w:val="left"/>
            </w:pPr>
            <w:r>
              <w:t xml:space="preserve">3.81</w:t>
            </w:r>
          </w:p>
        </w:tc>
        <w:tc>
          <w:tcPr/>
          <w:p>
            <w:pPr>
              <w:pStyle w:val="Compact"/>
              <w:jc w:val="left"/>
            </w:pPr>
            <w:r>
              <w:t xml:space="preserve">1.7 / 5.0</w:t>
            </w:r>
          </w:p>
        </w:tc>
        <w:tc>
          <w:tcPr/>
          <w:p>
            <w:pPr>
              <w:pStyle w:val="Compact"/>
              <w:jc w:val="left"/>
            </w:pPr>
            <w:r>
              <w:t xml:space="preserve">3,187</w:t>
            </w:r>
          </w:p>
        </w:tc>
      </w:tr>
      <w:tr>
        <w:tc>
          <w:tcPr/>
          <w:p>
            <w:pPr>
              <w:pStyle w:val="Compact"/>
              <w:jc w:val="left"/>
            </w:pPr>
            <w:r>
              <w:t xml:space="preserve">Ceiling</w:t>
            </w:r>
          </w:p>
        </w:tc>
        <w:tc>
          <w:tcPr/>
          <w:p>
            <w:pPr>
              <w:pStyle w:val="Compact"/>
              <w:jc w:val="left"/>
            </w:pPr>
            <w:r>
              <w:rPr>
                <w:iCs/>
                <w:i/>
              </w:rPr>
              <w:t xml:space="preserve">d</w:t>
            </w:r>
            <w:r>
              <w:t xml:space="preserve">+2 to</w:t>
            </w:r>
            <w:r>
              <w:t xml:space="preserve"> </w:t>
            </w:r>
            <w:r>
              <w:rPr>
                <w:iCs/>
                <w:i/>
              </w:rPr>
              <w:t xml:space="preserve">d</w:t>
            </w:r>
            <w:r>
              <w:t xml:space="preserve">+5</w:t>
            </w:r>
          </w:p>
        </w:tc>
        <w:tc>
          <w:tcPr/>
          <w:p>
            <w:pPr>
              <w:pStyle w:val="Compact"/>
              <w:jc w:val="left"/>
            </w:pPr>
            <w:r>
              <w:t xml:space="preserve">−0.24</w:t>
            </w:r>
          </w:p>
        </w:tc>
        <w:tc>
          <w:tcPr/>
          <w:p>
            <w:pPr>
              <w:pStyle w:val="Compact"/>
              <w:jc w:val="left"/>
            </w:pPr>
            <w:r>
              <w:t xml:space="preserve">−1.53</w:t>
            </w:r>
          </w:p>
        </w:tc>
        <w:tc>
          <w:tcPr/>
          <w:p>
            <w:pPr>
              <w:pStyle w:val="Compact"/>
              <w:jc w:val="left"/>
            </w:pPr>
            <w:r>
              <w:t xml:space="preserve">−1.11</w:t>
            </w:r>
          </w:p>
        </w:tc>
        <w:tc>
          <w:tcPr/>
          <w:p>
            <w:pPr>
              <w:pStyle w:val="Compact"/>
              <w:jc w:val="left"/>
            </w:pPr>
            <w:r>
              <w:t xml:space="preserve">−1.25</w:t>
            </w:r>
          </w:p>
        </w:tc>
        <w:tc>
          <w:tcPr/>
          <w:p>
            <w:pPr>
              <w:pStyle w:val="Compact"/>
              <w:jc w:val="left"/>
            </w:pPr>
            <w:r>
              <w:t xml:space="preserve">−1.1 / −0.4</w:t>
            </w:r>
          </w:p>
        </w:tc>
        <w:tc>
          <w:tcPr/>
          <w:p>
            <w:pPr>
              <w:pStyle w:val="Compact"/>
              <w:jc w:val="left"/>
            </w:pPr>
            <w:r>
              <w:t xml:space="preserve">3,187</w:t>
            </w:r>
          </w:p>
        </w:tc>
      </w:tr>
      <w:tr>
        <w:tc>
          <w:tcPr/>
          <w:p>
            <w:pPr>
              <w:pStyle w:val="Compact"/>
              <w:jc w:val="left"/>
            </w:pPr>
            <w:r>
              <w:t xml:space="preserve">Floor</w:t>
            </w:r>
          </w:p>
        </w:tc>
        <w:tc>
          <w:tcPr/>
          <w:p>
            <w:pPr>
              <w:pStyle w:val="Compact"/>
              <w:jc w:val="left"/>
            </w:pPr>
            <w:r>
              <w:rPr>
                <w:iCs/>
                <w:i/>
              </w:rPr>
              <w:t xml:space="preserve">d</w:t>
            </w:r>
            <w:r>
              <w:t xml:space="preserve">+1</w:t>
            </w:r>
          </w:p>
        </w:tc>
        <w:tc>
          <w:tcPr/>
          <w:p>
            <w:pPr>
              <w:pStyle w:val="Compact"/>
              <w:jc w:val="left"/>
            </w:pPr>
            <w:r>
              <w:t xml:space="preserve">−0.71</w:t>
            </w:r>
          </w:p>
        </w:tc>
        <w:tc>
          <w:tcPr/>
          <w:p>
            <w:pPr>
              <w:pStyle w:val="Compact"/>
              <w:jc w:val="left"/>
            </w:pPr>
            <w:r>
              <w:t xml:space="preserve">−5.32</w:t>
            </w:r>
          </w:p>
        </w:tc>
        <w:tc>
          <w:tcPr/>
          <w:p>
            <w:pPr>
              <w:pStyle w:val="Compact"/>
              <w:jc w:val="left"/>
            </w:pPr>
            <w:r>
              <w:t xml:space="preserve">−4.66</w:t>
            </w:r>
          </w:p>
        </w:tc>
        <w:tc>
          <w:tcPr/>
          <w:p>
            <w:pPr>
              <w:pStyle w:val="Compact"/>
              <w:jc w:val="left"/>
            </w:pPr>
            <w:r>
              <w:t xml:space="preserve">−6.25</w:t>
            </w:r>
          </w:p>
        </w:tc>
        <w:tc>
          <w:tcPr/>
          <w:p>
            <w:pPr>
              <w:pStyle w:val="Compact"/>
              <w:jc w:val="left"/>
            </w:pPr>
            <w:r>
              <w:t xml:space="preserve">−2.7 / −4.6</w:t>
            </w:r>
          </w:p>
        </w:tc>
        <w:tc>
          <w:tcPr/>
          <w:p>
            <w:pPr>
              <w:pStyle w:val="Compact"/>
              <w:jc w:val="left"/>
            </w:pPr>
            <w:r>
              <w:t xml:space="preserve">2,105</w:t>
            </w:r>
          </w:p>
        </w:tc>
      </w:tr>
      <w:tr>
        <w:tc>
          <w:tcPr/>
          <w:p>
            <w:pPr>
              <w:pStyle w:val="Compact"/>
              <w:jc w:val="left"/>
            </w:pPr>
            <w:r>
              <w:t xml:space="preserve">Floor</w:t>
            </w:r>
          </w:p>
        </w:tc>
        <w:tc>
          <w:tcPr/>
          <w:p>
            <w:pPr>
              <w:pStyle w:val="Compact"/>
              <w:jc w:val="left"/>
            </w:pPr>
            <w:r>
              <w:rPr>
                <w:iCs/>
                <w:i/>
              </w:rPr>
              <w:t xml:space="preserve">d</w:t>
            </w:r>
            <w:r>
              <w:t xml:space="preserve">+1 to</w:t>
            </w:r>
            <w:r>
              <w:t xml:space="preserve"> </w:t>
            </w:r>
            <w:r>
              <w:rPr>
                <w:iCs/>
                <w:i/>
              </w:rPr>
              <w:t xml:space="preserve">d</w:t>
            </w:r>
            <w:r>
              <w:t xml:space="preserve">+5</w:t>
            </w:r>
          </w:p>
        </w:tc>
        <w:tc>
          <w:tcPr/>
          <w:p>
            <w:pPr>
              <w:pStyle w:val="Compact"/>
              <w:jc w:val="left"/>
            </w:pPr>
            <w:r>
              <w:t xml:space="preserve">−1.76</w:t>
            </w:r>
          </w:p>
        </w:tc>
        <w:tc>
          <w:tcPr/>
          <w:p>
            <w:pPr>
              <w:pStyle w:val="Compact"/>
              <w:jc w:val="left"/>
            </w:pPr>
            <w:r>
              <w:t xml:space="preserve">−4.74</w:t>
            </w:r>
          </w:p>
        </w:tc>
        <w:tc>
          <w:tcPr/>
          <w:p>
            <w:pPr>
              <w:pStyle w:val="Compact"/>
              <w:jc w:val="left"/>
            </w:pPr>
            <w:r>
              <w:t xml:space="preserve">−4.80</w:t>
            </w:r>
          </w:p>
        </w:tc>
        <w:tc>
          <w:tcPr/>
          <w:p>
            <w:pPr>
              <w:pStyle w:val="Compact"/>
              <w:jc w:val="left"/>
            </w:pPr>
            <w:r>
              <w:t xml:space="preserve">−4.92</w:t>
            </w:r>
          </w:p>
        </w:tc>
        <w:tc>
          <w:tcPr/>
          <w:p>
            <w:pPr>
              <w:pStyle w:val="Compact"/>
              <w:jc w:val="left"/>
            </w:pPr>
            <w:r>
              <w:t xml:space="preserve">−12.3 / −2.2</w:t>
            </w:r>
          </w:p>
        </w:tc>
        <w:tc>
          <w:tcPr/>
          <w:p>
            <w:pPr>
              <w:pStyle w:val="Compact"/>
              <w:jc w:val="left"/>
            </w:pPr>
            <w:r>
              <w:t xml:space="preserve">2,105</w:t>
            </w:r>
          </w:p>
        </w:tc>
      </w:tr>
      <w:tr>
        <w:tc>
          <w:tcPr/>
          <w:p>
            <w:pPr>
              <w:pStyle w:val="Compact"/>
              <w:jc w:val="left"/>
            </w:pPr>
            <w:r>
              <w:t xml:space="preserve">Floor</w:t>
            </w:r>
          </w:p>
        </w:tc>
        <w:tc>
          <w:tcPr/>
          <w:p>
            <w:pPr>
              <w:pStyle w:val="Compact"/>
              <w:jc w:val="left"/>
            </w:pPr>
            <w:r>
              <w:rPr>
                <w:iCs/>
                <w:i/>
              </w:rPr>
              <w:t xml:space="preserve">d</w:t>
            </w:r>
            <w:r>
              <w:t xml:space="preserve">+2 to</w:t>
            </w:r>
            <w:r>
              <w:t xml:space="preserve"> </w:t>
            </w:r>
            <w:r>
              <w:rPr>
                <w:iCs/>
                <w:i/>
              </w:rPr>
              <w:t xml:space="preserve">d</w:t>
            </w:r>
            <w:r>
              <w:t xml:space="preserve">+5</w:t>
            </w:r>
          </w:p>
        </w:tc>
        <w:tc>
          <w:tcPr/>
          <w:p>
            <w:pPr>
              <w:pStyle w:val="Compact"/>
              <w:jc w:val="left"/>
            </w:pPr>
            <w:r>
              <w:t xml:space="preserve">−1.10</w:t>
            </w:r>
          </w:p>
        </w:tc>
        <w:tc>
          <w:tcPr/>
          <w:p>
            <w:pPr>
              <w:pStyle w:val="Compact"/>
              <w:jc w:val="left"/>
            </w:pPr>
            <w:r>
              <w:t xml:space="preserve">−2.91</w:t>
            </w:r>
          </w:p>
        </w:tc>
        <w:tc>
          <w:tcPr/>
          <w:p>
            <w:pPr>
              <w:pStyle w:val="Compact"/>
              <w:jc w:val="left"/>
            </w:pPr>
            <w:r>
              <w:t xml:space="preserve">−3.01</w:t>
            </w:r>
          </w:p>
        </w:tc>
        <w:tc>
          <w:tcPr/>
          <w:p>
            <w:pPr>
              <w:pStyle w:val="Compact"/>
              <w:jc w:val="left"/>
            </w:pPr>
            <w:r>
              <w:t xml:space="preserve">−2.81</w:t>
            </w:r>
          </w:p>
        </w:tc>
        <w:tc>
          <w:tcPr/>
          <w:p>
            <w:pPr>
              <w:pStyle w:val="Compact"/>
              <w:jc w:val="left"/>
            </w:pPr>
            <w:r>
              <w:t xml:space="preserve">−8.7 / −1.1</w:t>
            </w:r>
          </w:p>
        </w:tc>
        <w:tc>
          <w:tcPr/>
          <w:p>
            <w:pPr>
              <w:pStyle w:val="Compact"/>
              <w:jc w:val="left"/>
            </w:pPr>
            <w:r>
              <w:t xml:space="preserve">2,105</w:t>
            </w:r>
          </w:p>
        </w:tc>
      </w:tr>
    </w:tbl>
    <w:p>
      <w:pPr>
        <w:pStyle w:val="BodyText"/>
      </w:pPr>
      <w:r>
        <w:t xml:space="preserve">[[NOTE]]</w:t>
      </w:r>
      <w:r>
        <w:t xml:space="preserve"> </w:t>
      </w:r>
      <w:r>
        <w:rPr>
          <w:iCs/>
          <w:i/>
        </w:rPr>
        <w:t xml:space="preserve">Note.</w:t>
      </w:r>
      <w:r>
        <w:t xml:space="preserve"> </w:t>
      </w:r>
      <w:r>
        <w:t xml:space="preserve">Mean returns in percent.</w:t>
      </w:r>
      <w:r>
        <w:t xml:space="preserve"> </w:t>
      </w: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cluster by event date, calendar week, and 10-day block,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w:t>
      </w:r>
      <w:r>
        <w:t xml:space="preserve"> </w:t>
      </w:r>
      <w:r>
        <w:rPr>
          <w:iCs/>
          <w:i/>
        </w:rPr>
        <w:t xml:space="preserve">t</w:t>
      </w:r>
      <w:r>
        <w:t xml:space="preserve"> </w:t>
      </w:r>
      <w:r>
        <w:t xml:space="preserve">(halves) is week-clustered for the first and second half of event dates.</w:t>
      </w:r>
    </w:p>
    <w:p>
      <w:pPr>
        <w:pStyle w:val="BodyText"/>
      </w:pPr>
      <w:r>
        <w:t xml:space="preserve">[[CAP]] Table 2 Decomposition of the next-day abnormal return</w:t>
      </w:r>
    </w:p>
    <w:tbl>
      <w:tblPr>
        <w:tblStyle w:val="Table"/>
        <w:tblW w:type="pct" w:w="5000"/>
        <w:tblLook w:firstRow="1" w:lastRow="0" w:firstColumn="0" w:lastColumn="0" w:noHBand="0" w:noVBand="0" w:val="0020"/>
        <w:jc w:val="start"/>
      </w:tblPr>
      <w:tblGrid>
        <w:gridCol w:w="2613"/>
        <w:gridCol w:w="554"/>
        <w:gridCol w:w="1108"/>
        <w:gridCol w:w="1029"/>
        <w:gridCol w:w="1188"/>
        <w:gridCol w:w="1425"/>
      </w:tblGrid>
      <w:tr>
        <w:trPr>
          <w:tblHeader w:val="true"/>
        </w:trPr>
        <w:tc>
          <w:tcPr/>
          <w:p>
            <w:pPr>
              <w:pStyle w:val="Compact"/>
              <w:jc w:val="left"/>
            </w:pPr>
            <w:r>
              <w:t xml:space="preserve">Sample</w:t>
            </w:r>
          </w:p>
        </w:tc>
        <w:tc>
          <w:tcPr/>
          <w:p>
            <w:pPr>
              <w:pStyle w:val="Compact"/>
              <w:jc w:val="left"/>
            </w:pPr>
            <w:r>
              <w:t xml:space="preserve">Events</w:t>
            </w:r>
          </w:p>
        </w:tc>
        <w:tc>
          <w:tcPr/>
          <w:p>
            <w:pPr>
              <w:pStyle w:val="Compact"/>
              <w:jc w:val="left"/>
            </w:pPr>
            <w:r>
              <w:t xml:space="preserve">Overnight gap</w:t>
            </w:r>
          </w:p>
        </w:tc>
        <w:tc>
          <w:tcPr/>
          <w:p>
            <w:pPr>
              <w:pStyle w:val="Compact"/>
              <w:jc w:val="left"/>
            </w:pPr>
            <w:r>
              <w:t xml:space="preserve">Intraday</w:t>
            </w:r>
          </w:p>
        </w:tc>
        <w:tc>
          <w:tcPr/>
          <w:p>
            <w:pPr>
              <w:pStyle w:val="Compact"/>
              <w:jc w:val="left"/>
            </w:pPr>
            <w:r>
              <w:t xml:space="preserve">Close-to-close</w:t>
            </w:r>
          </w:p>
        </w:tc>
        <w:tc>
          <w:tcPr/>
          <w:p>
            <w:pPr>
              <w:pStyle w:val="Compact"/>
              <w:jc w:val="left"/>
            </w:pPr>
            <w:r>
              <w:t xml:space="preserve">Open to day</w:t>
            </w:r>
            <w:r>
              <w:t xml:space="preserve"> </w:t>
            </w:r>
            <w:r>
              <w:rPr>
                <w:iCs/>
                <w:i/>
              </w:rPr>
              <w:t xml:space="preserve">d</w:t>
            </w:r>
            <w:r>
              <w:t xml:space="preserve">+5</w:t>
            </w:r>
          </w:p>
        </w:tc>
      </w:tr>
      <w:tr>
        <w:tc>
          <w:tcPr/>
          <w:p>
            <w:pPr>
              <w:pStyle w:val="Compact"/>
              <w:jc w:val="left"/>
            </w:pPr>
            <w:r>
              <w:t xml:space="preserve">Ceiling closes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vs market</w:t>
            </w:r>
          </w:p>
        </w:tc>
        <w:tc>
          <w:tcPr/>
          <w:p>
            <w:pPr>
              <w:pStyle w:val="Compact"/>
              <w:jc w:val="left"/>
            </w:pPr>
            <w:r>
              <w:t xml:space="preserve">3,199</w:t>
            </w:r>
          </w:p>
        </w:tc>
        <w:tc>
          <w:tcPr/>
          <w:p>
            <w:pPr>
              <w:pStyle w:val="Compact"/>
              <w:jc w:val="left"/>
            </w:pPr>
            <w:r>
              <w:t xml:space="preserve">2.24 (9.7)</w:t>
            </w:r>
          </w:p>
        </w:tc>
        <w:tc>
          <w:tcPr/>
          <w:p>
            <w:pPr>
              <w:pStyle w:val="Compact"/>
              <w:jc w:val="left"/>
            </w:pPr>
            <w:r>
              <w:t xml:space="preserve">−0.54 (−3.5)</w:t>
            </w:r>
          </w:p>
        </w:tc>
        <w:tc>
          <w:tcPr/>
          <w:p>
            <w:pPr>
              <w:pStyle w:val="Compact"/>
              <w:jc w:val="left"/>
            </w:pPr>
            <w:r>
              <w:t xml:space="preserve">1.66 (4.8)</w:t>
            </w:r>
          </w:p>
        </w:tc>
        <w:tc>
          <w:tcPr/>
          <w:p>
            <w:pPr>
              <w:pStyle w:val="Compact"/>
              <w:jc w:val="left"/>
            </w:pPr>
            <w:r>
              <w:t xml:space="preserve">−0.75 (−2.7)</w:t>
            </w:r>
          </w:p>
        </w:tc>
      </w:tr>
      <w:tr>
        <w:tc>
          <w:tcPr/>
          <w:p>
            <w:pPr>
              <w:pStyle w:val="Compact"/>
              <w:jc w:val="left"/>
            </w:pPr>
            <w:r>
              <w:t xml:space="preserve">All, vs same-date controls</w:t>
            </w:r>
          </w:p>
        </w:tc>
        <w:tc>
          <w:tcPr/>
          <w:p>
            <w:pPr>
              <w:pStyle w:val="Compact"/>
              <w:jc w:val="left"/>
            </w:pPr>
            <w:r>
              <w:t xml:space="preserve">3,100</w:t>
            </w:r>
          </w:p>
        </w:tc>
        <w:tc>
          <w:tcPr/>
          <w:p>
            <w:pPr>
              <w:pStyle w:val="Compact"/>
              <w:jc w:val="left"/>
            </w:pPr>
            <w:r>
              <w:t xml:space="preserve">2.70 (20.2)</w:t>
            </w:r>
          </w:p>
        </w:tc>
        <w:tc>
          <w:tcPr/>
          <w:p>
            <w:pPr>
              <w:pStyle w:val="Compact"/>
              <w:jc w:val="left"/>
            </w:pPr>
            <w:r>
              <w:t xml:space="preserve">−0.50 (−6.0)</w:t>
            </w:r>
          </w:p>
        </w:tc>
        <w:tc>
          <w:tcPr/>
          <w:p>
            <w:pPr>
              <w:pStyle w:val="Compact"/>
              <w:jc w:val="left"/>
            </w:pPr>
            <w:r>
              <w:t xml:space="preserve">2.16 (18.0)</w:t>
            </w:r>
          </w:p>
        </w:tc>
        <w:tc>
          <w:tcPr/>
          <w:p>
            <w:pPr>
              <w:pStyle w:val="Compact"/>
              <w:jc w:val="left"/>
            </w:pPr>
            <w:r>
              <w:t xml:space="preserve">−0.53 (−1.8)</w:t>
            </w:r>
          </w:p>
        </w:tc>
      </w:tr>
      <w:tr>
        <w:tc>
          <w:tcPr/>
          <w:p>
            <w:pPr>
              <w:pStyle w:val="Compact"/>
              <w:jc w:val="left"/>
            </w:pPr>
            <w:r>
              <w:t xml:space="preserve">Exact limit hit</w:t>
            </w:r>
          </w:p>
        </w:tc>
        <w:tc>
          <w:tcPr/>
          <w:p>
            <w:pPr>
              <w:pStyle w:val="Compact"/>
              <w:jc w:val="left"/>
            </w:pPr>
            <w:r>
              <w:t xml:space="preserve">1,642</w:t>
            </w:r>
          </w:p>
        </w:tc>
        <w:tc>
          <w:tcPr/>
          <w:p>
            <w:pPr>
              <w:pStyle w:val="Compact"/>
              <w:jc w:val="left"/>
            </w:pPr>
            <w:r>
              <w:t xml:space="preserve">2.79 (13.8)</w:t>
            </w:r>
          </w:p>
        </w:tc>
        <w:tc>
          <w:tcPr/>
          <w:p>
            <w:pPr>
              <w:pStyle w:val="Compact"/>
              <w:jc w:val="left"/>
            </w:pPr>
            <w:r>
              <w:t xml:space="preserve">−0.74 (−5.3)</w:t>
            </w:r>
          </w:p>
        </w:tc>
        <w:tc>
          <w:tcPr/>
          <w:p>
            <w:pPr>
              <w:pStyle w:val="Compact"/>
              <w:jc w:val="left"/>
            </w:pPr>
            <w:r>
              <w:t xml:space="preserve">2.00 (7.1)</w:t>
            </w:r>
          </w:p>
        </w:tc>
        <w:tc>
          <w:tcPr/>
          <w:p>
            <w:pPr>
              <w:pStyle w:val="Compact"/>
              <w:jc w:val="left"/>
            </w:pPr>
            <w:r>
              <w:t xml:space="preserve">−1.02 (−3.0)</w:t>
            </w:r>
          </w:p>
        </w:tc>
      </w:tr>
      <w:tr>
        <w:tc>
          <w:tcPr/>
          <w:p>
            <w:pPr>
              <w:pStyle w:val="Compact"/>
              <w:jc w:val="left"/>
            </w:pPr>
            <w:r>
              <w:t xml:space="preserve">Near hit</w:t>
            </w:r>
          </w:p>
        </w:tc>
        <w:tc>
          <w:tcPr/>
          <w:p>
            <w:pPr>
              <w:pStyle w:val="Compact"/>
              <w:jc w:val="left"/>
            </w:pPr>
            <w:r>
              <w:t xml:space="preserve">1,557</w:t>
            </w:r>
          </w:p>
        </w:tc>
        <w:tc>
          <w:tcPr/>
          <w:p>
            <w:pPr>
              <w:pStyle w:val="Compact"/>
              <w:jc w:val="left"/>
            </w:pPr>
            <w:r>
              <w:t xml:space="preserve">1.67 (6.4)</w:t>
            </w:r>
          </w:p>
        </w:tc>
        <w:tc>
          <w:tcPr/>
          <w:p>
            <w:pPr>
              <w:pStyle w:val="Compact"/>
              <w:jc w:val="left"/>
            </w:pPr>
            <w:r>
              <w:t xml:space="preserve">−0.32 (−1.6)</w:t>
            </w:r>
          </w:p>
        </w:tc>
        <w:tc>
          <w:tcPr/>
          <w:p>
            <w:pPr>
              <w:pStyle w:val="Compact"/>
              <w:jc w:val="left"/>
            </w:pPr>
            <w:r>
              <w:t xml:space="preserve">1.31 (3.1)</w:t>
            </w:r>
          </w:p>
        </w:tc>
        <w:tc>
          <w:tcPr/>
          <w:p>
            <w:pPr>
              <w:pStyle w:val="Compact"/>
              <w:jc w:val="left"/>
            </w:pPr>
            <w:r>
              <w:t xml:space="preserve">−0.46 (−1.3)</w:t>
            </w:r>
          </w:p>
        </w:tc>
      </w:tr>
      <w:tr>
        <w:tc>
          <w:tcPr/>
          <w:p>
            <w:pPr>
              <w:pStyle w:val="Compact"/>
              <w:jc w:val="left"/>
            </w:pPr>
            <w:r>
              <w:t xml:space="preserve">Locked all day</w:t>
            </w:r>
          </w:p>
        </w:tc>
        <w:tc>
          <w:tcPr/>
          <w:p>
            <w:pPr>
              <w:pStyle w:val="Compact"/>
              <w:jc w:val="left"/>
            </w:pPr>
            <w:r>
              <w:t xml:space="preserve">522</w:t>
            </w:r>
          </w:p>
        </w:tc>
        <w:tc>
          <w:tcPr/>
          <w:p>
            <w:pPr>
              <w:pStyle w:val="Compact"/>
              <w:jc w:val="left"/>
            </w:pPr>
            <w:r>
              <w:t xml:space="preserve">2.91 (3.0)</w:t>
            </w:r>
          </w:p>
        </w:tc>
        <w:tc>
          <w:tcPr/>
          <w:p>
            <w:pPr>
              <w:pStyle w:val="Compact"/>
              <w:jc w:val="left"/>
            </w:pPr>
            <w:r>
              <w:t xml:space="preserve">−1.30 (−5.9)</w:t>
            </w:r>
          </w:p>
        </w:tc>
        <w:tc>
          <w:tcPr/>
          <w:p>
            <w:pPr>
              <w:pStyle w:val="Compact"/>
              <w:jc w:val="left"/>
            </w:pPr>
            <w:r>
              <w:t xml:space="preserve">1.54 (1.4)</w:t>
            </w:r>
          </w:p>
        </w:tc>
        <w:tc>
          <w:tcPr/>
          <w:p>
            <w:pPr>
              <w:pStyle w:val="Compact"/>
              <w:jc w:val="left"/>
            </w:pPr>
            <w:r>
              <w:t xml:space="preserve">−0.76 (−1.5)</w:t>
            </w:r>
          </w:p>
        </w:tc>
      </w:tr>
      <w:tr>
        <w:tc>
          <w:tcPr/>
          <w:p>
            <w:pPr>
              <w:pStyle w:val="Compact"/>
              <w:jc w:val="left"/>
            </w:pPr>
            <w:r>
              <w:t xml:space="preserve">First half of sample</w:t>
            </w:r>
          </w:p>
        </w:tc>
        <w:tc>
          <w:tcPr/>
          <w:p>
            <w:pPr>
              <w:pStyle w:val="Compact"/>
              <w:jc w:val="left"/>
            </w:pPr>
            <w:r>
              <w:t xml:space="preserve">1,615</w:t>
            </w:r>
          </w:p>
        </w:tc>
        <w:tc>
          <w:tcPr/>
          <w:p>
            <w:pPr>
              <w:pStyle w:val="Compact"/>
              <w:jc w:val="left"/>
            </w:pPr>
            <w:r>
              <w:t xml:space="preserve">2.24 (5.4)</w:t>
            </w:r>
          </w:p>
        </w:tc>
        <w:tc>
          <w:tcPr/>
          <w:p>
            <w:pPr>
              <w:pStyle w:val="Compact"/>
              <w:jc w:val="left"/>
            </w:pPr>
            <w:r>
              <w:t xml:space="preserve">−0.77 (−3.3)</w:t>
            </w:r>
          </w:p>
        </w:tc>
        <w:tc>
          <w:tcPr/>
          <w:p>
            <w:pPr>
              <w:pStyle w:val="Compact"/>
              <w:jc w:val="left"/>
            </w:pPr>
            <w:r>
              <w:t xml:space="preserve">1.42 (2.3)</w:t>
            </w:r>
          </w:p>
        </w:tc>
        <w:tc>
          <w:tcPr/>
          <w:p>
            <w:pPr>
              <w:pStyle w:val="Compact"/>
              <w:jc w:val="left"/>
            </w:pPr>
            <w:r>
              <w:t xml:space="preserve">−1.13 (−2.9)</w:t>
            </w:r>
          </w:p>
        </w:tc>
      </w:tr>
      <w:tr>
        <w:tc>
          <w:tcPr/>
          <w:p>
            <w:pPr>
              <w:pStyle w:val="Compact"/>
              <w:jc w:val="left"/>
            </w:pPr>
            <w:r>
              <w:t xml:space="preserve">Second half of sample</w:t>
            </w:r>
          </w:p>
        </w:tc>
        <w:tc>
          <w:tcPr/>
          <w:p>
            <w:pPr>
              <w:pStyle w:val="Compact"/>
              <w:jc w:val="left"/>
            </w:pPr>
            <w:r>
              <w:t xml:space="preserve">1,584</w:t>
            </w:r>
          </w:p>
        </w:tc>
        <w:tc>
          <w:tcPr/>
          <w:p>
            <w:pPr>
              <w:pStyle w:val="Compact"/>
              <w:jc w:val="left"/>
            </w:pPr>
            <w:r>
              <w:t xml:space="preserve">2.25 (13.0)</w:t>
            </w:r>
          </w:p>
        </w:tc>
        <w:tc>
          <w:tcPr/>
          <w:p>
            <w:pPr>
              <w:pStyle w:val="Compact"/>
              <w:jc w:val="left"/>
            </w:pPr>
            <w:r>
              <w:t xml:space="preserve">−0.29 (−2.5)</w:t>
            </w:r>
          </w:p>
        </w:tc>
        <w:tc>
          <w:tcPr/>
          <w:p>
            <w:pPr>
              <w:pStyle w:val="Compact"/>
              <w:jc w:val="left"/>
            </w:pPr>
            <w:r>
              <w:t xml:space="preserve">1.91 (11.3)</w:t>
            </w:r>
          </w:p>
        </w:tc>
        <w:tc>
          <w:tcPr/>
          <w:p>
            <w:pPr>
              <w:pStyle w:val="Compact"/>
              <w:jc w:val="left"/>
            </w:pPr>
            <w:r>
              <w:t xml:space="preserve">−0.36 (−1.2)</w:t>
            </w:r>
          </w:p>
        </w:tc>
      </w:tr>
      <w:tr>
        <w:tc>
          <w:tcPr/>
          <w:p>
            <w:pPr>
              <w:pStyle w:val="Compact"/>
              <w:jc w:val="left"/>
            </w:pPr>
            <w:r>
              <w:t xml:space="preserve">Excluding days with market &lt; −2%</w:t>
            </w:r>
          </w:p>
        </w:tc>
        <w:tc>
          <w:tcPr/>
          <w:p>
            <w:pPr>
              <w:pStyle w:val="Compact"/>
              <w:jc w:val="left"/>
            </w:pPr>
            <w:r>
              <w:t xml:space="preserve">3,125</w:t>
            </w:r>
          </w:p>
        </w:tc>
        <w:tc>
          <w:tcPr/>
          <w:p>
            <w:pPr>
              <w:pStyle w:val="Compact"/>
              <w:jc w:val="left"/>
            </w:pPr>
            <w:r>
              <w:t xml:space="preserve">2.24 (9.6)</w:t>
            </w:r>
          </w:p>
        </w:tc>
        <w:tc>
          <w:tcPr/>
          <w:p>
            <w:pPr>
              <w:pStyle w:val="Compact"/>
              <w:jc w:val="left"/>
            </w:pPr>
            <w:r>
              <w:t xml:space="preserve">−0.53 (−3.4)</w:t>
            </w:r>
          </w:p>
        </w:tc>
        <w:tc>
          <w:tcPr/>
          <w:p>
            <w:pPr>
              <w:pStyle w:val="Compact"/>
              <w:jc w:val="left"/>
            </w:pPr>
            <w:r>
              <w:t xml:space="preserve">1.67 (4.7)</w:t>
            </w:r>
          </w:p>
        </w:tc>
        <w:tc>
          <w:tcPr/>
          <w:p>
            <w:pPr>
              <w:pStyle w:val="Compact"/>
              <w:jc w:val="left"/>
            </w:pPr>
            <w:r>
              <w:t xml:space="preserve">−0.70 (−2.6)</w:t>
            </w:r>
          </w:p>
        </w:tc>
      </w:tr>
      <w:tr>
        <w:tc>
          <w:tcPr/>
          <w:p>
            <w:pPr>
              <w:pStyle w:val="Compact"/>
              <w:jc w:val="left"/>
            </w:pPr>
            <w:r>
              <w:t xml:space="preserve">Floor closes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vs market</w:t>
            </w:r>
          </w:p>
        </w:tc>
        <w:tc>
          <w:tcPr/>
          <w:p>
            <w:pPr>
              <w:pStyle w:val="Compact"/>
              <w:jc w:val="left"/>
            </w:pPr>
            <w:r>
              <w:t xml:space="preserve">2,111</w:t>
            </w:r>
          </w:p>
        </w:tc>
        <w:tc>
          <w:tcPr/>
          <w:p>
            <w:pPr>
              <w:pStyle w:val="Compact"/>
              <w:jc w:val="left"/>
            </w:pPr>
            <w:r>
              <w:t xml:space="preserve">−0.97 (−4.6)</w:t>
            </w:r>
          </w:p>
        </w:tc>
        <w:tc>
          <w:tcPr/>
          <w:p>
            <w:pPr>
              <w:pStyle w:val="Compact"/>
              <w:jc w:val="left"/>
            </w:pPr>
            <w:r>
              <w:t xml:space="preserve">0.30 (1.4)</w:t>
            </w:r>
          </w:p>
        </w:tc>
        <w:tc>
          <w:tcPr/>
          <w:p>
            <w:pPr>
              <w:pStyle w:val="Compact"/>
              <w:jc w:val="left"/>
            </w:pPr>
            <w:r>
              <w:t xml:space="preserve">−0.69 (−4.8)</w:t>
            </w:r>
          </w:p>
        </w:tc>
        <w:tc>
          <w:tcPr/>
          <w:p>
            <w:pPr>
              <w:pStyle w:val="Compact"/>
              <w:jc w:val="left"/>
            </w:pPr>
            <w:r>
              <w:t xml:space="preserve">−0.82 (−1.7)</w:t>
            </w:r>
          </w:p>
        </w:tc>
      </w:tr>
      <w:tr>
        <w:tc>
          <w:tcPr/>
          <w:p>
            <w:pPr>
              <w:pStyle w:val="Compact"/>
              <w:jc w:val="left"/>
            </w:pPr>
            <w:r>
              <w:t xml:space="preserve">All, vs same-date controls</w:t>
            </w:r>
          </w:p>
        </w:tc>
        <w:tc>
          <w:tcPr/>
          <w:p>
            <w:pPr>
              <w:pStyle w:val="Compact"/>
              <w:jc w:val="left"/>
            </w:pPr>
            <w:r>
              <w:t xml:space="preserve">2,047</w:t>
            </w:r>
          </w:p>
        </w:tc>
        <w:tc>
          <w:tcPr/>
          <w:p>
            <w:pPr>
              <w:pStyle w:val="Compact"/>
              <w:jc w:val="left"/>
            </w:pPr>
            <w:r>
              <w:t xml:space="preserve">−1.75 (−4.0)</w:t>
            </w:r>
          </w:p>
        </w:tc>
        <w:tc>
          <w:tcPr/>
          <w:p>
            <w:pPr>
              <w:pStyle w:val="Compact"/>
              <w:jc w:val="left"/>
            </w:pPr>
            <w:r>
              <w:t xml:space="preserve">0.14 (0.6)</w:t>
            </w:r>
          </w:p>
        </w:tc>
        <w:tc>
          <w:tcPr/>
          <w:p>
            <w:pPr>
              <w:pStyle w:val="Compact"/>
              <w:jc w:val="left"/>
            </w:pPr>
            <w:r>
              <w:t xml:space="preserve">−1.65 (−3.4)</w:t>
            </w:r>
          </w:p>
        </w:tc>
        <w:tc>
          <w:tcPr/>
          <w:p>
            <w:pPr>
              <w:pStyle w:val="Compact"/>
              <w:jc w:val="left"/>
            </w:pPr>
            <w:r>
              <w:t xml:space="preserve">−0.36 (−0.6)</w:t>
            </w:r>
          </w:p>
        </w:tc>
      </w:tr>
      <w:tr>
        <w:tc>
          <w:tcPr/>
          <w:p>
            <w:pPr>
              <w:pStyle w:val="Compact"/>
              <w:jc w:val="left"/>
            </w:pPr>
            <w:r>
              <w:t xml:space="preserve">Exact limit hit</w:t>
            </w:r>
          </w:p>
        </w:tc>
        <w:tc>
          <w:tcPr/>
          <w:p>
            <w:pPr>
              <w:pStyle w:val="Compact"/>
              <w:jc w:val="left"/>
            </w:pPr>
            <w:r>
              <w:t xml:space="preserve">1,025</w:t>
            </w:r>
          </w:p>
        </w:tc>
        <w:tc>
          <w:tcPr/>
          <w:p>
            <w:pPr>
              <w:pStyle w:val="Compact"/>
              <w:jc w:val="left"/>
            </w:pPr>
            <w:r>
              <w:t xml:space="preserve">−1.30 (−5.1)</w:t>
            </w:r>
          </w:p>
        </w:tc>
        <w:tc>
          <w:tcPr/>
          <w:p>
            <w:pPr>
              <w:pStyle w:val="Compact"/>
              <w:jc w:val="left"/>
            </w:pPr>
            <w:r>
              <w:t xml:space="preserve">0.41 (1.7)</w:t>
            </w:r>
          </w:p>
        </w:tc>
        <w:tc>
          <w:tcPr/>
          <w:p>
            <w:pPr>
              <w:pStyle w:val="Compact"/>
              <w:jc w:val="left"/>
            </w:pPr>
            <w:r>
              <w:t xml:space="preserve">−0.93 (−5.7)</w:t>
            </w:r>
          </w:p>
        </w:tc>
        <w:tc>
          <w:tcPr/>
          <w:p>
            <w:pPr>
              <w:pStyle w:val="Compact"/>
              <w:jc w:val="left"/>
            </w:pPr>
            <w:r>
              <w:t xml:space="preserve">−0.98 (−1.9)</w:t>
            </w:r>
          </w:p>
        </w:tc>
      </w:tr>
      <w:tr>
        <w:tc>
          <w:tcPr/>
          <w:p>
            <w:pPr>
              <w:pStyle w:val="Compact"/>
              <w:jc w:val="left"/>
            </w:pPr>
            <w:r>
              <w:t xml:space="preserve">Near hit</w:t>
            </w:r>
          </w:p>
        </w:tc>
        <w:tc>
          <w:tcPr/>
          <w:p>
            <w:pPr>
              <w:pStyle w:val="Compact"/>
              <w:jc w:val="left"/>
            </w:pPr>
            <w:r>
              <w:t xml:space="preserve">1,086</w:t>
            </w:r>
          </w:p>
        </w:tc>
        <w:tc>
          <w:tcPr/>
          <w:p>
            <w:pPr>
              <w:pStyle w:val="Compact"/>
              <w:jc w:val="left"/>
            </w:pPr>
            <w:r>
              <w:t xml:space="preserve">−0.66 (−3.7)</w:t>
            </w:r>
          </w:p>
        </w:tc>
        <w:tc>
          <w:tcPr/>
          <w:p>
            <w:pPr>
              <w:pStyle w:val="Compact"/>
              <w:jc w:val="left"/>
            </w:pPr>
            <w:r>
              <w:t xml:space="preserve">0.20 (0.9)</w:t>
            </w:r>
          </w:p>
        </w:tc>
        <w:tc>
          <w:tcPr/>
          <w:p>
            <w:pPr>
              <w:pStyle w:val="Compact"/>
              <w:jc w:val="left"/>
            </w:pPr>
            <w:r>
              <w:t xml:space="preserve">−0.47 (−2.9)</w:t>
            </w:r>
          </w:p>
        </w:tc>
        <w:tc>
          <w:tcPr/>
          <w:p>
            <w:pPr>
              <w:pStyle w:val="Compact"/>
              <w:jc w:val="left"/>
            </w:pPr>
            <w:r>
              <w:t xml:space="preserve">−0.66 (−1.4)</w:t>
            </w:r>
          </w:p>
        </w:tc>
      </w:tr>
      <w:tr>
        <w:tc>
          <w:tcPr/>
          <w:p>
            <w:pPr>
              <w:pStyle w:val="Compact"/>
              <w:jc w:val="left"/>
            </w:pPr>
            <w:r>
              <w:t xml:space="preserve">Locked all day</w:t>
            </w:r>
          </w:p>
        </w:tc>
        <w:tc>
          <w:tcPr/>
          <w:p>
            <w:pPr>
              <w:pStyle w:val="Compact"/>
              <w:jc w:val="left"/>
            </w:pPr>
            <w:r>
              <w:t xml:space="preserve">260</w:t>
            </w:r>
          </w:p>
        </w:tc>
        <w:tc>
          <w:tcPr/>
          <w:p>
            <w:pPr>
              <w:pStyle w:val="Compact"/>
              <w:jc w:val="left"/>
            </w:pPr>
            <w:r>
              <w:t xml:space="preserve">−2.50 (−4.8)</w:t>
            </w:r>
          </w:p>
        </w:tc>
        <w:tc>
          <w:tcPr/>
          <w:p>
            <w:pPr>
              <w:pStyle w:val="Compact"/>
              <w:jc w:val="left"/>
            </w:pPr>
            <w:r>
              <w:t xml:space="preserve">1.11 (2.4)</w:t>
            </w:r>
          </w:p>
        </w:tc>
        <w:tc>
          <w:tcPr/>
          <w:p>
            <w:pPr>
              <w:pStyle w:val="Compact"/>
              <w:jc w:val="left"/>
            </w:pPr>
            <w:r>
              <w:t xml:space="preserve">−1.44 (−3.4)</w:t>
            </w:r>
          </w:p>
        </w:tc>
        <w:tc>
          <w:tcPr/>
          <w:p>
            <w:pPr>
              <w:pStyle w:val="Compact"/>
              <w:jc w:val="left"/>
            </w:pPr>
            <w:r>
              <w:t xml:space="preserve">−3.91 (−3.0)</w:t>
            </w:r>
          </w:p>
        </w:tc>
      </w:tr>
      <w:tr>
        <w:tc>
          <w:tcPr/>
          <w:p>
            <w:pPr>
              <w:pStyle w:val="Compact"/>
              <w:jc w:val="left"/>
            </w:pPr>
            <w:r>
              <w:t xml:space="preserve">First half of sample</w:t>
            </w:r>
          </w:p>
        </w:tc>
        <w:tc>
          <w:tcPr/>
          <w:p>
            <w:pPr>
              <w:pStyle w:val="Compact"/>
              <w:jc w:val="left"/>
            </w:pPr>
            <w:r>
              <w:t xml:space="preserve">1,059</w:t>
            </w:r>
          </w:p>
        </w:tc>
        <w:tc>
          <w:tcPr/>
          <w:p>
            <w:pPr>
              <w:pStyle w:val="Compact"/>
              <w:jc w:val="left"/>
            </w:pPr>
            <w:r>
              <w:t xml:space="preserve">−0.55 (−2.4)</w:t>
            </w:r>
          </w:p>
        </w:tc>
        <w:tc>
          <w:tcPr/>
          <w:p>
            <w:pPr>
              <w:pStyle w:val="Compact"/>
              <w:jc w:val="left"/>
            </w:pPr>
            <w:r>
              <w:t xml:space="preserve">−0.09 (−0.3)</w:t>
            </w:r>
          </w:p>
        </w:tc>
        <w:tc>
          <w:tcPr/>
          <w:p>
            <w:pPr>
              <w:pStyle w:val="Compact"/>
              <w:jc w:val="left"/>
            </w:pPr>
            <w:r>
              <w:t xml:space="preserve">−0.63 (−2.9)</w:t>
            </w:r>
          </w:p>
        </w:tc>
        <w:tc>
          <w:tcPr/>
          <w:p>
            <w:pPr>
              <w:pStyle w:val="Compact"/>
              <w:jc w:val="left"/>
            </w:pPr>
            <w:r>
              <w:t xml:space="preserve">−1.69 (−5.1)</w:t>
            </w:r>
          </w:p>
        </w:tc>
      </w:tr>
      <w:tr>
        <w:tc>
          <w:tcPr/>
          <w:p>
            <w:pPr>
              <w:pStyle w:val="Compact"/>
              <w:jc w:val="left"/>
            </w:pPr>
            <w:r>
              <w:t xml:space="preserve">Second half of sample</w:t>
            </w:r>
          </w:p>
        </w:tc>
        <w:tc>
          <w:tcPr/>
          <w:p>
            <w:pPr>
              <w:pStyle w:val="Compact"/>
              <w:jc w:val="left"/>
            </w:pPr>
            <w:r>
              <w:t xml:space="preserve">1,052</w:t>
            </w:r>
          </w:p>
        </w:tc>
        <w:tc>
          <w:tcPr/>
          <w:p>
            <w:pPr>
              <w:pStyle w:val="Compact"/>
              <w:jc w:val="left"/>
            </w:pPr>
            <w:r>
              <w:t xml:space="preserve">−1.40 (−6.5)</w:t>
            </w:r>
          </w:p>
        </w:tc>
        <w:tc>
          <w:tcPr/>
          <w:p>
            <w:pPr>
              <w:pStyle w:val="Compact"/>
              <w:jc w:val="left"/>
            </w:pPr>
            <w:r>
              <w:t xml:space="preserve">0.70 (4.9)</w:t>
            </w:r>
          </w:p>
        </w:tc>
        <w:tc>
          <w:tcPr/>
          <w:p>
            <w:pPr>
              <w:pStyle w:val="Compact"/>
              <w:jc w:val="left"/>
            </w:pPr>
            <w:r>
              <w:t xml:space="preserve">−0.75 (−4.3)</w:t>
            </w:r>
          </w:p>
        </w:tc>
        <w:tc>
          <w:tcPr/>
          <w:p>
            <w:pPr>
              <w:pStyle w:val="Compact"/>
              <w:jc w:val="left"/>
            </w:pPr>
            <w:r>
              <w:t xml:space="preserve">0.07 (0.1)</w:t>
            </w:r>
          </w:p>
        </w:tc>
      </w:tr>
      <w:tr>
        <w:tc>
          <w:tcPr/>
          <w:p>
            <w:pPr>
              <w:pStyle w:val="Compact"/>
              <w:jc w:val="left"/>
            </w:pPr>
            <w:r>
              <w:t xml:space="preserve">Excluding days with market &lt; −2%</w:t>
            </w:r>
          </w:p>
        </w:tc>
        <w:tc>
          <w:tcPr/>
          <w:p>
            <w:pPr>
              <w:pStyle w:val="Compact"/>
              <w:jc w:val="left"/>
            </w:pPr>
            <w:r>
              <w:t xml:space="preserve">740</w:t>
            </w:r>
          </w:p>
        </w:tc>
        <w:tc>
          <w:tcPr/>
          <w:p>
            <w:pPr>
              <w:pStyle w:val="Compact"/>
              <w:jc w:val="left"/>
            </w:pPr>
            <w:r>
              <w:t xml:space="preserve">−1.83 (−8.7)</w:t>
            </w:r>
          </w:p>
        </w:tc>
        <w:tc>
          <w:tcPr/>
          <w:p>
            <w:pPr>
              <w:pStyle w:val="Compact"/>
              <w:jc w:val="left"/>
            </w:pPr>
            <w:r>
              <w:t xml:space="preserve">0.90 (5.3)</w:t>
            </w:r>
          </w:p>
        </w:tc>
        <w:tc>
          <w:tcPr/>
          <w:p>
            <w:pPr>
              <w:pStyle w:val="Compact"/>
              <w:jc w:val="left"/>
            </w:pPr>
            <w:r>
              <w:t xml:space="preserve">−0.99 (−4.5)</w:t>
            </w:r>
          </w:p>
        </w:tc>
        <w:tc>
          <w:tcPr/>
          <w:p>
            <w:pPr>
              <w:pStyle w:val="Compact"/>
              <w:jc w:val="left"/>
            </w:pPr>
            <w:r>
              <w:t xml:space="preserve">−0.81 (−1.7)</w:t>
            </w:r>
          </w:p>
        </w:tc>
      </w:tr>
    </w:tbl>
    <w:p>
      <w:pPr>
        <w:pStyle w:val="BodyText"/>
      </w:pPr>
      <w:r>
        <w:t xml:space="preserve">[[NOTE]]</w:t>
      </w:r>
      <w:r>
        <w:t xml:space="preserve"> </w:t>
      </w:r>
      <w:r>
        <w:rPr>
          <w:iCs/>
          <w:i/>
        </w:rPr>
        <w:t xml:space="preserve">Note.</w:t>
      </w:r>
      <w:r>
        <w:t xml:space="preserve"> </w:t>
      </w:r>
      <w:r>
        <w:t xml:space="preserve">Percent; two-way-clustered</w:t>
      </w:r>
      <w:r>
        <w:t xml:space="preserve"> </w:t>
      </w:r>
      <w:r>
        <w:rPr>
          <w:iCs/>
          <w:i/>
        </w:rPr>
        <w:t xml:space="preserve">t</w:t>
      </w:r>
      <w:r>
        <w:t xml:space="preserve">-statistics in parentheses. Benchmarks are the volume-weighted market (weights lagged to day</w:t>
      </w:r>
      <w:r>
        <w:t xml:space="preserve"> </w:t>
      </w:r>
      <w:r>
        <w:rPr>
          <w:iCs/>
          <w:i/>
        </w:rPr>
        <w:t xml:space="preserve">d</w:t>
      </w:r>
      <w:r>
        <w:t xml:space="preserve">) or same-date controls in the same liquidity tercile. Crash days have a market return below −2%. Components compound, so they need not sum.</w:t>
      </w:r>
    </w:p>
    <w:p>
      <w:pPr>
        <w:pStyle w:val="BodyText"/>
      </w:pPr>
      <w:r>
        <w:t xml:space="preserve">[[CAP]] Table 3 Limit closes versus near-limit moves</w:t>
      </w:r>
    </w:p>
    <w:tbl>
      <w:tblPr>
        <w:tblStyle w:val="Table"/>
        <w:tblW w:type="pct" w:w="5000"/>
        <w:tblLook w:firstRow="1" w:lastRow="0" w:firstColumn="0" w:lastColumn="0" w:noHBand="0" w:noVBand="0" w:val="0020"/>
        <w:jc w:val="start"/>
      </w:tblPr>
      <w:tblGrid>
        <w:gridCol w:w="2416"/>
        <w:gridCol w:w="939"/>
        <w:gridCol w:w="872"/>
        <w:gridCol w:w="1006"/>
        <w:gridCol w:w="1208"/>
        <w:gridCol w:w="1476"/>
      </w:tblGrid>
      <w:tr>
        <w:trPr>
          <w:tblHeader w:val="true"/>
        </w:trPr>
        <w:tc>
          <w:tcPr/>
          <w:p>
            <w:pPr>
              <w:pStyle w:val="Compact"/>
              <w:jc w:val="left"/>
            </w:pPr>
            <w:r>
              <w:t xml:space="preserve">Contrast</w:t>
            </w:r>
          </w:p>
        </w:tc>
        <w:tc>
          <w:tcPr/>
          <w:p>
            <w:pPr>
              <w:pStyle w:val="Compact"/>
              <w:jc w:val="left"/>
            </w:pPr>
            <w:r>
              <w:t xml:space="preserve">Overnight gap</w:t>
            </w:r>
          </w:p>
        </w:tc>
        <w:tc>
          <w:tcPr/>
          <w:p>
            <w:pPr>
              <w:pStyle w:val="Compact"/>
              <w:jc w:val="left"/>
            </w:pPr>
            <w:r>
              <w:t xml:space="preserve">Intraday</w:t>
            </w:r>
          </w:p>
        </w:tc>
        <w:tc>
          <w:tcPr/>
          <w:p>
            <w:pPr>
              <w:pStyle w:val="Compact"/>
              <w:jc w:val="left"/>
            </w:pPr>
            <w:r>
              <w:t xml:space="preserve">Close-to-close</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Comparison stock-days</w:t>
            </w:r>
          </w:p>
        </w:tc>
      </w:tr>
      <w:tr>
        <w:tc>
          <w:tcPr/>
          <w:p>
            <w:pPr>
              <w:pStyle w:val="Compact"/>
              <w:jc w:val="left"/>
            </w:pPr>
            <w:r>
              <w:t xml:space="preserve">Ceiling vs 5–6.5% rises</w:t>
            </w:r>
          </w:p>
        </w:tc>
        <w:tc>
          <w:tcPr/>
          <w:p>
            <w:pPr>
              <w:pStyle w:val="Compact"/>
              <w:jc w:val="left"/>
            </w:pPr>
            <w:r>
              <w:t xml:space="preserve">2.66 (14.0)</w:t>
            </w:r>
          </w:p>
        </w:tc>
        <w:tc>
          <w:tcPr/>
          <w:p>
            <w:pPr>
              <w:pStyle w:val="Compact"/>
              <w:jc w:val="left"/>
            </w:pPr>
            <w:r>
              <w:t xml:space="preserve">−0.31 (−2.1)</w:t>
            </w:r>
          </w:p>
        </w:tc>
        <w:tc>
          <w:tcPr/>
          <w:p>
            <w:pPr>
              <w:pStyle w:val="Compact"/>
              <w:jc w:val="left"/>
            </w:pPr>
            <w:r>
              <w:t xml:space="preserve">2.32 (7.6)</w:t>
            </w:r>
          </w:p>
        </w:tc>
        <w:tc>
          <w:tcPr/>
          <w:p>
            <w:pPr>
              <w:pStyle w:val="Compact"/>
              <w:jc w:val="left"/>
            </w:pPr>
            <w:r>
              <w:t xml:space="preserve">−0.02 (−0.1)</w:t>
            </w:r>
          </w:p>
        </w:tc>
        <w:tc>
          <w:tcPr/>
          <w:p>
            <w:pPr>
              <w:pStyle w:val="Compact"/>
              <w:jc w:val="left"/>
            </w:pPr>
            <w:r>
              <w:t xml:space="preserve">1,751</w:t>
            </w:r>
          </w:p>
        </w:tc>
      </w:tr>
      <w:tr>
        <w:tc>
          <w:tcPr/>
          <w:p>
            <w:pPr>
              <w:pStyle w:val="Compact"/>
              <w:jc w:val="left"/>
            </w:pPr>
            <w:r>
              <w:t xml:space="preserve">same, comparison closes at its high</w:t>
            </w:r>
          </w:p>
        </w:tc>
        <w:tc>
          <w:tcPr/>
          <w:p>
            <w:pPr>
              <w:pStyle w:val="Compact"/>
              <w:jc w:val="left"/>
            </w:pPr>
            <w:r>
              <w:t xml:space="preserve">3.14 (14.5)</w:t>
            </w:r>
          </w:p>
        </w:tc>
        <w:tc>
          <w:tcPr/>
          <w:p>
            <w:pPr>
              <w:pStyle w:val="Compact"/>
              <w:jc w:val="left"/>
            </w:pPr>
            <w:r>
              <w:t xml:space="preserve">−0.66 (−3.4)</w:t>
            </w:r>
          </w:p>
        </w:tc>
        <w:tc>
          <w:tcPr/>
          <w:p>
            <w:pPr>
              <w:pStyle w:val="Compact"/>
              <w:jc w:val="left"/>
            </w:pPr>
            <w:r>
              <w:t xml:space="preserve">2.47 (7.2)</w:t>
            </w:r>
          </w:p>
        </w:tc>
        <w:tc>
          <w:tcPr/>
          <w:p>
            <w:pPr>
              <w:pStyle w:val="Compact"/>
              <w:jc w:val="left"/>
            </w:pPr>
            <w:r>
              <w:t xml:space="preserve">−0.49 (−1.5)</w:t>
            </w:r>
          </w:p>
        </w:tc>
        <w:tc>
          <w:tcPr/>
          <w:p>
            <w:pPr>
              <w:pStyle w:val="Compact"/>
              <w:jc w:val="left"/>
            </w:pPr>
            <w:r>
              <w:t xml:space="preserve">679</w:t>
            </w:r>
          </w:p>
        </w:tc>
      </w:tr>
      <w:tr>
        <w:tc>
          <w:tcPr/>
          <w:p>
            <w:pPr>
              <w:pStyle w:val="Compact"/>
              <w:jc w:val="left"/>
            </w:pPr>
            <w:r>
              <w:t xml:space="preserve">Ceiling vs 3–5% rises</w:t>
            </w:r>
          </w:p>
        </w:tc>
        <w:tc>
          <w:tcPr/>
          <w:p>
            <w:pPr>
              <w:pStyle w:val="Compact"/>
              <w:jc w:val="left"/>
            </w:pPr>
            <w:r>
              <w:t xml:space="preserve">2.40 (11.6)</w:t>
            </w:r>
          </w:p>
        </w:tc>
        <w:tc>
          <w:tcPr/>
          <w:p>
            <w:pPr>
              <w:pStyle w:val="Compact"/>
              <w:jc w:val="left"/>
            </w:pPr>
            <w:r>
              <w:t xml:space="preserve">−0.32 (−2.2)</w:t>
            </w:r>
          </w:p>
        </w:tc>
        <w:tc>
          <w:tcPr/>
          <w:p>
            <w:pPr>
              <w:pStyle w:val="Compact"/>
              <w:jc w:val="left"/>
            </w:pPr>
            <w:r>
              <w:t xml:space="preserve">2.05 (6.1)</w:t>
            </w:r>
          </w:p>
        </w:tc>
        <w:tc>
          <w:tcPr/>
          <w:p>
            <w:pPr>
              <w:pStyle w:val="Compact"/>
              <w:jc w:val="left"/>
            </w:pPr>
            <w:r>
              <w:t xml:space="preserve">−0.45 (−2.2)</w:t>
            </w:r>
          </w:p>
        </w:tc>
        <w:tc>
          <w:tcPr/>
          <w:p>
            <w:pPr>
              <w:pStyle w:val="Compact"/>
              <w:jc w:val="left"/>
            </w:pPr>
            <w:r>
              <w:t xml:space="preserve">5,932</w:t>
            </w:r>
          </w:p>
        </w:tc>
      </w:tr>
      <w:tr>
        <w:tc>
          <w:tcPr/>
          <w:p>
            <w:pPr>
              <w:pStyle w:val="Compact"/>
              <w:jc w:val="left"/>
            </w:pPr>
            <w:r>
              <w:t xml:space="preserve">same, comparison closes at its high</w:t>
            </w:r>
          </w:p>
        </w:tc>
        <w:tc>
          <w:tcPr/>
          <w:p>
            <w:pPr>
              <w:pStyle w:val="Compact"/>
              <w:jc w:val="left"/>
            </w:pPr>
            <w:r>
              <w:t xml:space="preserve">2.81 (13.1)</w:t>
            </w:r>
          </w:p>
        </w:tc>
        <w:tc>
          <w:tcPr/>
          <w:p>
            <w:pPr>
              <w:pStyle w:val="Compact"/>
              <w:jc w:val="left"/>
            </w:pPr>
            <w:r>
              <w:t xml:space="preserve">−0.61 (−3.8)</w:t>
            </w:r>
          </w:p>
        </w:tc>
        <w:tc>
          <w:tcPr/>
          <w:p>
            <w:pPr>
              <w:pStyle w:val="Compact"/>
              <w:jc w:val="left"/>
            </w:pPr>
            <w:r>
              <w:t xml:space="preserve">2.17 (6.4)</w:t>
            </w:r>
          </w:p>
        </w:tc>
        <w:tc>
          <w:tcPr/>
          <w:p>
            <w:pPr>
              <w:pStyle w:val="Compact"/>
              <w:jc w:val="left"/>
            </w:pPr>
            <w:r>
              <w:t xml:space="preserve">−0.64 (−2.7)</w:t>
            </w:r>
          </w:p>
        </w:tc>
        <w:tc>
          <w:tcPr/>
          <w:p>
            <w:pPr>
              <w:pStyle w:val="Compact"/>
              <w:jc w:val="left"/>
            </w:pPr>
            <w:r>
              <w:t xml:space="preserve">1,795</w:t>
            </w:r>
          </w:p>
        </w:tc>
      </w:tr>
      <w:tr>
        <w:tc>
          <w:tcPr/>
          <w:p>
            <w:pPr>
              <w:pStyle w:val="Compact"/>
              <w:jc w:val="left"/>
            </w:pPr>
            <w:r>
              <w:t xml:space="preserve">Floor vs 5–6.5% falls</w:t>
            </w:r>
          </w:p>
        </w:tc>
        <w:tc>
          <w:tcPr/>
          <w:p>
            <w:pPr>
              <w:pStyle w:val="Compact"/>
              <w:jc w:val="left"/>
            </w:pPr>
            <w:r>
              <w:t xml:space="preserve">−1.59 (−9.7)</w:t>
            </w:r>
          </w:p>
        </w:tc>
        <w:tc>
          <w:tcPr/>
          <w:p>
            <w:pPr>
              <w:pStyle w:val="Compact"/>
              <w:jc w:val="left"/>
            </w:pPr>
            <w:r>
              <w:t xml:space="preserve">−0.07 (−0.3)</w:t>
            </w:r>
          </w:p>
        </w:tc>
        <w:tc>
          <w:tcPr/>
          <w:p>
            <w:pPr>
              <w:pStyle w:val="Compact"/>
              <w:jc w:val="left"/>
            </w:pPr>
            <w:r>
              <w:t xml:space="preserve">−1.66 (−11.6)</w:t>
            </w:r>
          </w:p>
        </w:tc>
        <w:tc>
          <w:tcPr/>
          <w:p>
            <w:pPr>
              <w:pStyle w:val="Compact"/>
              <w:jc w:val="left"/>
            </w:pPr>
            <w:r>
              <w:t xml:space="preserve">−1.01 (−2.6)</w:t>
            </w:r>
          </w:p>
        </w:tc>
        <w:tc>
          <w:tcPr/>
          <w:p>
            <w:pPr>
              <w:pStyle w:val="Compact"/>
              <w:jc w:val="left"/>
            </w:pPr>
            <w:r>
              <w:t xml:space="preserve">1,522</w:t>
            </w:r>
          </w:p>
        </w:tc>
      </w:tr>
      <w:tr>
        <w:tc>
          <w:tcPr/>
          <w:p>
            <w:pPr>
              <w:pStyle w:val="Compact"/>
              <w:jc w:val="left"/>
            </w:pPr>
            <w:r>
              <w:t xml:space="preserve">same, comparison closes at its low</w:t>
            </w:r>
          </w:p>
        </w:tc>
        <w:tc>
          <w:tcPr/>
          <w:p>
            <w:pPr>
              <w:pStyle w:val="Compact"/>
              <w:jc w:val="left"/>
            </w:pPr>
            <w:r>
              <w:t xml:space="preserve">−1.81 (−8.7)</w:t>
            </w:r>
          </w:p>
        </w:tc>
        <w:tc>
          <w:tcPr/>
          <w:p>
            <w:pPr>
              <w:pStyle w:val="Compact"/>
              <w:jc w:val="left"/>
            </w:pPr>
            <w:r>
              <w:t xml:space="preserve">−0.13 (−0.6)</w:t>
            </w:r>
          </w:p>
        </w:tc>
        <w:tc>
          <w:tcPr/>
          <w:p>
            <w:pPr>
              <w:pStyle w:val="Compact"/>
              <w:jc w:val="left"/>
            </w:pPr>
            <w:r>
              <w:t xml:space="preserve">−1.95 (−10.7)</w:t>
            </w:r>
          </w:p>
        </w:tc>
        <w:tc>
          <w:tcPr/>
          <w:p>
            <w:pPr>
              <w:pStyle w:val="Compact"/>
              <w:jc w:val="left"/>
            </w:pPr>
            <w:r>
              <w:t xml:space="preserve">−1.23 (−2.8)</w:t>
            </w:r>
          </w:p>
        </w:tc>
        <w:tc>
          <w:tcPr/>
          <w:p>
            <w:pPr>
              <w:pStyle w:val="Compact"/>
              <w:jc w:val="left"/>
            </w:pPr>
            <w:r>
              <w:t xml:space="preserve">722</w:t>
            </w:r>
          </w:p>
        </w:tc>
      </w:tr>
      <w:tr>
        <w:tc>
          <w:tcPr/>
          <w:p>
            <w:pPr>
              <w:pStyle w:val="Compact"/>
              <w:jc w:val="left"/>
            </w:pPr>
            <w:r>
              <w:t xml:space="preserve">Floor vs 3–5% falls</w:t>
            </w:r>
          </w:p>
        </w:tc>
        <w:tc>
          <w:tcPr/>
          <w:p>
            <w:pPr>
              <w:pStyle w:val="Compact"/>
              <w:jc w:val="left"/>
            </w:pPr>
            <w:r>
              <w:t xml:space="preserve">−1.14 (−6.4)</w:t>
            </w:r>
          </w:p>
        </w:tc>
        <w:tc>
          <w:tcPr/>
          <w:p>
            <w:pPr>
              <w:pStyle w:val="Compact"/>
              <w:jc w:val="left"/>
            </w:pPr>
            <w:r>
              <w:t xml:space="preserve">0.14 (0.6)</w:t>
            </w:r>
          </w:p>
        </w:tc>
        <w:tc>
          <w:tcPr/>
          <w:p>
            <w:pPr>
              <w:pStyle w:val="Compact"/>
              <w:jc w:val="left"/>
            </w:pPr>
            <w:r>
              <w:t xml:space="preserve">−1.01 (−7.5)</w:t>
            </w:r>
          </w:p>
        </w:tc>
        <w:tc>
          <w:tcPr/>
          <w:p>
            <w:pPr>
              <w:pStyle w:val="Compact"/>
              <w:jc w:val="left"/>
            </w:pPr>
            <w:r>
              <w:t xml:space="preserve">−0.90 (−2.2)</w:t>
            </w:r>
          </w:p>
        </w:tc>
        <w:tc>
          <w:tcPr/>
          <w:p>
            <w:pPr>
              <w:pStyle w:val="Compact"/>
              <w:jc w:val="left"/>
            </w:pPr>
            <w:r>
              <w:t xml:space="preserve">5,237</w:t>
            </w:r>
          </w:p>
        </w:tc>
      </w:tr>
      <w:tr>
        <w:tc>
          <w:tcPr/>
          <w:p>
            <w:pPr>
              <w:pStyle w:val="Compact"/>
              <w:jc w:val="left"/>
            </w:pPr>
            <w:r>
              <w:t xml:space="preserve">same, comparison closes at its low</w:t>
            </w:r>
          </w:p>
        </w:tc>
        <w:tc>
          <w:tcPr/>
          <w:p>
            <w:pPr>
              <w:pStyle w:val="Compact"/>
              <w:jc w:val="left"/>
            </w:pPr>
            <w:r>
              <w:t xml:space="preserve">−1.35 (−7.4)</w:t>
            </w:r>
          </w:p>
        </w:tc>
        <w:tc>
          <w:tcPr/>
          <w:p>
            <w:pPr>
              <w:pStyle w:val="Compact"/>
              <w:jc w:val="left"/>
            </w:pPr>
            <w:r>
              <w:t xml:space="preserve">0.18 (0.8)</w:t>
            </w:r>
          </w:p>
        </w:tc>
        <w:tc>
          <w:tcPr/>
          <w:p>
            <w:pPr>
              <w:pStyle w:val="Compact"/>
              <w:jc w:val="left"/>
            </w:pPr>
            <w:r>
              <w:t xml:space="preserve">−1.19 (−8.0)</w:t>
            </w:r>
          </w:p>
        </w:tc>
        <w:tc>
          <w:tcPr/>
          <w:p>
            <w:pPr>
              <w:pStyle w:val="Compact"/>
              <w:jc w:val="left"/>
            </w:pPr>
            <w:r>
              <w:t xml:space="preserve">−1.06 (−2.5)</w:t>
            </w:r>
          </w:p>
        </w:tc>
        <w:tc>
          <w:tcPr/>
          <w:p>
            <w:pPr>
              <w:pStyle w:val="Compact"/>
              <w:jc w:val="left"/>
            </w:pPr>
            <w:r>
              <w:t xml:space="preserve">2,228</w:t>
            </w:r>
          </w:p>
        </w:tc>
      </w:tr>
    </w:tbl>
    <w:p>
      <w:pPr>
        <w:pStyle w:val="BodyText"/>
      </w:pPr>
      <w:r>
        <w:t xml:space="preserve">[[NOTE]]</w:t>
      </w:r>
      <w:r>
        <w:t xml:space="preserve"> </w:t>
      </w:r>
      <w:r>
        <w:rPr>
          <w:iCs/>
          <w:i/>
        </w:rPr>
        <w:t xml:space="preserve">Note.</w:t>
      </w:r>
      <w:r>
        <w:t xml:space="preserve"> </w:t>
      </w:r>
      <w:r>
        <w:t xml:space="preserve">Differences in percentage points from same-direction moves of 3–5% or 5–6.5% that did not close at the limit; market-adjusted returns; date-clustered</w:t>
      </w:r>
      <w:r>
        <w:t xml:space="preserve"> </w:t>
      </w:r>
      <w:r>
        <w:rPr>
          <w:iCs/>
          <w:i/>
        </w:rPr>
        <w:t xml:space="preserve">t</w:t>
      </w:r>
      <w:r>
        <w:t xml:space="preserve">-statistics in parentheses.</w:t>
      </w:r>
    </w:p>
    <w:p>
      <w:pPr>
        <w:pStyle w:val="BodyText"/>
      </w:pPr>
      <w:r>
        <w:t xml:space="preserve">[[CAP]] Table 4 Returns before and after the KRX platform change of May 5, 2025</w:t>
      </w:r>
    </w:p>
    <w:tbl>
      <w:tblPr>
        <w:tblStyle w:val="Table"/>
        <w:tblW w:type="pct" w:w="5000"/>
        <w:tblLook w:firstRow="1" w:lastRow="0" w:firstColumn="0" w:lastColumn="0" w:noHBand="0" w:noVBand="0" w:val="0020"/>
        <w:jc w:val="start"/>
      </w:tblPr>
      <w:tblGrid>
        <w:gridCol w:w="646"/>
        <w:gridCol w:w="1454"/>
        <w:gridCol w:w="1454"/>
        <w:gridCol w:w="1373"/>
        <w:gridCol w:w="1050"/>
        <w:gridCol w:w="1939"/>
      </w:tblGrid>
      <w:tr>
        <w:trPr>
          <w:tblHeader w:val="true"/>
        </w:trPr>
        <w:tc>
          <w:tcPr/>
          <w:p>
            <w:pPr>
              <w:pStyle w:val="Compact"/>
              <w:jc w:val="left"/>
            </w:pPr>
            <w:r>
              <w:t xml:space="preserve">Event</w:t>
            </w:r>
          </w:p>
        </w:tc>
        <w:tc>
          <w:tcPr/>
          <w:p>
            <w:pPr>
              <w:pStyle w:val="Compact"/>
              <w:jc w:val="left"/>
            </w:pPr>
            <w:r>
              <w:t xml:space="preserve">Outcome</w:t>
            </w:r>
          </w:p>
        </w:tc>
        <w:tc>
          <w:tcPr/>
          <w:p>
            <w:pPr>
              <w:pStyle w:val="Compact"/>
              <w:jc w:val="left"/>
            </w:pPr>
            <w:r>
              <w:t xml:space="preserve">Before the change</w:t>
            </w:r>
          </w:p>
        </w:tc>
        <w:tc>
          <w:tcPr/>
          <w:p>
            <w:pPr>
              <w:pStyle w:val="Compact"/>
              <w:jc w:val="left"/>
            </w:pPr>
            <w:r>
              <w:t xml:space="preserve">After the change</w:t>
            </w:r>
          </w:p>
        </w:tc>
        <w:tc>
          <w:tcPr/>
          <w:p>
            <w:pPr>
              <w:pStyle w:val="Compact"/>
              <w:jc w:val="left"/>
            </w:pPr>
            <w:r>
              <w:t xml:space="preserve">Difference</w:t>
            </w:r>
          </w:p>
        </w:tc>
        <w:tc>
          <w:tcPr/>
          <w:p>
            <w:pPr>
              <w:pStyle w:val="Compact"/>
              <w:jc w:val="left"/>
            </w:pPr>
            <w:r>
              <w:t xml:space="preserve">Events (before / after)</w:t>
            </w:r>
          </w:p>
        </w:tc>
      </w:tr>
      <w:tr>
        <w:tc>
          <w:tcPr/>
          <w:p>
            <w:pPr>
              <w:pStyle w:val="Compact"/>
              <w:jc w:val="left"/>
            </w:pPr>
            <w:r>
              <w:t xml:space="preserve">Ceiling</w:t>
            </w:r>
          </w:p>
        </w:tc>
        <w:tc>
          <w:tcPr/>
          <w:p>
            <w:pPr>
              <w:pStyle w:val="Compact"/>
              <w:jc w:val="left"/>
            </w:pPr>
            <w:r>
              <w:t xml:space="preserve">Overnight gap</w:t>
            </w:r>
          </w:p>
        </w:tc>
        <w:tc>
          <w:tcPr/>
          <w:p>
            <w:pPr>
              <w:pStyle w:val="Compact"/>
              <w:jc w:val="left"/>
            </w:pPr>
            <w:r>
              <w:t xml:space="preserve">1.65 (3.2)</w:t>
            </w:r>
          </w:p>
        </w:tc>
        <w:tc>
          <w:tcPr/>
          <w:p>
            <w:pPr>
              <w:pStyle w:val="Compact"/>
              <w:jc w:val="left"/>
            </w:pPr>
            <w:r>
              <w:t xml:space="preserve">2.49 (17.9)</w:t>
            </w:r>
          </w:p>
        </w:tc>
        <w:tc>
          <w:tcPr/>
          <w:p>
            <w:pPr>
              <w:pStyle w:val="Compact"/>
              <w:jc w:val="left"/>
            </w:pPr>
            <w:r>
              <w:t xml:space="preserve">0.85 (1.6)</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Intraday</w:t>
            </w:r>
          </w:p>
        </w:tc>
        <w:tc>
          <w:tcPr/>
          <w:p>
            <w:pPr>
              <w:pStyle w:val="Compact"/>
              <w:jc w:val="left"/>
            </w:pPr>
            <w:r>
              <w:t xml:space="preserve">−0.77 (−2.0)</w:t>
            </w:r>
          </w:p>
        </w:tc>
        <w:tc>
          <w:tcPr/>
          <w:p>
            <w:pPr>
              <w:pStyle w:val="Compact"/>
              <w:jc w:val="left"/>
            </w:pPr>
            <w:r>
              <w:t xml:space="preserve">−0.44 (−4.3)</w:t>
            </w:r>
          </w:p>
        </w:tc>
        <w:tc>
          <w:tcPr/>
          <w:p>
            <w:pPr>
              <w:pStyle w:val="Compact"/>
              <w:jc w:val="left"/>
            </w:pPr>
            <w:r>
              <w:t xml:space="preserve">0.34 (0.8)</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Close-to-close</w:t>
            </w:r>
          </w:p>
        </w:tc>
        <w:tc>
          <w:tcPr/>
          <w:p>
            <w:pPr>
              <w:pStyle w:val="Compact"/>
              <w:jc w:val="left"/>
            </w:pPr>
            <w:r>
              <w:t xml:space="preserve">0.83 (1.0)</w:t>
            </w:r>
          </w:p>
        </w:tc>
        <w:tc>
          <w:tcPr/>
          <w:p>
            <w:pPr>
              <w:pStyle w:val="Compact"/>
              <w:jc w:val="left"/>
            </w:pPr>
            <w:r>
              <w:t xml:space="preserve">2.01 (14.6)</w:t>
            </w:r>
          </w:p>
        </w:tc>
        <w:tc>
          <w:tcPr/>
          <w:p>
            <w:pPr>
              <w:pStyle w:val="Compact"/>
              <w:jc w:val="left"/>
            </w:pPr>
            <w:r>
              <w:t xml:space="preserve">1.18 (1.3)</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−0.71 (−1.3)</w:t>
            </w:r>
          </w:p>
        </w:tc>
        <w:tc>
          <w:tcPr/>
          <w:p>
            <w:pPr>
              <w:pStyle w:val="Compact"/>
              <w:jc w:val="left"/>
            </w:pPr>
            <w:r>
              <w:t xml:space="preserve">−0.77 (−2.5)</w:t>
            </w:r>
          </w:p>
        </w:tc>
        <w:tc>
          <w:tcPr/>
          <w:p>
            <w:pPr>
              <w:pStyle w:val="Compact"/>
              <w:jc w:val="left"/>
            </w:pPr>
            <w:r>
              <w:t xml:space="preserve">−0.06 (−0.1)</w:t>
            </w:r>
          </w:p>
        </w:tc>
        <w:tc>
          <w:tcPr/>
          <w:p>
            <w:pPr>
              <w:pStyle w:val="Compact"/>
              <w:jc w:val="left"/>
            </w:pPr>
            <w:r>
              <w:t xml:space="preserve">936 / 2,257</w:t>
            </w:r>
          </w:p>
        </w:tc>
      </w:tr>
      <w:tr>
        <w:tc>
          <w:tcPr/>
          <w:p>
            <w:pPr>
              <w:pStyle w:val="Compact"/>
              <w:jc w:val="left"/>
            </w:pPr>
            <w:r>
              <w:t xml:space="preserve">Floor</w:t>
            </w:r>
          </w:p>
        </w:tc>
        <w:tc>
          <w:tcPr/>
          <w:p>
            <w:pPr>
              <w:pStyle w:val="Compact"/>
              <w:jc w:val="left"/>
            </w:pPr>
            <w:r>
              <w:t xml:space="preserve">Overnight gap</w:t>
            </w:r>
          </w:p>
        </w:tc>
        <w:tc>
          <w:tcPr/>
          <w:p>
            <w:pPr>
              <w:pStyle w:val="Compact"/>
              <w:jc w:val="left"/>
            </w:pPr>
            <w:r>
              <w:t xml:space="preserve">−0.42 (−1.9)</w:t>
            </w:r>
          </w:p>
        </w:tc>
        <w:tc>
          <w:tcPr/>
          <w:p>
            <w:pPr>
              <w:pStyle w:val="Compact"/>
              <w:jc w:val="left"/>
            </w:pPr>
            <w:r>
              <w:t xml:space="preserve">−1.37 (−7.0)</w:t>
            </w:r>
          </w:p>
        </w:tc>
        <w:tc>
          <w:tcPr/>
          <w:p>
            <w:pPr>
              <w:pStyle w:val="Compact"/>
              <w:jc w:val="left"/>
            </w:pPr>
            <w:r>
              <w:t xml:space="preserve">−0.95 (−3.2)</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Intraday</w:t>
            </w:r>
          </w:p>
        </w:tc>
        <w:tc>
          <w:tcPr/>
          <w:p>
            <w:pPr>
              <w:pStyle w:val="Compact"/>
              <w:jc w:val="left"/>
            </w:pPr>
            <w:r>
              <w:t xml:space="preserve">−0.15 (−0.4)</w:t>
            </w:r>
          </w:p>
        </w:tc>
        <w:tc>
          <w:tcPr/>
          <w:p>
            <w:pPr>
              <w:pStyle w:val="Compact"/>
              <w:jc w:val="left"/>
            </w:pPr>
            <w:r>
              <w:t xml:space="preserve">0.64 (4.6)</w:t>
            </w:r>
          </w:p>
        </w:tc>
        <w:tc>
          <w:tcPr/>
          <w:p>
            <w:pPr>
              <w:pStyle w:val="Compact"/>
              <w:jc w:val="left"/>
            </w:pPr>
            <w:r>
              <w:t xml:space="preserve">0.79 (2.0)</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Close-to-close</w:t>
            </w:r>
          </w:p>
        </w:tc>
        <w:tc>
          <w:tcPr/>
          <w:p>
            <w:pPr>
              <w:pStyle w:val="Compact"/>
              <w:jc w:val="left"/>
            </w:pPr>
            <w:r>
              <w:t xml:space="preserve">−0.57 (−2.3)</w:t>
            </w:r>
          </w:p>
        </w:tc>
        <w:tc>
          <w:tcPr/>
          <w:p>
            <w:pPr>
              <w:pStyle w:val="Compact"/>
              <w:jc w:val="left"/>
            </w:pPr>
            <w:r>
              <w:t xml:space="preserve">−0.78 (−5.0)</w:t>
            </w:r>
          </w:p>
        </w:tc>
        <w:tc>
          <w:tcPr/>
          <w:p>
            <w:pPr>
              <w:pStyle w:val="Compact"/>
              <w:jc w:val="left"/>
            </w:pPr>
            <w:r>
              <w:t xml:space="preserve">−0.21 (−0.7)</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−1.73 (−4.7)</w:t>
            </w:r>
          </w:p>
        </w:tc>
        <w:tc>
          <w:tcPr/>
          <w:p>
            <w:pPr>
              <w:pStyle w:val="Compact"/>
              <w:jc w:val="left"/>
            </w:pPr>
            <w:r>
              <w:t xml:space="preserve">−0.15 (−0.3)</w:t>
            </w:r>
          </w:p>
        </w:tc>
        <w:tc>
          <w:tcPr/>
          <w:p>
            <w:pPr>
              <w:pStyle w:val="Compact"/>
              <w:jc w:val="left"/>
            </w:pPr>
            <w:r>
              <w:t xml:space="preserve">1.58 (2.5)</w:t>
            </w:r>
          </w:p>
        </w:tc>
        <w:tc>
          <w:tcPr/>
          <w:p>
            <w:pPr>
              <w:pStyle w:val="Compact"/>
              <w:jc w:val="left"/>
            </w:pPr>
            <w:r>
              <w:t xml:space="preserve">891 / 1,217</w:t>
            </w:r>
          </w:p>
        </w:tc>
      </w:tr>
    </w:tbl>
    <w:p>
      <w:pPr>
        <w:pStyle w:val="BodyText"/>
      </w:pPr>
      <w:r>
        <w:t xml:space="preserve">[[NOTE]]</w:t>
      </w:r>
      <w:r>
        <w:t xml:space="preserve"> </w:t>
      </w:r>
      <w:r>
        <w:rPr>
          <w:iCs/>
          <w:i/>
        </w:rPr>
        <w:t xml:space="preserve">Note.</w:t>
      </w:r>
      <w:r>
        <w:t xml:space="preserve"> </w:t>
      </w:r>
      <w:r>
        <w:t xml:space="preserve">Percent; two-way-clustered</w:t>
      </w:r>
      <w:r>
        <w:t xml:space="preserve"> </w:t>
      </w:r>
      <w:r>
        <w:rPr>
          <w:iCs/>
          <w:i/>
        </w:rPr>
        <w:t xml:space="preserve">t</w:t>
      </w:r>
      <w:r>
        <w:t xml:space="preserve">-statistics in parentheses. Periods are split by the date of the opening that defines the gap; the difference</w:t>
      </w:r>
      <w:r>
        <w:t xml:space="preserve"> </w:t>
      </w:r>
      <w:r>
        <w:rPr>
          <w:iCs/>
          <w:i/>
        </w:rPr>
        <w:t xml:space="preserve">t</w:t>
      </w:r>
      <w:r>
        <w:t xml:space="preserve">-statistic treats the periods as independent.</w:t>
      </w:r>
    </w:p>
    <w:p>
      <w:pPr>
        <w:pStyle w:val="BodyText"/>
      </w:pPr>
      <w:r>
        <w:t xml:space="preserve">[[CAP]] Table 5 Events and overnight gaps by calendar quarter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Quarter</w:t>
            </w:r>
          </w:p>
        </w:tc>
        <w:tc>
          <w:tcPr/>
          <w:p>
            <w:pPr>
              <w:pStyle w:val="Compact"/>
              <w:jc w:val="left"/>
            </w:pPr>
            <w:r>
              <w:t xml:space="preserve">Ceiling events</w:t>
            </w:r>
          </w:p>
        </w:tc>
        <w:tc>
          <w:tcPr/>
          <w:p>
            <w:pPr>
              <w:pStyle w:val="Compact"/>
              <w:jc w:val="left"/>
            </w:pPr>
            <w:r>
              <w:t xml:space="preserve">Ceiling gap</w:t>
            </w:r>
          </w:p>
        </w:tc>
        <w:tc>
          <w:tcPr/>
          <w:p>
            <w:pPr>
              <w:pStyle w:val="Compact"/>
              <w:jc w:val="left"/>
            </w:pPr>
            <w:r>
              <w:t xml:space="preserve">Floor events</w:t>
            </w:r>
          </w:p>
        </w:tc>
        <w:tc>
          <w:tcPr/>
          <w:p>
            <w:pPr>
              <w:pStyle w:val="Compact"/>
              <w:jc w:val="left"/>
            </w:pPr>
            <w:r>
              <w:t xml:space="preserve">Floor gap</w:t>
            </w:r>
          </w:p>
        </w:tc>
      </w:tr>
      <w:tr>
        <w:tc>
          <w:tcPr/>
          <w:p>
            <w:pPr>
              <w:pStyle w:val="Compact"/>
              <w:jc w:val="left"/>
            </w:pPr>
            <w:r>
              <w:t xml:space="preserve">2024-Q4</w:t>
            </w:r>
          </w:p>
        </w:tc>
        <w:tc>
          <w:tcPr/>
          <w:p>
            <w:pPr>
              <w:pStyle w:val="Compact"/>
              <w:jc w:val="left"/>
            </w:pPr>
            <w:r>
              <w:t xml:space="preserve">177</w:t>
            </w:r>
          </w:p>
        </w:tc>
        <w:tc>
          <w:tcPr/>
          <w:p>
            <w:pPr>
              <w:pStyle w:val="Compact"/>
              <w:jc w:val="left"/>
            </w:pPr>
            <w:r>
              <w:t xml:space="preserve">2.16 (5.6)</w:t>
            </w:r>
          </w:p>
        </w:tc>
        <w:tc>
          <w:tcPr/>
          <w:p>
            <w:pPr>
              <w:pStyle w:val="Compact"/>
              <w:jc w:val="left"/>
            </w:pPr>
            <w:r>
              <w:t xml:space="preserve">48</w:t>
            </w:r>
          </w:p>
        </w:tc>
        <w:tc>
          <w:tcPr/>
          <w:p>
            <w:pPr>
              <w:pStyle w:val="Compact"/>
              <w:jc w:val="left"/>
            </w:pPr>
            <w:r>
              <w:t xml:space="preserve">−1.50 (−2.5)</w:t>
            </w:r>
          </w:p>
        </w:tc>
      </w:tr>
      <w:tr>
        <w:tc>
          <w:tcPr/>
          <w:p>
            <w:pPr>
              <w:pStyle w:val="Compact"/>
              <w:jc w:val="left"/>
            </w:pPr>
            <w:r>
              <w:t xml:space="preserve">2025-Q1</w:t>
            </w:r>
          </w:p>
        </w:tc>
        <w:tc>
          <w:tcPr/>
          <w:p>
            <w:pPr>
              <w:pStyle w:val="Compact"/>
              <w:jc w:val="left"/>
            </w:pPr>
            <w:r>
              <w:t xml:space="preserve">295</w:t>
            </w:r>
          </w:p>
        </w:tc>
        <w:tc>
          <w:tcPr/>
          <w:p>
            <w:pPr>
              <w:pStyle w:val="Compact"/>
              <w:jc w:val="left"/>
            </w:pPr>
            <w:r>
              <w:t xml:space="preserve">2.78 (9.1)</w:t>
            </w:r>
          </w:p>
        </w:tc>
        <w:tc>
          <w:tcPr/>
          <w:p>
            <w:pPr>
              <w:pStyle w:val="Compact"/>
              <w:jc w:val="left"/>
            </w:pPr>
            <w:r>
              <w:t xml:space="preserve">79</w:t>
            </w:r>
          </w:p>
        </w:tc>
        <w:tc>
          <w:tcPr/>
          <w:p>
            <w:pPr>
              <w:pStyle w:val="Compact"/>
              <w:jc w:val="left"/>
            </w:pPr>
            <w:r>
              <w:t xml:space="preserve">−1.70 (−3.9)</w:t>
            </w:r>
          </w:p>
        </w:tc>
      </w:tr>
      <w:tr>
        <w:tc>
          <w:tcPr/>
          <w:p>
            <w:pPr>
              <w:pStyle w:val="Compact"/>
              <w:jc w:val="left"/>
            </w:pPr>
            <w:r>
              <w:t xml:space="preserve">2025-Q2</w:t>
            </w:r>
          </w:p>
        </w:tc>
        <w:tc>
          <w:tcPr/>
          <w:p>
            <w:pPr>
              <w:pStyle w:val="Compact"/>
              <w:jc w:val="left"/>
            </w:pPr>
            <w:r>
              <w:t xml:space="preserve">686</w:t>
            </w:r>
          </w:p>
        </w:tc>
        <w:tc>
          <w:tcPr/>
          <w:p>
            <w:pPr>
              <w:pStyle w:val="Compact"/>
              <w:jc w:val="left"/>
            </w:pPr>
            <w:r>
              <w:t xml:space="preserve">1.33 (2.5)</w:t>
            </w:r>
          </w:p>
        </w:tc>
        <w:tc>
          <w:tcPr/>
          <w:p>
            <w:pPr>
              <w:pStyle w:val="Compact"/>
              <w:jc w:val="left"/>
            </w:pPr>
            <w:r>
              <w:t xml:space="preserve">802</w:t>
            </w:r>
          </w:p>
        </w:tc>
        <w:tc>
          <w:tcPr/>
          <w:p>
            <w:pPr>
              <w:pStyle w:val="Compact"/>
              <w:jc w:val="left"/>
            </w:pPr>
            <w:r>
              <w:t xml:space="preserve">−0.34 (−1.5)</w:t>
            </w:r>
          </w:p>
        </w:tc>
      </w:tr>
      <w:tr>
        <w:tc>
          <w:tcPr/>
          <w:p>
            <w:pPr>
              <w:pStyle w:val="Compact"/>
              <w:jc w:val="left"/>
            </w:pPr>
            <w:r>
              <w:t xml:space="preserve">2025-Q3</w:t>
            </w:r>
          </w:p>
        </w:tc>
        <w:tc>
          <w:tcPr/>
          <w:p>
            <w:pPr>
              <w:pStyle w:val="Compact"/>
              <w:jc w:val="left"/>
            </w:pPr>
            <w:r>
              <w:t xml:space="preserve">624</w:t>
            </w:r>
          </w:p>
        </w:tc>
        <w:tc>
          <w:tcPr/>
          <w:p>
            <w:pPr>
              <w:pStyle w:val="Compact"/>
              <w:jc w:val="left"/>
            </w:pPr>
            <w:r>
              <w:t xml:space="preserve">2.99 (16.8)</w:t>
            </w:r>
          </w:p>
        </w:tc>
        <w:tc>
          <w:tcPr/>
          <w:p>
            <w:pPr>
              <w:pStyle w:val="Compact"/>
              <w:jc w:val="left"/>
            </w:pPr>
            <w:r>
              <w:t xml:space="preserve">195</w:t>
            </w:r>
          </w:p>
        </w:tc>
        <w:tc>
          <w:tcPr/>
          <w:p>
            <w:pPr>
              <w:pStyle w:val="Compact"/>
              <w:jc w:val="left"/>
            </w:pPr>
            <w:r>
              <w:t xml:space="preserve">−0.86 (−4.1)</w:t>
            </w:r>
          </w:p>
        </w:tc>
      </w:tr>
      <w:tr>
        <w:tc>
          <w:tcPr/>
          <w:p>
            <w:pPr>
              <w:pStyle w:val="Compact"/>
              <w:jc w:val="left"/>
            </w:pPr>
            <w:r>
              <w:t xml:space="preserve">2025-Q4</w:t>
            </w:r>
          </w:p>
        </w:tc>
        <w:tc>
          <w:tcPr/>
          <w:p>
            <w:pPr>
              <w:pStyle w:val="Compact"/>
              <w:jc w:val="left"/>
            </w:pPr>
            <w:r>
              <w:t xml:space="preserve">426</w:t>
            </w:r>
          </w:p>
        </w:tc>
        <w:tc>
          <w:tcPr/>
          <w:p>
            <w:pPr>
              <w:pStyle w:val="Compact"/>
              <w:jc w:val="left"/>
            </w:pPr>
            <w:r>
              <w:t xml:space="preserve">2.64 (7.4)</w:t>
            </w:r>
          </w:p>
        </w:tc>
        <w:tc>
          <w:tcPr/>
          <w:p>
            <w:pPr>
              <w:pStyle w:val="Compact"/>
              <w:jc w:val="left"/>
            </w:pPr>
            <w:r>
              <w:t xml:space="preserve">280</w:t>
            </w:r>
          </w:p>
        </w:tc>
        <w:tc>
          <w:tcPr/>
          <w:p>
            <w:pPr>
              <w:pStyle w:val="Compact"/>
              <w:jc w:val="left"/>
            </w:pPr>
            <w:r>
              <w:t xml:space="preserve">−1.39 (−2.4)</w:t>
            </w:r>
          </w:p>
        </w:tc>
      </w:tr>
      <w:tr>
        <w:tc>
          <w:tcPr/>
          <w:p>
            <w:pPr>
              <w:pStyle w:val="Compact"/>
              <w:jc w:val="left"/>
            </w:pPr>
            <w:r>
              <w:t xml:space="preserve">2026-Q1</w:t>
            </w:r>
          </w:p>
        </w:tc>
        <w:tc>
          <w:tcPr/>
          <w:p>
            <w:pPr>
              <w:pStyle w:val="Compact"/>
              <w:jc w:val="left"/>
            </w:pPr>
            <w:r>
              <w:t xml:space="preserve">455</w:t>
            </w:r>
          </w:p>
        </w:tc>
        <w:tc>
          <w:tcPr/>
          <w:p>
            <w:pPr>
              <w:pStyle w:val="Compact"/>
              <w:jc w:val="left"/>
            </w:pPr>
            <w:r>
              <w:t xml:space="preserve">2.35 (10.4)</w:t>
            </w:r>
          </w:p>
        </w:tc>
        <w:tc>
          <w:tcPr/>
          <w:p>
            <w:pPr>
              <w:pStyle w:val="Compact"/>
              <w:jc w:val="left"/>
            </w:pPr>
            <w:r>
              <w:t xml:space="preserve">433</w:t>
            </w:r>
          </w:p>
        </w:tc>
        <w:tc>
          <w:tcPr/>
          <w:p>
            <w:pPr>
              <w:pStyle w:val="Compact"/>
              <w:jc w:val="left"/>
            </w:pPr>
            <w:r>
              <w:t xml:space="preserve">−1.39 (−7.8)</w:t>
            </w:r>
          </w:p>
        </w:tc>
      </w:tr>
      <w:tr>
        <w:tc>
          <w:tcPr/>
          <w:p>
            <w:pPr>
              <w:pStyle w:val="Compact"/>
              <w:jc w:val="left"/>
            </w:pPr>
            <w:r>
              <w:t xml:space="preserve">2026-Q2</w:t>
            </w:r>
          </w:p>
        </w:tc>
        <w:tc>
          <w:tcPr/>
          <w:p>
            <w:pPr>
              <w:pStyle w:val="Compact"/>
              <w:jc w:val="left"/>
            </w:pPr>
            <w:r>
              <w:t xml:space="preserve">297</w:t>
            </w:r>
          </w:p>
        </w:tc>
        <w:tc>
          <w:tcPr/>
          <w:p>
            <w:pPr>
              <w:pStyle w:val="Compact"/>
              <w:jc w:val="left"/>
            </w:pPr>
            <w:r>
              <w:t xml:space="preserve">2.08 (7.0)</w:t>
            </w:r>
          </w:p>
        </w:tc>
        <w:tc>
          <w:tcPr/>
          <w:p>
            <w:pPr>
              <w:pStyle w:val="Compact"/>
              <w:jc w:val="left"/>
            </w:pPr>
            <w:r>
              <w:t xml:space="preserve">99</w:t>
            </w:r>
          </w:p>
        </w:tc>
        <w:tc>
          <w:tcPr/>
          <w:p>
            <w:pPr>
              <w:pStyle w:val="Compact"/>
              <w:jc w:val="left"/>
            </w:pPr>
            <w:r>
              <w:t xml:space="preserve">−1.46 (−3.3)</w:t>
            </w:r>
          </w:p>
        </w:tc>
      </w:tr>
      <w:tr>
        <w:tc>
          <w:tcPr/>
          <w:p>
            <w:pPr>
              <w:pStyle w:val="Compact"/>
              <w:jc w:val="left"/>
            </w:pPr>
            <w:r>
              <w:t xml:space="preserve">2026-Q3</w:t>
            </w:r>
          </w:p>
        </w:tc>
        <w:tc>
          <w:tcPr/>
          <w:p>
            <w:pPr>
              <w:pStyle w:val="Compact"/>
              <w:jc w:val="left"/>
            </w:pPr>
            <w:r>
              <w:t xml:space="preserve">239</w:t>
            </w:r>
          </w:p>
        </w:tc>
        <w:tc>
          <w:tcPr/>
          <w:p>
            <w:pPr>
              <w:pStyle w:val="Compact"/>
              <w:jc w:val="left"/>
            </w:pPr>
            <w:r>
              <w:t xml:space="preserve">1.61 (5.4)</w:t>
            </w:r>
          </w:p>
        </w:tc>
        <w:tc>
          <w:tcPr/>
          <w:p>
            <w:pPr>
              <w:pStyle w:val="Compact"/>
              <w:jc w:val="left"/>
            </w:pPr>
            <w:r>
              <w:t xml:space="preserve">175</w:t>
            </w:r>
          </w:p>
        </w:tc>
        <w:tc>
          <w:tcPr/>
          <w:p>
            <w:pPr>
              <w:pStyle w:val="Compact"/>
              <w:jc w:val="left"/>
            </w:pPr>
            <w:r>
              <w:t xml:space="preserve">−1.55 (−2.8)</w:t>
            </w:r>
          </w:p>
        </w:tc>
      </w:tr>
    </w:tbl>
    <w:p>
      <w:pPr>
        <w:pStyle w:val="BodyText"/>
      </w:pPr>
      <w:r>
        <w:t xml:space="preserve">[[NOTE]]</w:t>
      </w:r>
      <w:r>
        <w:t xml:space="preserve"> </w:t>
      </w:r>
      <w:r>
        <w:rPr>
          <w:iCs/>
          <w:i/>
        </w:rPr>
        <w:t xml:space="preserve">Note.</w:t>
      </w:r>
      <w:r>
        <w:t xml:space="preserve"> </w:t>
      </w:r>
      <w:r>
        <w:t xml:space="preserve">Market-adjusted gaps in percent; two-way-clustered</w:t>
      </w:r>
      <w:r>
        <w:t xml:space="preserve"> </w:t>
      </w:r>
      <w:r>
        <w:rPr>
          <w:iCs/>
          <w:i/>
        </w:rPr>
        <w:t xml:space="preserve">t</w:t>
      </w:r>
      <w:r>
        <w:t xml:space="preserve">-statistics in parentheses. Counts are events with a day-</w:t>
      </w:r>
      <w:r>
        <w:rPr>
          <w:iCs/>
          <w:i/>
        </w:rPr>
        <w:t xml:space="preserve">d</w:t>
      </w:r>
      <w:r>
        <w:t xml:space="preserve">+1 open. The first and last quarters are partial; the KRX change falls in 2025-Q2.</w:t>
      </w:r>
    </w:p>
    <w:p>
      <w:pPr>
        <w:pStyle w:val="BodyText"/>
      </w:pPr>
      <w:r>
        <w:t xml:space="preserve">[[CAP]] Table 6 Comparison with earlier studies</w:t>
      </w:r>
    </w:p>
    <w:tbl>
      <w:tblPr>
        <w:tblStyle w:val="Table"/>
        <w:tblW w:type="pct" w:w="5000"/>
        <w:tblLook w:firstRow="1" w:lastRow="0" w:firstColumn="0" w:lastColumn="0" w:noHBand="0" w:noVBand="0" w:val="0020"/>
        <w:jc w:val="start"/>
      </w:tblPr>
      <w:tblGrid>
        <w:gridCol w:w="770"/>
        <w:gridCol w:w="693"/>
        <w:gridCol w:w="3564"/>
        <w:gridCol w:w="2890"/>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Reported finding</w:t>
            </w:r>
          </w:p>
        </w:tc>
        <w:tc>
          <w:tcPr/>
          <w:p>
            <w:pPr>
              <w:pStyle w:val="Compact"/>
              <w:jc w:val="left"/>
            </w:pPr>
            <w:r>
              <w:t xml:space="preserve">Relation to our result</w:t>
            </w:r>
          </w:p>
        </w:tc>
      </w:tr>
      <w:tr>
        <w:tc>
          <w:tcPr/>
          <w:p>
            <w:pPr>
              <w:pStyle w:val="Compact"/>
              <w:jc w:val="left"/>
            </w:pPr>
            <w:r>
              <w:t xml:space="preserve">Kim and Rhee (1997)</w:t>
            </w:r>
          </w:p>
        </w:tc>
        <w:tc>
          <w:tcPr/>
          <w:p>
            <w:pPr>
              <w:pStyle w:val="Compact"/>
              <w:jc w:val="left"/>
            </w:pPr>
            <w:r>
              <w:t xml:space="preserve">Tokyo, 1989–1992; limit hits</w:t>
            </w:r>
          </w:p>
        </w:tc>
        <w:tc>
          <w:tcPr/>
          <w:p>
            <w:pPr>
              <w:pStyle w:val="Compact"/>
              <w:jc w:val="left"/>
            </w:pPr>
            <w:r>
              <w:t xml:space="preserve">Overnight continuation after limit hits in 65% (upper) and 49% (lower) of cases, against 50% and 32% for stocks reaching 90% of the limit; volatility spillover and trading interference</w:t>
            </w:r>
          </w:p>
        </w:tc>
        <w:tc>
          <w:tcPr/>
          <w:p>
            <w:pPr>
              <w:pStyle w:val="Compact"/>
              <w:jc w:val="left"/>
            </w:pPr>
            <w:r>
              <w:t xml:space="preserve">Same direction: the overnight move is larger at the limit than near it; we measure its size, not its frequency; spillover and interference not tested</w:t>
            </w:r>
          </w:p>
        </w:tc>
      </w:tr>
      <w:tr>
        <w:tc>
          <w:tcPr/>
          <w:p>
            <w:pPr>
              <w:pStyle w:val="Compact"/>
              <w:jc w:val="left"/>
            </w:pPr>
            <w:r>
              <w:t xml:space="preserve">Berkman and Lee (2002)</w:t>
            </w:r>
          </w:p>
        </w:tc>
        <w:tc>
          <w:tcPr/>
          <w:p>
            <w:pPr>
              <w:pStyle w:val="Compact"/>
              <w:jc w:val="left"/>
            </w:pPr>
            <w:r>
              <w:t xml:space="preserve">Korea; limit revision</w:t>
            </w:r>
          </w:p>
        </w:tc>
        <w:tc>
          <w:tcPr/>
          <w:p>
            <w:pPr>
              <w:pStyle w:val="Compact"/>
              <w:jc w:val="left"/>
            </w:pPr>
            <w:r>
              <w:t xml:space="preserve">Volatility and trading activity around the revision</w:t>
            </w:r>
          </w:p>
        </w:tc>
        <w:tc>
          <w:tcPr/>
          <w:p>
            <w:pPr>
              <w:pStyle w:val="Compact"/>
              <w:jc w:val="left"/>
            </w:pPr>
            <w:r>
              <w:t xml:space="preserve">Different question</w:t>
            </w:r>
          </w:p>
        </w:tc>
      </w:tr>
      <w:tr>
        <w:tc>
          <w:tcPr/>
          <w:p>
            <w:pPr>
              <w:pStyle w:val="Compact"/>
              <w:jc w:val="left"/>
            </w:pPr>
            <w:r>
              <w:t xml:space="preserve">Huang et al. (2001)</w:t>
            </w:r>
          </w:p>
        </w:tc>
        <w:tc>
          <w:tcPr/>
          <w:p>
            <w:pPr>
              <w:pStyle w:val="Compact"/>
              <w:jc w:val="left"/>
            </w:pPr>
            <w:r>
              <w:t xml:space="preserve">Taiwan, 1990–1996; 7% band</w:t>
            </w:r>
          </w:p>
        </w:tc>
        <w:tc>
          <w:tcPr/>
          <w:p>
            <w:pPr>
              <w:pStyle w:val="Compact"/>
              <w:jc w:val="left"/>
            </w:pPr>
            <w:r>
              <w:t xml:space="preserve">One-day up-limit closes: +1.18% overnight, −0.77% in the next session; near-limit rises: +0.23% and −0.72%; down-limit closes: −2.17% and +1.24%</w:t>
            </w:r>
          </w:p>
        </w:tc>
        <w:tc>
          <w:tcPr/>
          <w:p>
            <w:pPr>
              <w:pStyle w:val="Compact"/>
              <w:jc w:val="left"/>
            </w:pPr>
            <w:r>
              <w:t xml:space="preserve">Same timing; our ceiling gap (2.24%) is larger, and the session reverses a smaller share (24% against about two thirds)</w:t>
            </w:r>
          </w:p>
        </w:tc>
      </w:tr>
      <w:tr>
        <w:tc>
          <w:tcPr/>
          <w:p>
            <w:pPr>
              <w:pStyle w:val="Compact"/>
              <w:jc w:val="left"/>
            </w:pPr>
            <w:r>
              <w:t xml:space="preserve">Cho et al. (2003)</w:t>
            </w:r>
          </w:p>
        </w:tc>
        <w:tc>
          <w:tcPr/>
          <w:p>
            <w:pPr>
              <w:pStyle w:val="Compact"/>
              <w:jc w:val="left"/>
            </w:pPr>
            <w:r>
              <w:t xml:space="preserve">Taiwan; five-minute data</w:t>
            </w:r>
          </w:p>
        </w:tc>
        <w:tc>
          <w:tcPr/>
          <w:p>
            <w:pPr>
              <w:pStyle w:val="Compact"/>
              <w:jc w:val="left"/>
            </w:pPr>
            <w:r>
              <w:t xml:space="preserve">Prices accelerate toward the upper limit</w:t>
            </w:r>
          </w:p>
        </w:tc>
        <w:tc>
          <w:tcPr/>
          <w:p>
            <w:pPr>
              <w:pStyle w:val="Compact"/>
              <w:jc w:val="left"/>
            </w:pPr>
            <w:r>
              <w:t xml:space="preserve">Not tested; no intraday prices</w:t>
            </w:r>
          </w:p>
        </w:tc>
      </w:tr>
      <w:tr>
        <w:tc>
          <w:tcPr/>
          <w:p>
            <w:pPr>
              <w:pStyle w:val="Compact"/>
              <w:jc w:val="left"/>
            </w:pPr>
            <w:r>
              <w:t xml:space="preserve">Chen et al. (2019)</w:t>
            </w:r>
          </w:p>
        </w:tc>
        <w:tc>
          <w:tcPr/>
          <w:p>
            <w:pPr>
              <w:pStyle w:val="Compact"/>
              <w:jc w:val="left"/>
            </w:pPr>
            <w:r>
              <w:t xml:space="preserve">Shenzhen; accounts</w:t>
            </w:r>
          </w:p>
        </w:tc>
        <w:tc>
          <w:tcPr/>
          <w:p>
            <w:pPr>
              <w:pStyle w:val="Compact"/>
              <w:jc w:val="left"/>
            </w:pPr>
            <w:r>
              <w:t xml:space="preserve">Large investors buy on the limit day and sell the next; their net buying predicts long-run reversal</w:t>
            </w:r>
          </w:p>
        </w:tc>
        <w:tc>
          <w:tcPr/>
          <w:p>
            <w:pPr>
              <w:pStyle w:val="Compact"/>
              <w:jc w:val="left"/>
            </w:pPr>
            <w:r>
              <w:t xml:space="preserve">Consistent with our intraday reversal; no account identities</w:t>
            </w:r>
          </w:p>
        </w:tc>
      </w:tr>
      <w:tr>
        <w:tc>
          <w:tcPr/>
          <w:p>
            <w:pPr>
              <w:pStyle w:val="Compact"/>
              <w:jc w:val="left"/>
            </w:pPr>
            <w:r>
              <w:t xml:space="preserve">Qi (2023)</w:t>
            </w:r>
          </w:p>
        </w:tc>
        <w:tc>
          <w:tcPr/>
          <w:p>
            <w:pPr>
              <w:pStyle w:val="Compact"/>
              <w:jc w:val="left"/>
            </w:pPr>
            <w:r>
              <w:t xml:space="preserve">ChiNext, 2020–2021; band 10% to 20%</w:t>
            </w:r>
          </w:p>
        </w:tc>
        <w:tc>
          <w:tcPr/>
          <w:p>
            <w:pPr>
              <w:pStyle w:val="Compact"/>
              <w:jc w:val="left"/>
            </w:pPr>
            <w:r>
              <w:t xml:space="preserve">Day-1 abnormal return +0.24% after upper-limit closes and −3.37% after lower-limit closes under the 10% band; spillover and interference, stronger at the lower limit; no magnet effect</w:t>
            </w:r>
          </w:p>
        </w:tc>
        <w:tc>
          <w:tcPr/>
          <w:p>
            <w:pPr>
              <w:pStyle w:val="Compact"/>
              <w:jc w:val="left"/>
            </w:pPr>
            <w:r>
              <w:t xml:space="preserve">Opposite asymmetry: our day-</w:t>
            </w:r>
            <w:r>
              <w:rPr>
                <w:iCs/>
                <w:i/>
              </w:rPr>
              <w:t xml:space="preserve">d</w:t>
            </w:r>
            <w:r>
              <w:t xml:space="preserve">+1 return is 1.66% after ceiling and −0.71% after floor closes</w:t>
            </w:r>
          </w:p>
        </w:tc>
      </w:tr>
      <w:tr>
        <w:tc>
          <w:tcPr/>
          <w:p>
            <w:pPr>
              <w:pStyle w:val="Compact"/>
              <w:jc w:val="left"/>
            </w:pPr>
            <w:r>
              <w:t xml:space="preserve">Lin et al. (2023); Zeng et al. (2024)</w:t>
            </w:r>
          </w:p>
        </w:tc>
        <w:tc>
          <w:tcPr/>
          <w:p>
            <w:pPr>
              <w:pStyle w:val="Compact"/>
              <w:jc w:val="left"/>
            </w:pPr>
            <w:r>
              <w:t xml:space="preserve">China; cross-section</w:t>
            </w:r>
          </w:p>
        </w:tc>
        <w:tc>
          <w:tcPr/>
          <w:p>
            <w:pPr>
              <w:pStyle w:val="Compact"/>
              <w:jc w:val="left"/>
            </w:pPr>
            <w:r>
              <w:t xml:space="preserve">Large limit exposure or frequent upper-limit hits predict lower returns</w:t>
            </w:r>
          </w:p>
        </w:tc>
        <w:tc>
          <w:tcPr/>
          <w:p>
            <w:pPr>
              <w:pStyle w:val="Compact"/>
              <w:jc w:val="left"/>
            </w:pPr>
            <w:r>
              <w:t xml:space="preserve">Different horizon; a one-day gain can coexist with later reversal, which we do not measure</w:t>
            </w:r>
          </w:p>
        </w:tc>
      </w:tr>
      <w:tr>
        <w:tc>
          <w:tcPr/>
          <w:p>
            <w:pPr>
              <w:pStyle w:val="Compact"/>
              <w:jc w:val="left"/>
            </w:pPr>
            <w:r>
              <w:t xml:space="preserve">Berkman et al. (2012)</w:t>
            </w:r>
          </w:p>
        </w:tc>
        <w:tc>
          <w:tcPr/>
          <w:p>
            <w:pPr>
              <w:pStyle w:val="Compact"/>
              <w:jc w:val="left"/>
            </w:pPr>
            <w:r>
              <w:t xml:space="preserve">U.S.; intraday data</w:t>
            </w:r>
          </w:p>
        </w:tc>
        <w:tc>
          <w:tcPr/>
          <w:p>
            <w:pPr>
              <w:pStyle w:val="Compact"/>
              <w:jc w:val="left"/>
            </w:pPr>
            <w:r>
              <w:t xml:space="preserve">Overnight gains, intraday reversals, concentrated in high-attention stocks</w:t>
            </w:r>
          </w:p>
        </w:tc>
        <w:tc>
          <w:tcPr/>
          <w:p>
            <w:pPr>
              <w:pStyle w:val="Compact"/>
              <w:jc w:val="left"/>
            </w:pPr>
            <w:r>
              <w:t xml:space="preserve">Same signs; the gap also rises with volume and prior return</w:t>
            </w:r>
          </w:p>
        </w:tc>
      </w:tr>
      <w:tr>
        <w:tc>
          <w:tcPr/>
          <w:p>
            <w:pPr>
              <w:pStyle w:val="Compact"/>
              <w:jc w:val="left"/>
            </w:pPr>
            <w:r>
              <w:t xml:space="preserve">Lou et al. (2019)</w:t>
            </w:r>
          </w:p>
        </w:tc>
        <w:tc>
          <w:tcPr/>
          <w:p>
            <w:pPr>
              <w:pStyle w:val="Compact"/>
              <w:jc w:val="left"/>
            </w:pPr>
            <w:r>
              <w:t xml:space="preserve">U.S.; stock returns</w:t>
            </w:r>
          </w:p>
        </w:tc>
        <w:tc>
          <w:tcPr/>
          <w:p>
            <w:pPr>
              <w:pStyle w:val="Compact"/>
              <w:jc w:val="left"/>
            </w:pPr>
            <w:r>
              <w:t xml:space="preserve">Overnight and intraday continuation, offsetting cross-period reversal</w:t>
            </w:r>
          </w:p>
        </w:tc>
        <w:tc>
          <w:tcPr/>
          <w:p>
            <w:pPr>
              <w:pStyle w:val="Compact"/>
              <w:jc w:val="left"/>
            </w:pPr>
            <w:r>
              <w:t xml:space="preserve">Gap-then-reversal has the sign of that cross-period reversal at one day</w:t>
            </w:r>
          </w:p>
        </w:tc>
      </w:tr>
      <w:tr>
        <w:tc>
          <w:tcPr/>
          <w:p>
            <w:pPr>
              <w:pStyle w:val="Compact"/>
              <w:jc w:val="left"/>
            </w:pPr>
            <w:r>
              <w:t xml:space="preserve">Qiao and Dam (2020)</w:t>
            </w:r>
          </w:p>
        </w:tc>
        <w:tc>
          <w:tcPr/>
          <w:p>
            <w:pPr>
              <w:pStyle w:val="Compact"/>
              <w:jc w:val="left"/>
            </w:pPr>
            <w:r>
              <w:t xml:space="preserve">China A-shares</w:t>
            </w:r>
          </w:p>
        </w:tc>
        <w:tc>
          <w:tcPr/>
          <w:p>
            <w:pPr>
              <w:pStyle w:val="Compact"/>
              <w:jc w:val="left"/>
            </w:pPr>
            <w:r>
              <w:t xml:space="preserve">Negative average overnight return; T+1 rule lowers opening prices</w:t>
            </w:r>
          </w:p>
        </w:tc>
        <w:tc>
          <w:tcPr/>
          <w:p>
            <w:pPr>
              <w:pStyle w:val="Compact"/>
              <w:jc w:val="left"/>
            </w:pPr>
            <w:r>
              <w:t xml:space="preserve">Opposite sign: positive overnight return after ceiling closes</w:t>
            </w:r>
          </w:p>
        </w:tc>
      </w:tr>
      <w:tr>
        <w:tc>
          <w:tcPr/>
          <w:p>
            <w:pPr>
              <w:pStyle w:val="Compact"/>
              <w:jc w:val="left"/>
            </w:pPr>
            <w:r>
              <w:t xml:space="preserve">Hou et al. (2020); Harvey et al. (2016)</w:t>
            </w:r>
          </w:p>
        </w:tc>
        <w:tc>
          <w:tcPr/>
          <w:p>
            <w:pPr>
              <w:pStyle w:val="Compact"/>
              <w:jc w:val="left"/>
            </w:pPr>
            <w:r>
              <w:t xml:space="preserve">U.S.; anomalies</w:t>
            </w:r>
          </w:p>
        </w:tc>
        <w:tc>
          <w:tcPr/>
          <w:p>
            <w:pPr>
              <w:pStyle w:val="Compact"/>
              <w:jc w:val="left"/>
            </w:pPr>
            <w:r>
              <w:t xml:space="preserve">With microcaps mitigated, 65% of 452 anomalies fail the 1.96 hurdle; a new factor needs</w:t>
            </w:r>
            <w:r>
              <w:t xml:space="preserve"> </w:t>
            </w:r>
            <w:r>
              <w:rPr>
                <w:iCs/>
                <w:i/>
              </w:rPr>
              <w:t xml:space="preserve">t</w:t>
            </w:r>
            <w:r>
              <w:t xml:space="preserve"> </w:t>
            </w:r>
            <w:r>
              <w:t xml:space="preserve">above 3.0</w:t>
            </w:r>
          </w:p>
        </w:tc>
        <w:tc>
          <w:tcPr/>
          <w:p>
            <w:pPr>
              <w:pStyle w:val="Compact"/>
              <w:jc w:val="left"/>
            </w:pPr>
            <w:r>
              <w:t xml:space="preserve">None of our 22 characteristics reaches 1.96 in the full sample</w:t>
            </w:r>
          </w:p>
        </w:tc>
      </w:tr>
    </w:tbl>
    <w:p>
      <w:pPr>
        <w:pStyle w:val="BodyText"/>
      </w:pPr>
      <w:r>
        <w:t xml:space="preserve">[[NOTE]]</w:t>
      </w:r>
      <w:r>
        <w:t xml:space="preserve"> </w:t>
      </w:r>
      <w:r>
        <w:rPr>
          <w:iCs/>
          <w:i/>
        </w:rPr>
        <w:t xml:space="preserve">Note.</w:t>
      </w:r>
      <w:r>
        <w:t xml:space="preserve"> </w:t>
      </w:r>
      <w:r>
        <w:t xml:space="preserve">Entries for Kim and Rhee (1997), Huang et al. (2001), and Qi (2023) report results from the full texts; the other entries summarize each study’s abstract.</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i.org/10.1002/for.3197" TargetMode="External" /><Relationship Type="http://schemas.openxmlformats.org/officeDocument/2006/relationships/hyperlink" Id="rId42" Target="https://doi.org/10.1016/0304-405X(86)90061-9" TargetMode="External" /><Relationship Type="http://schemas.openxmlformats.org/officeDocument/2006/relationships/hyperlink" Id="rId46" Target="https://doi.org/10.1016/0927-538X(93)90005-3" TargetMode="External" /><Relationship Type="http://schemas.openxmlformats.org/officeDocument/2006/relationships/hyperlink" Id="rId39" Target="https://doi.org/10.1016/S0927-538X(02)00040-9" TargetMode="External" /><Relationship Type="http://schemas.openxmlformats.org/officeDocument/2006/relationships/hyperlink" Id="rId47" Target="https://doi.org/10.1016/S0927-5398(02)00024-5" TargetMode="External" /><Relationship Type="http://schemas.openxmlformats.org/officeDocument/2006/relationships/hyperlink" Id="rId55" Target="https://doi.org/10.1016/S1059-0560(00)00082-4" TargetMode="External" /><Relationship Type="http://schemas.openxmlformats.org/officeDocument/2006/relationships/hyperlink" Id="rId56" Target="https://doi.org/10.1016/j.frl.2023.104715" TargetMode="External" /><Relationship Type="http://schemas.openxmlformats.org/officeDocument/2006/relationships/hyperlink" Id="rId67" Target="https://doi.org/10.1016/j.frl.2023.104803" TargetMode="External" /><Relationship Type="http://schemas.openxmlformats.org/officeDocument/2006/relationships/hyperlink" Id="rId61" Target="https://doi.org/10.1016/j.jbankfin.2023.106818" TargetMode="External" /><Relationship Type="http://schemas.openxmlformats.org/officeDocument/2006/relationships/hyperlink" Id="rId45" Target="https://doi.org/10.1016/j.jeconom.2018.09.014" TargetMode="External" /><Relationship Type="http://schemas.openxmlformats.org/officeDocument/2006/relationships/hyperlink" Id="rId62" Target="https://doi.org/10.1016/j.jfineco.2019.03.011" TargetMode="External" /><Relationship Type="http://schemas.openxmlformats.org/officeDocument/2006/relationships/hyperlink" Id="rId37" Target="https://doi.org/10.1016/j.jfineco.2021.09.019" TargetMode="External" /><Relationship Type="http://schemas.openxmlformats.org/officeDocument/2006/relationships/hyperlink" Id="rId40" Target="https://doi.org/10.1017/S0022109012000270" TargetMode="External" /><Relationship Type="http://schemas.openxmlformats.org/officeDocument/2006/relationships/hyperlink" Id="rId57" Target="https://doi.org/10.1057/jam.2011.2" TargetMode="External" /><Relationship Type="http://schemas.openxmlformats.org/officeDocument/2006/relationships/hyperlink" Id="rId48" Target="https://doi.org/10.1086/260061" TargetMode="External" /><Relationship Type="http://schemas.openxmlformats.org/officeDocument/2006/relationships/hyperlink" Id="rId53" Target="https://doi.org/10.1093/rfs/hhv059" TargetMode="External" /><Relationship Type="http://schemas.openxmlformats.org/officeDocument/2006/relationships/hyperlink" Id="rId50" Target="https://doi.org/10.1111/acfi.13354" TargetMode="External" /><Relationship Type="http://schemas.openxmlformats.org/officeDocument/2006/relationships/hyperlink" Id="rId41" Target="https://doi.org/10.1111/j.1475-6803.2006.00185.x" TargetMode="External" /><Relationship Type="http://schemas.openxmlformats.org/officeDocument/2006/relationships/hyperlink" Id="rId65" Target="https://doi.org/10.1111/j.1540-6261.1994.tb04427.x" TargetMode="External" /><Relationship Type="http://schemas.openxmlformats.org/officeDocument/2006/relationships/hyperlink" Id="rId58" Target="https://doi.org/10.1111/j.1540-6261.1997.tb04827.x" TargetMode="External" /><Relationship Type="http://schemas.openxmlformats.org/officeDocument/2006/relationships/hyperlink" Id="rId51" Target="https://doi.org/10.1111/j.1540-6261.2008.01320.x" TargetMode="External" /><Relationship Type="http://schemas.openxmlformats.org/officeDocument/2006/relationships/hyperlink" Id="rId38" Target="https://doi.org/10.1111/j.2517-6161.1995.tb02031.x" TargetMode="External" /><Relationship Type="http://schemas.openxmlformats.org/officeDocument/2006/relationships/hyperlink" Id="rId52" Target="https://doi.org/10.1111/jofi.12951" TargetMode="External" /><Relationship Type="http://schemas.openxmlformats.org/officeDocument/2006/relationships/hyperlink" Id="rId44" Target="https://doi.org/10.1111/jofi.13310" TargetMode="External" /><Relationship Type="http://schemas.openxmlformats.org/officeDocument/2006/relationships/hyperlink" Id="rId43" Target="https://doi.org/10.1198/jbes.2010.07136" TargetMode="External" /><Relationship Type="http://schemas.openxmlformats.org/officeDocument/2006/relationships/hyperlink" Id="rId64" Target="https://doi.org/10.1371/journal.pone.0287548" TargetMode="External" /><Relationship Type="http://schemas.openxmlformats.org/officeDocument/2006/relationships/hyperlink" Id="rId63" Target="https://doi.org/10.2307/1913610" TargetMode="External" /><Relationship Type="http://schemas.openxmlformats.org/officeDocument/2006/relationships/hyperlink" Id="rId33" Target="https://github.com/trungcandygit/black_litterman_2" TargetMode="External" /><Relationship Type="http://schemas.openxmlformats.org/officeDocument/2006/relationships/hyperlink" Id="rId49" Target="https://ideas.repec.org/p/sol/wpaper/06-005.html" TargetMode="External" /><Relationship Type="http://schemas.openxmlformats.org/officeDocument/2006/relationships/hyperlink" Id="rId66" Target="https://vietnamnews.vn/economy/1717047/krx-system-officially-goes-live.html" TargetMode="External" /><Relationship Type="http://schemas.openxmlformats.org/officeDocument/2006/relationships/hyperlink" Id="rId59" Target="https://vjol.info.vn/ed/article/view/34298" TargetMode="External" /><Relationship Type="http://schemas.openxmlformats.org/officeDocument/2006/relationships/hyperlink" Id="rId54" Target="https://www.hsc.com.vn/en/important-changes-of-new-trading-system"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for.3197" TargetMode="External" /><Relationship Type="http://schemas.openxmlformats.org/officeDocument/2006/relationships/hyperlink" Id="rId42" Target="https://doi.org/10.1016/0304-405X(86)90061-9" TargetMode="External" /><Relationship Type="http://schemas.openxmlformats.org/officeDocument/2006/relationships/hyperlink" Id="rId46" Target="https://doi.org/10.1016/0927-538X(93)90005-3" TargetMode="External" /><Relationship Type="http://schemas.openxmlformats.org/officeDocument/2006/relationships/hyperlink" Id="rId39" Target="https://doi.org/10.1016/S0927-538X(02)00040-9" TargetMode="External" /><Relationship Type="http://schemas.openxmlformats.org/officeDocument/2006/relationships/hyperlink" Id="rId47" Target="https://doi.org/10.1016/S0927-5398(02)00024-5" TargetMode="External" /><Relationship Type="http://schemas.openxmlformats.org/officeDocument/2006/relationships/hyperlink" Id="rId55" Target="https://doi.org/10.1016/S1059-0560(00)00082-4" TargetMode="External" /><Relationship Type="http://schemas.openxmlformats.org/officeDocument/2006/relationships/hyperlink" Id="rId56" Target="https://doi.org/10.1016/j.frl.2023.104715" TargetMode="External" /><Relationship Type="http://schemas.openxmlformats.org/officeDocument/2006/relationships/hyperlink" Id="rId67" Target="https://doi.org/10.1016/j.frl.2023.104803" TargetMode="External" /><Relationship Type="http://schemas.openxmlformats.org/officeDocument/2006/relationships/hyperlink" Id="rId61" Target="https://doi.org/10.1016/j.jbankfin.2023.106818" TargetMode="External" /><Relationship Type="http://schemas.openxmlformats.org/officeDocument/2006/relationships/hyperlink" Id="rId45" Target="https://doi.org/10.1016/j.jeconom.2018.09.014" TargetMode="External" /><Relationship Type="http://schemas.openxmlformats.org/officeDocument/2006/relationships/hyperlink" Id="rId62" Target="https://doi.org/10.1016/j.jfineco.2019.03.011" TargetMode="External" /><Relationship Type="http://schemas.openxmlformats.org/officeDocument/2006/relationships/hyperlink" Id="rId37" Target="https://doi.org/10.1016/j.jfineco.2021.09.019" TargetMode="External" /><Relationship Type="http://schemas.openxmlformats.org/officeDocument/2006/relationships/hyperlink" Id="rId40" Target="https://doi.org/10.1017/S0022109012000270" TargetMode="External" /><Relationship Type="http://schemas.openxmlformats.org/officeDocument/2006/relationships/hyperlink" Id="rId57" Target="https://doi.org/10.1057/jam.2011.2" TargetMode="External" /><Relationship Type="http://schemas.openxmlformats.org/officeDocument/2006/relationships/hyperlink" Id="rId48" Target="https://doi.org/10.1086/260061" TargetMode="External" /><Relationship Type="http://schemas.openxmlformats.org/officeDocument/2006/relationships/hyperlink" Id="rId53" Target="https://doi.org/10.1093/rfs/hhv059" TargetMode="External" /><Relationship Type="http://schemas.openxmlformats.org/officeDocument/2006/relationships/hyperlink" Id="rId50" Target="https://doi.org/10.1111/acfi.13354" TargetMode="External" /><Relationship Type="http://schemas.openxmlformats.org/officeDocument/2006/relationships/hyperlink" Id="rId41" Target="https://doi.org/10.1111/j.1475-6803.2006.00185.x" TargetMode="External" /><Relationship Type="http://schemas.openxmlformats.org/officeDocument/2006/relationships/hyperlink" Id="rId65" Target="https://doi.org/10.1111/j.1540-6261.1994.tb04427.x" TargetMode="External" /><Relationship Type="http://schemas.openxmlformats.org/officeDocument/2006/relationships/hyperlink" Id="rId58" Target="https://doi.org/10.1111/j.1540-6261.1997.tb04827.x" TargetMode="External" /><Relationship Type="http://schemas.openxmlformats.org/officeDocument/2006/relationships/hyperlink" Id="rId51" Target="https://doi.org/10.1111/j.1540-6261.2008.01320.x" TargetMode="External" /><Relationship Type="http://schemas.openxmlformats.org/officeDocument/2006/relationships/hyperlink" Id="rId38" Target="https://doi.org/10.1111/j.2517-6161.1995.tb02031.x" TargetMode="External" /><Relationship Type="http://schemas.openxmlformats.org/officeDocument/2006/relationships/hyperlink" Id="rId52" Target="https://doi.org/10.1111/jofi.12951" TargetMode="External" /><Relationship Type="http://schemas.openxmlformats.org/officeDocument/2006/relationships/hyperlink" Id="rId44" Target="https://doi.org/10.1111/jofi.13310" TargetMode="External" /><Relationship Type="http://schemas.openxmlformats.org/officeDocument/2006/relationships/hyperlink" Id="rId43" Target="https://doi.org/10.1198/jbes.2010.07136" TargetMode="External" /><Relationship Type="http://schemas.openxmlformats.org/officeDocument/2006/relationships/hyperlink" Id="rId64" Target="https://doi.org/10.1371/journal.pone.0287548" TargetMode="External" /><Relationship Type="http://schemas.openxmlformats.org/officeDocument/2006/relationships/hyperlink" Id="rId63" Target="https://doi.org/10.2307/1913610" TargetMode="External" /><Relationship Type="http://schemas.openxmlformats.org/officeDocument/2006/relationships/hyperlink" Id="rId33" Target="https://github.com/trungcandygit/black_litterman_2" TargetMode="External" /><Relationship Type="http://schemas.openxmlformats.org/officeDocument/2006/relationships/hyperlink" Id="rId49" Target="https://ideas.repec.org/p/sol/wpaper/06-005.html" TargetMode="External" /><Relationship Type="http://schemas.openxmlformats.org/officeDocument/2006/relationships/hyperlink" Id="rId66" Target="https://vietnamnews.vn/economy/1717047/krx-system-officially-goes-live.html" TargetMode="External" /><Relationship Type="http://schemas.openxmlformats.org/officeDocument/2006/relationships/hyperlink" Id="rId59" Target="https://vjol.info.vn/ed/article/view/34298" TargetMode="External" /><Relationship Type="http://schemas.openxmlformats.org/officeDocument/2006/relationships/hyperlink" Id="rId54" Target="https://www.hsc.com.vn/en/important-changes-of-new-trading-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2026-10-06T07:07:34Z</dcterms:created>
  <dcterms:modified xsi:type="dcterms:W3CDTF">2026-10-06T07:07:34Z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