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57A60" w14:textId="40D53118" w:rsidR="009E0F4A" w:rsidRDefault="002A3A56" w:rsidP="00824612">
      <w:pPr>
        <w:spacing w:after="0" w:line="240" w:lineRule="auto"/>
        <w:jc w:val="both"/>
      </w:pPr>
      <w:r>
        <w:tab/>
        <w:tab/>
        <w:tab/>
        <w:tab/>
        <w:tab/>
      </w:r>
    </w:p>
    <w:p w14:paraId="0AD4ABDD" w14:textId="7C076E23" w:rsidR="00AB23F0" w:rsidRDefault="00AB23F0" w:rsidP="00824612">
      <w:pPr>
        <w:spacing w:after="0" w:line="240" w:lineRule="auto"/>
        <w:jc w:val="both"/>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9"/>
        <w:gridCol w:w="990"/>
      </w:tblGrid>
      <w:tr w:rsidR="002453A7" w:rsidRPr="00BF5C77" w14:paraId="4B4F72BD" w14:textId="77777777" w:rsidTr="00C86194">
        <w:trPr>
          <w:trHeight w:val="473"/>
        </w:trPr>
        <w:tc>
          <w:tcPr>
            <w:tcW w:w="9219" w:type="dxa"/>
          </w:tcPr>
          <w:p w14:paraId="45517ECB" w14:textId="7321F257" w:rsidR="002453A7" w:rsidRPr="00A94872" w:rsidRDefault="00E0708B" w:rsidP="00433AFC">
            <w:pPr>
              <w:pStyle w:val="MDPI16affiliation"/>
              <w:spacing w:line="240" w:lineRule="auto"/>
              <w:ind w:left="-102" w:firstLine="0"/>
              <w:rPr>
                <w:rFonts w:ascii="Calibri" w:eastAsiaTheme="minorHAnsi" w:hAnsi="Calibri" w:cs="Calibri"/>
                <w:b/>
                <w:bCs/>
                <w:color w:val="83150E"/>
                <w:sz w:val="42"/>
                <w:szCs w:val="42"/>
                <w:lang w:eastAsia="en-US" w:bidi="ar-SA"/>
              </w:rPr>
            </w:pPr>
            <w:r>
              <w:rPr>
                <w:rFonts w:ascii="Calibri" w:eastAsiaTheme="minorHAnsi" w:hAnsi="Calibri" w:cs="Calibri"/>
                <w:b/>
                <w:bCs/>
                <w:color w:val="83150E"/>
                <w:sz w:val="42"/>
                <w:szCs w:val="42"/>
                <w:lang w:val="hr-HR" w:eastAsia="en-US" w:bidi="ar-SA"/>
              </w:rPr>
              <w:t xml:space="preserve">Do price limits delay price discovery? Overnight gaps after limit closes in Vietnam</w:t>
            </w:r>
          </w:p>
          <w:p w14:paraId="22537A96" w14:textId="2F490FFF" w:rsidR="00433AFC" w:rsidRPr="00351673" w:rsidRDefault="00433AFC" w:rsidP="00433AFC">
            <w:pPr>
              <w:pStyle w:val="MDPI16affiliation"/>
              <w:spacing w:line="240" w:lineRule="auto"/>
              <w:ind w:left="0" w:firstLine="0"/>
              <w:jc w:val="both"/>
              <w:rPr>
                <w:rFonts w:ascii="Calibri" w:eastAsiaTheme="minorHAnsi" w:hAnsi="Calibri" w:cs="Calibri"/>
                <w:b/>
                <w:color w:val="auto"/>
                <w:sz w:val="20"/>
                <w:szCs w:val="20"/>
                <w:lang w:val="en-GB" w:eastAsia="en-US" w:bidi="ar-SA"/>
              </w:rPr>
            </w:pPr>
          </w:p>
        </w:tc>
        <w:tc>
          <w:tcPr>
            <w:tcW w:w="990" w:type="dxa"/>
          </w:tcPr>
          <w:p w14:paraId="485EF5CE" w14:textId="77777777" w:rsidR="003458E8" w:rsidRPr="0078120D" w:rsidRDefault="003458E8" w:rsidP="00824612">
            <w:pPr>
              <w:spacing w:after="0" w:line="240" w:lineRule="auto"/>
              <w:rPr>
                <w:sz w:val="6"/>
                <w:szCs w:val="6"/>
                <w:lang w:val="en-US"/>
              </w:rPr>
            </w:pPr>
          </w:p>
          <w:p w14:paraId="779286EF" w14:textId="77777777" w:rsidR="002453A7" w:rsidRPr="00BF5C77" w:rsidRDefault="002453A7" w:rsidP="00824612">
            <w:pPr>
              <w:spacing w:after="0" w:line="240" w:lineRule="auto"/>
              <w:rPr>
                <w:lang w:val="en-US"/>
              </w:rPr>
            </w:pPr>
            <w:r>
              <w:rPr>
                <w:rFonts w:ascii="Times New Roman" w:hAnsi="Times New Roman"/>
                <w:b/>
                <w:bCs/>
                <w:noProof/>
                <w:sz w:val="30"/>
                <w:szCs w:val="30"/>
                <w:lang w:eastAsia="pt-BR"/>
              </w:rPr>
              <w:drawing>
                <wp:inline distT="0" distB="0" distL="0" distR="0" wp14:anchorId="773FD8B4" wp14:editId="4EB44F23">
                  <wp:extent cx="527323" cy="527323"/>
                  <wp:effectExtent l="0" t="0" r="6350" b="6350"/>
                  <wp:docPr id="19" name="Imagem 19" descr="C:\Users\Elite705g3Mini\OneDrive\Malque\Multi\CrossMark.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C:\Users\Elite705g3Mini\OneDrive\Malque\Multi\CrossMark.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5399" cy="535399"/>
                          </a:xfrm>
                          <a:prstGeom prst="rect">
                            <a:avLst/>
                          </a:prstGeom>
                          <a:noFill/>
                          <a:ln>
                            <a:noFill/>
                          </a:ln>
                        </pic:spPr>
                      </pic:pic>
                    </a:graphicData>
                  </a:graphic>
                </wp:inline>
              </w:drawing>
            </w:r>
          </w:p>
        </w:tc>
      </w:tr>
      <w:tr w:rsidR="00D42C05" w:rsidRPr="00A94872" w14:paraId="68F92C2C" w14:textId="2F9D941C" w:rsidTr="00A94872">
        <w:tc>
          <w:tcPr>
            <w:tcW w:w="9219" w:type="dxa"/>
            <w:tcBorders>
              <w:bottom w:val="double" w:sz="4" w:space="0" w:color="83150E"/>
            </w:tcBorders>
          </w:tcPr>
          <w:p w14:paraId="42203760" w14:textId="7B2D08D5" w:rsidR="00247A1B" w:rsidRPr="002C15DB" w:rsidRDefault="00E0708B" w:rsidP="00E0708B">
            <w:pPr>
              <w:spacing w:after="0"/>
              <w:ind w:left="-102"/>
              <w:rPr>
                <w:rFonts w:asciiTheme="minorHAnsi" w:hAnsiTheme="minorHAnsi" w:cstheme="minorHAnsi"/>
                <w:b/>
                <w:sz w:val="4"/>
                <w:szCs w:val="4"/>
                <w:lang w:val="en-US"/>
              </w:rPr>
            </w:pPr>
            <w:r>
              <w:rPr>
                <w:rFonts w:asciiTheme="minorHAnsi" w:hAnsiTheme="minorHAnsi" w:cstheme="minorHAnsi"/>
                <w:b/>
                <w:bCs/>
                <w:lang w:val="hr-HR"/>
              </w:rPr>
              <w:t xml:space="preserve">Nguyen Thanh Binh</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1" name="Imagem 34" descr="C:\Users\Elite705g3Mini\OneDrive\Malque\orcid.png">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5"/>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Van Trung</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2" name="Imagem 34" descr="C:\Users\Elite705g3Mini\OneDrive\Malque\orcid.png">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6"/>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color w:val="BFBFBF" w:themeColor="background1" w:themeShade="BF"/>
                <w:vertAlign w:val="superscript"/>
                <w:lang w:val="en-US"/>
              </w:rPr>
              <w:t xml:space="preserve"> </w:t>
            </w:r>
            <w:r>
              <w:rPr>
                <w:noProof/>
              </w:rPr>
              <w:drawing>
                <wp:inline distT="0" distB="0" distL="0" distR="0" wp14:anchorId="26500C72" wp14:editId="742073D6">
                  <wp:extent cx="127635" cy="94615"/>
                  <wp:effectExtent l="0" t="0" r="5715" b="635"/>
                  <wp:docPr id="2009629073" name="Gráfico 35" descr="Envelop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Envelope">
                            <a:hlinkClick r:id="rId27"/>
                          </pic:cNvPr>
                          <pic:cNvPicPr>
                            <a:picLocks noChangeAspect="1"/>
                          </pic:cNvPicPr>
                        </pic:nvPicPr>
                        <pic:blipFill rotWithShape="1">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l="6249" t="17361" r="5556" b="17361"/>
                          <a:stretch/>
                        </pic:blipFill>
                        <pic:spPr bwMode="auto">
                          <a:xfrm>
                            <a:off x="0" y="0"/>
                            <a:ext cx="127635" cy="94615"/>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Ha Hong Hanh</w:t>
            </w:r>
            <w:r>
              <w:rPr>
                <w:rFonts w:asciiTheme="minorHAnsi" w:hAnsiTheme="minorHAnsi" w:cstheme="minorHAnsi"/>
                <w:b/>
                <w:color w:val="943634" w:themeColor="accent2" w:themeShade="BF"/>
                <w:vertAlign w:val="superscript"/>
                <w:lang w:val="en-US"/>
              </w:rPr>
              <w:t>b</w:t>
            </w:r>
            <w:r>
              <w:rPr>
                <w:noProof/>
              </w:rPr>
              <w:drawing>
                <wp:inline distT="0" distB="0" distL="0" distR="0" wp14:anchorId="24DEB3B2" wp14:editId="76D0B5A7">
                  <wp:extent cx="99695" cy="98425"/>
                  <wp:effectExtent l="0" t="0" r="0" b="0"/>
                  <wp:docPr id="2009629074" name="Imagem 34" descr="C:\Users\Elite705g3Mini\OneDrive\Malque\orcid.png">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8"/>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Bach Diep</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5" name="Imagem 34" descr="C:\Users\Elite705g3Mini\OneDrive\Malque\orcid.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9"/>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p>
        </w:tc>
        <w:tc>
          <w:tcPr>
            <w:tcW w:w="990" w:type="dxa"/>
            <w:tcBorders>
              <w:bottom w:val="double" w:sz="4" w:space="0" w:color="83150E"/>
            </w:tcBorders>
          </w:tcPr>
          <w:p w14:paraId="1D994E0A" w14:textId="77777777" w:rsidR="00D42C05" w:rsidRPr="002C15DB" w:rsidRDefault="00D42C05" w:rsidP="00824612">
            <w:pPr>
              <w:spacing w:after="0" w:line="240" w:lineRule="auto"/>
              <w:rPr>
                <w:rFonts w:asciiTheme="minorHAnsi" w:hAnsiTheme="minorHAnsi" w:cstheme="minorHAnsi"/>
                <w:sz w:val="8"/>
                <w:szCs w:val="8"/>
                <w:lang w:val="en-US"/>
              </w:rPr>
            </w:pPr>
          </w:p>
          <w:p w14:paraId="4B47D3E8" w14:textId="77777777" w:rsidR="00D42C05" w:rsidRPr="002C15DB" w:rsidRDefault="00D42C05" w:rsidP="00C86194">
            <w:pPr>
              <w:spacing w:after="0" w:line="240" w:lineRule="auto"/>
              <w:ind w:left="-102"/>
              <w:jc w:val="right"/>
              <w:rPr>
                <w:rFonts w:asciiTheme="minorHAnsi" w:hAnsiTheme="minorHAnsi" w:cstheme="minorHAnsi"/>
                <w:sz w:val="8"/>
                <w:szCs w:val="8"/>
                <w:lang w:val="en-US"/>
              </w:rPr>
            </w:pPr>
          </w:p>
        </w:tc>
      </w:tr>
      <w:tr w:rsidR="00D42C05" w:rsidRPr="00A94872" w14:paraId="5DF52BDD" w14:textId="549ED092" w:rsidTr="00A94872">
        <w:tc>
          <w:tcPr>
            <w:tcW w:w="9219" w:type="dxa"/>
            <w:tcBorders>
              <w:top w:val="double" w:sz="4" w:space="0" w:color="83150E"/>
            </w:tcBorders>
          </w:tcPr>
          <w:p w14:paraId="3C71346E"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c>
          <w:tcPr>
            <w:tcW w:w="990" w:type="dxa"/>
            <w:tcBorders>
              <w:top w:val="double" w:sz="4" w:space="0" w:color="83150E"/>
            </w:tcBorders>
          </w:tcPr>
          <w:p w14:paraId="6BB44AA7"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r>
      <w:tr w:rsidR="00D42C05" w:rsidRPr="00A94872" w14:paraId="28D5582B" w14:textId="1893548E" w:rsidTr="00C86194">
        <w:tc>
          <w:tcPr>
            <w:tcW w:w="9219" w:type="dxa"/>
          </w:tcPr>
          <w:p w14:paraId="400F2739" w14:textId="491430DA" w:rsidR="00FB376B" w:rsidRPr="00FB376B" w:rsidRDefault="00CB5F40"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color w:val="943634" w:themeColor="accent2" w:themeShade="BF"/>
                <w:sz w:val="14"/>
                <w:szCs w:val="14"/>
                <w:vertAlign w:val="superscript"/>
                <w:lang w:val="en-US"/>
              </w:rPr>
              <w:t>a</w:t>
            </w:r>
            <w:r>
              <w:rPr>
                <w:rFonts w:asciiTheme="minorHAnsi" w:hAnsiTheme="minorHAnsi" w:cstheme="minorHAnsi"/>
                <w:bCs/>
                <w:iCs/>
                <w:color w:val="000000" w:themeColor="text1"/>
                <w:sz w:val="14"/>
                <w:szCs w:val="14"/>
                <w:lang w:val="hr-HR"/>
              </w:rPr>
              <w:t xml:space="preserve">Academy of Policy and Development, Nam An Khanh Urban Area, Hoai Duc District, Hanoi, Vietnam.</w:t>
            </w:r>
          </w:p>
          <w:p w14:paraId="20607C71" w14:textId="716A071D" w:rsidR="00FB376B" w:rsidRPr="00FB376B" w:rsidRDefault="00FB376B"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bCs/>
                <w:iCs/>
                <w:color w:val="943634" w:themeColor="accent2" w:themeShade="BF"/>
                <w:sz w:val="14"/>
                <w:szCs w:val="14"/>
                <w:vertAlign w:val="superscript"/>
                <w:lang w:val="hr-HR"/>
              </w:rPr>
              <w:t>b</w:t>
            </w:r>
            <w:r>
              <w:rPr>
                <w:rFonts w:asciiTheme="minorHAnsi" w:hAnsiTheme="minorHAnsi" w:cstheme="minorHAnsi"/>
                <w:bCs/>
                <w:iCs/>
                <w:color w:val="000000" w:themeColor="text1"/>
                <w:sz w:val="14"/>
                <w:szCs w:val="14"/>
                <w:lang w:val="hr-HR"/>
              </w:rPr>
              <w:t xml:space="preserve">School of Accounting and Auditing, National Economics University, Hanoi, Vietnam.</w:t>
            </w:r>
          </w:p>
        </w:tc>
        <w:tc>
          <w:tcPr>
            <w:tcW w:w="990" w:type="dxa"/>
          </w:tcPr>
          <w:p w14:paraId="3D7A2492" w14:textId="77777777" w:rsidR="00D42C05" w:rsidRPr="002C15DB" w:rsidRDefault="00D42C05" w:rsidP="00824612">
            <w:pPr>
              <w:spacing w:after="0" w:line="240" w:lineRule="auto"/>
              <w:rPr>
                <w:rFonts w:asciiTheme="minorHAnsi" w:hAnsiTheme="minorHAnsi" w:cstheme="minorHAnsi"/>
                <w:bCs/>
                <w:i/>
                <w:sz w:val="14"/>
                <w:szCs w:val="14"/>
                <w:lang w:val="en-US"/>
              </w:rPr>
            </w:pPr>
          </w:p>
          <w:p w14:paraId="671F7937" w14:textId="77777777" w:rsidR="00D42C05" w:rsidRPr="002C15DB" w:rsidRDefault="00D42C05" w:rsidP="00824612">
            <w:pPr>
              <w:spacing w:after="0" w:line="240" w:lineRule="auto"/>
              <w:ind w:left="-102"/>
              <w:jc w:val="right"/>
              <w:rPr>
                <w:rFonts w:asciiTheme="minorHAnsi" w:hAnsiTheme="minorHAnsi" w:cstheme="minorHAnsi"/>
                <w:bCs/>
                <w:i/>
                <w:sz w:val="14"/>
                <w:szCs w:val="14"/>
                <w:lang w:val="en-US"/>
              </w:rPr>
            </w:pPr>
          </w:p>
        </w:tc>
      </w:tr>
    </w:tbl>
    <w:p w14:paraId="3A208D12" w14:textId="78A7A9F0" w:rsidR="002453A7" w:rsidRPr="0078120D" w:rsidRDefault="00D01EE6" w:rsidP="00824612">
      <w:pPr>
        <w:pageBreakBefore/>
        <w:spacing w:after="0" w:line="240" w:lineRule="auto"/>
        <w:rPr>
          <w:rFonts w:ascii="Times New Roman" w:hAnsi="Times New Roman"/>
          <w:sz w:val="4"/>
          <w:szCs w:val="4"/>
          <w:lang w:val="en-US"/>
        </w:rPr>
        <w:sectPr w:rsidR="002453A7" w:rsidRPr="0078120D" w:rsidSect="00C16F30">
          <w:headerReference w:type="default" r:id="rId15"/>
          <w:footerReference w:type="default" r:id="rId16"/>
          <w:headerReference w:type="first" r:id="rId17"/>
          <w:footerReference w:type="first" r:id="rId18"/>
          <w:pgSz w:w="11906" w:h="16838"/>
          <w:pgMar w:top="1134" w:right="851" w:bottom="1134" w:left="851" w:header="709" w:footer="709" w:gutter="0"/>
          <w:pgNumType w:start="1"/>
          <w:cols w:space="708"/>
          <w:titlePg/>
          <w:docGrid w:linePitch="360"/>
        </w:sectPr>
      </w:pPr>
      <w:r>
        <w:rPr>
          <w:rFonts w:ascii="Candara" w:hAnsi="Candara" w:cstheme="majorHAnsi"/>
          <w:noProof/>
          <w:szCs w:val="30"/>
          <w:lang w:eastAsia="pt-BR"/>
        </w:rPr>
        <mc:AlternateContent>
          <mc:Choice Requires="wps">
            <w:drawing>
              <wp:anchor distT="0" distB="0" distL="114300" distR="114300" simplePos="0" relativeHeight="251658240" behindDoc="0" locked="0" layoutInCell="1" allowOverlap="1" wp14:anchorId="2C608016" wp14:editId="34AE8FE1">
                <wp:simplePos x="0" y="0"/>
                <wp:positionH relativeFrom="margin">
                  <wp:align>left</wp:align>
                </wp:positionH>
                <wp:positionV relativeFrom="paragraph">
                  <wp:posOffset>45085</wp:posOffset>
                </wp:positionV>
                <wp:extent cx="6477000" cy="3352800"/>
                <wp:effectExtent l="0" t="0" r="12700" b="12700"/>
                <wp:wrapTopAndBottom/>
                <wp:docPr id="23" name="Caixa de texto 23"/>
                <wp:cNvGraphicFramePr/>
                <a:graphic xmlns:a="http://schemas.openxmlformats.org/drawingml/2006/main">
                  <a:graphicData uri="http://schemas.microsoft.com/office/word/2010/wordprocessingShape">
                    <wps:wsp>
                      <wps:cNvSpPr txBox="1"/>
                      <wps:spPr>
                        <a:xfrm>
                          <a:off x="0" y="0"/>
                          <a:ext cx="6477000" cy="3352800"/>
                        </a:xfrm>
                        <a:prstGeom prst="rect">
                          <a:avLst/>
                        </a:prstGeom>
                        <a:solidFill>
                          <a:schemeClr val="accent2">
                            <a:lumMod val="20000"/>
                            <a:lumOff val="80000"/>
                          </a:schemeClr>
                        </a:solidFill>
                        <a:ln w="6350">
                          <a:solidFill>
                            <a:srgbClr val="83150E"/>
                          </a:solidFill>
                        </a:ln>
                        <a:effectLst/>
                      </wps:spPr>
                      <wps:style>
                        <a:lnRef idx="0">
                          <a:schemeClr val="accent1"/>
                        </a:lnRef>
                        <a:fillRef idx="0">
                          <a:schemeClr val="accent1"/>
                        </a:fillRef>
                        <a:effectRef idx="0">
                          <a:schemeClr val="accent1"/>
                        </a:effectRef>
                        <a:fontRef idx="minor">
                          <a:schemeClr val="dk1"/>
                        </a:fontRef>
                      </wps:style>
                      <wps:txb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lower-powered characteristic tests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08016" id="_x0000_t202" coordsize="21600,21600" o:spt="202" path="m,l,21600r21600,l21600,xe">
                <v:stroke joinstyle="miter"/>
                <v:path gradientshapeok="t" o:connecttype="rect"/>
              </v:shapetype>
              <v:shape id="Caixa de texto 23" o:spid="_x0000_s1026" type="#_x0000_t202" style="position:absolute;margin-left:0;margin-top:3.55pt;width:510pt;height:264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sxWdmwIAAM4FAAAOAAAAZHJzL2Uyb0RvYy54bWysVFtv0zAUfkfiP1h+Z0kvuxAtncrGENLY Jja0Z9exWwvHx9huk/LrOXaSthvwMMRLcnzu5zuX84u21mQjnFdgSjo6yikRhkOlzLKk3x6v351R 4gMzFdNgREm3wtOL2ds3540txBhWoCvhCDoxvmhsSVch2CLLPF+JmvkjsMKgUIKrWcCnW2aVYw16 r3U2zvOTrAFXWQdceI/cq05IZ8m/lIKHOym9CESXFHML6evSdxG/2eycFUvH7ErxPg32D1nUTBkM unN1xQIja6d+c1Ur7sCDDEcc6gykVFykGrCaUf6imocVsyLVguB4u4PJ/z+3/HbzYO8dCe0HaLGB EZDG+sIjM9bTSlfHP2ZKUI4QbnewiTYQjsyT6elpnqOIo2w8mkxO8IF+sr25dT58ElCTSJTUYV8S XGxz40OnOqjEaB60qq6V1ukRZ0Fcakc2DLvIOBcmjJO5XtdfoOr4OA1dWFYgG7vesc8GNmaTpip6 Srk9C6INabCSyXGeHD+Tebdc7MKfTUbH+ce+vAM1dK9NTFekqevL2kOZqLDVIupo81VIoqqE6F9r TM1IflE7aklE5DWGvf4+q9cYd3UMkcGEnXGtDLgOpuetqb4PKctOH3E+qDuSoV20/YgtoNri5Dno ltJbfq1wOm6YD/fM4RbiROFlCXf4kRqwPdBTlKzA/fwTP+rjcqCUkga3uqT+x5o5QYn+bHBt3o+m 03gG0mN6fDrGhzuULA4lZl1fAo7cCG+Y5YmM+kEPpHRQP+EBmseoKGKGY+yShoG8DN2twQPGxXye lHDxLQs35sHy6Dp2J87+Y/vEnO0XJOBu3cKw/6x4sSedbrQ0MF8HkCotUQS4Q7UHHo9GGvX+wMWr dPhOWvszPPsFAAD//wMAUEsDBBQABgAIAAAAIQDWYp9Z3wAAAAwBAAAPAAAAZHJzL2Rvd25yZXYu eG1sTI/bSsNAEIbvBd9hGcE7u0lbbEkzKVHxShCtPsA2OznY7GzIbtv49p1e6c3A8PMfvnw7uV6d aAydZ4R0loAirrztuEH4/np9WIMK0bA1vWdC+KUA2+L2JjeZ9Wf+pNMuNkpCOGQGoY1xyLQOVUvO hJkfiEWr/ehMlHdstB3NWcJdr+dJ8qid6VgaWjPQc0vVYXd0CD+trXV4eivL6n2ecr368OtDiXh/ N71s5JQbUJGm+OeAK4Psh0KG7f2RbVA9gtBEhFUK6iom0ghqj7BYLlLQRa7/QxQXAAAA//8DAFBL AQItABQABgAIAAAAIQC2gziS/gAAAOEBAAATAAAAAAAAAAAAAAAAAAAAAABbQ29udGVudF9UeXBl c10ueG1sUEsBAi0AFAAGAAgAAAAhADj9If/WAAAAlAEAAAsAAAAAAAAAAAAAAAAALwEAAF9yZWxz Ly5yZWxzUEsBAi0AFAAGAAgAAAAhAMizFZ2bAgAAzgUAAA4AAAAAAAAAAAAAAAAALgIAAGRycy9l Mm9Eb2MueG1sUEsBAi0AFAAGAAgAAAAhANZin1nfAAAADAEAAA8AAAAAAAAAAAAAAAAA9QQAAGRy cy9kb3ducmV2LnhtbFBLBQYAAAAABAAEAPMAAAABBgAAAAA= " fillcolor="#f2dbdb [661]" strokecolor="#83150e" strokeweight=".5pt">
                <v:textbo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lower-powered characteristic tests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v:textbox>
                <w10:wrap type="topAndBottom" anchorx="margin"/>
              </v:shape>
            </w:pict>
          </mc:Fallback>
        </mc:AlternateConten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1. Introduction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Studies on band changes have documented effects on volatility, liquidity, and crash risk (Jia et al., 2024; Lien et al., 2019; Qi, 2023), and account-level data have shown that large investors buy on the limit day and sell on the next (Chen et al., 2019). For Vietnam, Le (2012) evaluated how narrower bands after 2008 affected stock price risk, and Farber et al. (2006) documented clusters and sequences of limit hits in the early years of the market. In Taiwan, which also had a 7% band, Huang et al. (2001) found that one-day up-limit closes gained 1.18% overnight and gave back 0.77% in the next session. 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study makes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1.1. Related literature and hypotheses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Theory.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Classic evidence.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Band changes and investor-level data.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Overnight and intraday returns.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Multiple testing and weekly regressions.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Harvey et al. (2016) argued that a new factor needs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above 3.0, and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Gap and hypotheses.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These studies compared band regimes, sorted stocks by limit exposure, or split overnight and intraday returns for all stocks. Huang et al. (2001) linked limit hits to the overnight-intraday timing in Taiwan. The present study measures this split against benchmarks on the HOSE, places the limit tests in a family that controls for multiple testing, and uses the 2025 platform change. If a limit delays price discovery, a ceiling close predicts a positive next-day abnormal return, and a floor close predicts a negative one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If the opening auction absorbs blocked demand, the effect concentrates in the overnight gap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If the limit itself drives the gap, the gap after a limit close exceeds the gap after moves of a similar size that stop short of the limit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If the gap already contains the blocked demand, an investor who buys at the next open cannot earn the continuation; the abnormal return from the next open to the fifth close is then zero or negative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limit effect that survives the screen applied to all 22 characteristics is more credible than a single large estimate.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2. Materials and Methods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2.1. Data and institutional setting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Data source.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Institutional setting.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2.2. Research design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Returns and 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stock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i</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trading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H</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 the close, open, high, and low prices, and the close-to-close return 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(1)</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ceiling event has a return (Equation (1)) of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0.065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H</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whereas a floor event has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−0.065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The event window runs from day 61, when a 60-day volume history exists, to five days before the sample end. The market return weights stocks by dollar volume,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Sup>
                  <m:e>
                    <m:r>
                      <m:t>R</m:t>
                    </m:r>
                  </m:e>
                  <m:sub>
                    <m:r>
                      <m:t>d</m:t>
                    </m:r>
                  </m:sub>
                  <m:sup>
                    <m:r>
                      <m:rPr>
                        <m:nor/>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(2)</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run over stocks with a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and a full 60-day history,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mean dollar volume of stock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over the 60 trading days through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Exact hits.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 exact hit is an event whose close equals the limit price (within 10</w:t>
      </w:r>
      <w:r>
        <w:rPr>
          <w:rFonts w:asciiTheme="minorHAnsi" w:eastAsia="Georgia" w:hAnsiTheme="minorHAnsi" w:cstheme="minorHAnsi"/>
          <w:color w:val="000000"/>
          <w:sz w:val="20"/>
          <w:szCs w:val="20"/>
          <w:bdr w:val="nil"/>
          <w:vertAlign w:val="superscript"/>
          <w:lang w:val="hr-HR" w:eastAsia="es-MX"/>
        </w:rPr>
        <w:t xml:space="preserve">−6</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thousand dong),</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Sup>
                  <m:e>
                    <m:r>
                      <m:t>P</m:t>
                    </m:r>
                  </m:e>
                  <m:sub>
                    <m:r>
                      <m:t>i</m:t>
                    </m:r>
                    <m:r>
                      <m:rPr>
                        <m:sty m:val="p"/>
                      </m:rPr>
                      <m:t>,</m:t>
                    </m:r>
                    <m:r>
                      <m:t>d</m:t>
                    </m:r>
                  </m:sub>
                  <m:sup>
                    <m:r>
                      <m:rPr>
                        <m:nor/>
                      </m:rPr>
                      <m:t>ceiling</m:t>
                    </m:r>
                  </m:sup>
                </m:sSubSup>
                <m:r>
                  <m:rPr>
                    <m:sty m:val="p"/>
                  </m:rPr>
                  <m:t>=</m:t>
                </m:r>
                <m:d>
                  <m:dPr>
                    <m:begChr m:val="⌊"/>
                    <m:sepChr m:val=""/>
                    <m:end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rPr>
                      <m:t>floor</m:t>
                    </m:r>
                  </m:sup>
                </m:sSubSup>
                <m:r>
                  <m:rPr>
                    <m:sty m:val="p"/>
                  </m:rPr>
                  <m:t>=</m:t>
                </m:r>
                <m:d>
                  <m:dPr>
                    <m:begChr m:val="⌈"/>
                    <m:sepChr m:val=""/>
                    <m:endChr m:val="⌉"/>
                    <m:grow/>
                  </m:dPr>
                  <m:e>
                    <m:f>
                      <m:fPr>
                        <m:type m:val="bar"/>
                      </m:fPr>
                      <m:num>
                        <m:r>
                          <m:t>0.93</m:t>
                        </m:r>
                        <m:r>
                          <m:t> </m:t>
                        </m:r>
                        <m:sSub>
                          <m:e>
                            <m:r>
                              <m:t>C</m:t>
                            </m:r>
                          </m:e>
                          <m:sub>
                            <m:r>
                              <m:t>i</m:t>
                            </m:r>
                            <m:r>
                              <m:rPr>
                                <m:sty m:val="p"/>
                              </m:rPr>
                              <m:t>,</m:t>
                            </m:r>
                            <m:r>
                              <m:t>d</m:t>
                            </m:r>
                            <m:r>
                              <m:rPr>
                                <m:sty m:val="p"/>
                              </m:rPr>
                              <m:t>−</m:t>
                            </m:r>
                            <m:r>
                              <m:t>1</m:t>
                            </m:r>
                          </m:sub>
                        </m:sSub>
                      </m:num>
                      <m:den>
                        <m:r>
                          <m:t>δ</m:t>
                        </m:r>
                      </m:den>
                    </m:f>
                  </m:e>
                </m:d>
                <m:r>
                  <m:t>δ</m:t>
                </m:r>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(3)</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 · ⌋ and ⌈ · ⌉ round down and up (after adding and subtracting 10</w:t>
      </w:r>
      <w:r>
        <w:rPr>
          <w:rFonts w:asciiTheme="minorHAnsi" w:eastAsia="Georgia" w:hAnsiTheme="minorHAnsi" w:cstheme="minorHAnsi"/>
          <w:color w:val="000000"/>
          <w:sz w:val="20"/>
          <w:szCs w:val="20"/>
          <w:bdr w:val="nil"/>
          <w:vertAlign w:val="superscript"/>
          <w:lang w:val="hr-HR" w:eastAsia="es-MX"/>
        </w:rPr>
        <w:t xml:space="preserve">−9</w:t>
      </w:r>
      <w:r>
        <w:rPr>
          <w:rFonts w:asciiTheme="minorHAnsi" w:eastAsia="Georgia" w:hAnsiTheme="minorHAnsi" w:cstheme="minorHAnsi"/>
          <w:color w:val="000000"/>
          <w:sz w:val="20"/>
          <w:szCs w:val="20"/>
          <w:bdr w:val="nil"/>
          <w:lang w:val="hr-HR" w:eastAsia="es-MX"/>
        </w:rPr>
        <w:t xml:space="preserve">, respectively, against floating-point error), and the tick δ is 0.01, 0.05, or 0.10 thousand dong for reference prices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below 10, from 10 to below 50, and from 50 upward. Other events are near hits (see Section 4.1, vendor price adjustment).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Outcomes.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abnormal return (AR)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the cumulative abnormal return (CAR)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+ 5 are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Sup>
                          <m:e>
                            <m:r>
                              <m:t>R</m:t>
                            </m:r>
                          </m:e>
                          <m:sub>
                            <m:r>
                              <m:t>d</m:t>
                            </m:r>
                            <m:r>
                              <m:rPr>
                                <m:sty m:val="p"/>
                              </m:rPr>
                              <m:t>+</m:t>
                            </m:r>
                            <m:r>
                              <m:t>k</m:t>
                            </m:r>
                          </m:sub>
                          <m:sup>
                            <m:r>
                              <m:rPr>
                                <m:nor/>
                              </m:rPr>
                              <m:t>mkt</m:t>
                            </m:r>
                          </m:sup>
                        </m:sSubSup>
                      </m:e>
                    </m:d>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(4)</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each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color w:val="000000"/>
          <w:sz w:val="20"/>
          <w:szCs w:val="20"/>
          <w:bdr w:val="nil"/>
          <w:vertAlign w:val="superscript"/>
          <w:lang w:val="hr-HR" w:eastAsia="es-MX"/>
        </w:rPr>
        <w:t xml:space="preserve">mkt</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weights through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(Table 1).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return splits into the overnight gap and the intraday return,</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sepChr m:val=""/>
                    <m:endChr m:val=")"/>
                    <m:grow/>
                  </m:dPr>
                  <m:e>
                    <m:r>
                      <m:t>1</m:t>
                    </m:r>
                    <m:r>
                      <m:rPr>
                        <m:sty m:val="p"/>
                      </m:rPr>
                      <m:t>+</m:t>
                    </m:r>
                    <m:sSub>
                      <m:e>
                        <m:r>
                          <m:rPr>
                            <m:sty m:val="p"/>
                          </m:rPr>
                          <m:t>G</m:t>
                        </m:r>
                        <m:r>
                          <m:rPr>
                            <m:sty m:val="p"/>
                          </m:rPr>
                          <m:t>A</m:t>
                        </m:r>
                        <m:r>
                          <m:rPr>
                            <m:sty m:val="p"/>
                          </m:rPr>
                          <m:t>P</m:t>
                        </m:r>
                      </m:e>
                      <m:sub>
                        <m:r>
                          <m:t>i</m:t>
                        </m:r>
                        <m:r>
                          <m:rPr>
                            <m:sty m:val="p"/>
                          </m:rPr>
                          <m:t>,</m:t>
                        </m:r>
                        <m:r>
                          <m:t>d</m:t>
                        </m:r>
                      </m:sub>
                    </m:sSub>
                  </m:e>
                </m:d>
                <m:d>
                  <m:dPr>
                    <m:begChr m:val="("/>
                    <m:sepChr m:val=""/>
                    <m:end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(5)</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abnormal values subtract the market counterpart of each component, the same-interval return across stocks weighted by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w</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known at the event close. A buyer at the next open earns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+5</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less the buy-and-hold market return Σ</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w</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+5</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The control benchmark is the equal-weighted mean same-interval return of control stocks (absolute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below 6.5%) in the event stock’s tercile of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that date; dates with fewer than 30 control stocks have no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(3,199 and 2,111 events), the open-to-day-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return also requires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closing price, and the control benchmark requires at least 30 control stocks on the date (3,100 and 2,047 events). Figure 2 uses event days up to the second-to-last trading day (3,220 ceiling events). No event was dropped for any other reason.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e</w:t>
      </w:r>
      <w:r>
        <w:rPr>
          <w:rFonts w:asciiTheme="minorHAnsi" w:eastAsia="Georgia" w:hAnsiTheme="minorHAnsi" w:cstheme="minorHAnsi"/>
          <w:color w:val="000000"/>
          <w:sz w:val="20"/>
          <w:szCs w:val="20"/>
          <w:bdr w:val="nil"/>
          <w:lang w:val="hr-HR" w:eastAsia="es-MX"/>
        </w:rPr>
        <w:t xml:space="preserve">, each a stock-day pair, with outcome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mean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Σ</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the cluster-robust variance 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acc>
                  <m:accPr>
                    <m:chr m:val="̂"/>
                  </m:accPr>
                  <m:e>
                    <m:r>
                      <m:rPr>
                        <m:sty m:val="p"/>
                      </m:rPr>
                      <m:t>Var</m:t>
                    </m:r>
                  </m:e>
                </m:acc>
                <m:d>
                  <m:dPr>
                    <m:begChr m:val="("/>
                    <m:sepChr m:val=""/>
                    <m:end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sepChr m:val=""/>
                            <m:endChr m:val=")"/>
                            <m:grow/>
                          </m:dPr>
                          <m:e>
                            <m:nary>
                              <m:naryPr>
                                <m:chr m:val="∑"/>
                                <m:limLoc m:val="undOvr"/>
                                <m:subHide m:val="off"/>
                                <m:supHide m:val="on"/>
                              </m:naryPr>
                              <m:sub>
                                <m:r>
                                  <m:t>e</m:t>
                                </m:r>
                                <m:r>
                                  <m:rPr>
                                    <m:sty m:val="p"/>
                                  </m:rPr>
                                  <m:t>∈</m:t>
                                </m:r>
                                <m:r>
                                  <m:t>g</m:t>
                                </m:r>
                              </m:sub>
                              <m:sup>
                                <m:r>
                                  <m:t>​</m:t>
                                </m:r>
                              </m:sup>
                              <m:e>
                                <m:d>
                                  <m:dPr>
                                    <m:begChr m:val="("/>
                                    <m:sepChr m:val=""/>
                                    <m:endChr m:val=")"/>
                                    <m:grow/>
                                  </m:dPr>
                                  <m:e>
                                    <m:sSub>
                                      <m:e>
                                        <m:r>
                                          <m:t>y</m:t>
                                        </m:r>
                                      </m:e>
                                      <m:sub>
                                        <m:r>
                                          <m:t>e</m:t>
                                        </m:r>
                                      </m:sub>
                                    </m:sSub>
                                    <m:r>
                                      <m:rPr>
                                        <m:sty m:val="p"/>
                                      </m:rPr>
                                      <m:t>−</m:t>
                                    </m:r>
                                    <m:bar>
                                      <m:barPr>
                                        <m:pos m:val="top"/>
                                      </m:barPr>
                                      <m:e>
                                        <m:r>
                                          <m:t>y</m:t>
                                        </m:r>
                                      </m:e>
                                    </m:bar>
                                  </m:e>
                                </m:d>
                              </m:e>
                            </m:nary>
                          </m:e>
                        </m:d>
                      </m:e>
                      <m:sup>
                        <m:r>
                          <m:t>2</m:t>
                        </m:r>
                      </m:sup>
                    </m:sSup>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(6)</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indexes clusters: event dates, calendar weeks (ISO 8601), or blocks of ten consecutive trading days.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the four event tests use Equation (6) with event-date clusters, omit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take a normal reference. Table 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include the factor and use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degrees of freedom.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as a more conservative check. Under these settings, the four event tests still survive a Bonferroni correction in families of up to 683 tests with date clusters and 125 with calendar-week clusters (Section 3), so the choice does not change any conclusion. Two-way clustering by date and stock follows Cameron et al. (2011), without the factor and with the variance bounded below at 10</w:t>
      </w:r>
      <w:r>
        <w:rPr>
          <w:rFonts w:asciiTheme="minorHAnsi" w:eastAsia="Georgia" w:hAnsiTheme="minorHAnsi" w:cstheme="minorHAnsi"/>
          <w:color w:val="000000"/>
          <w:sz w:val="20"/>
          <w:szCs w:val="20"/>
          <w:bdr w:val="nil"/>
          <w:vertAlign w:val="superscript"/>
          <w:lang w:val="hr-HR" w:eastAsia="es-MX"/>
        </w:rPr>
        <w:t xml:space="preserve">−12</w:t>
      </w:r>
      <w:r>
        <w:rPr>
          <w:rFonts w:asciiTheme="minorHAnsi" w:eastAsia="Georgia" w:hAnsiTheme="minorHAnsi" w:cstheme="minorHAnsi"/>
          <w:color w:val="000000"/>
          <w:sz w:val="20"/>
          <w:szCs w:val="20"/>
          <w:bdr w:val="nil"/>
          <w:lang w:val="hr-HR" w:eastAsia="es-MX"/>
        </w:rPr>
        <w:t xml:space="preserve">. Table 3 reports β̂ from</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α + β</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u</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for limit closes and 0 for the comparison moves, α is the intercept,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u</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error, with date-clustered HC1 standard errors (R package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sandwich</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Characteristics.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form cross-sections on trading days 120 (so that every lookback is complete), 125, and so on to 510:</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79 formation weeks τ (five-trading-day periods, not the calendar weeks used for clustering), each followed by a non-overlapping five-day holding period. Each week, we rank-normalize each characteristic</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x</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across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stocks with complete data (all 115 days of the longest lookback, trades on at least 50 of the last 60 days, and next-five-day returns) 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z</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Φ</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((rank(</w:t>
      </w:r>
      <w:r>
        <w:rPr>
          <w:rFonts w:asciiTheme="minorHAnsi" w:eastAsia="Georgia" w:hAnsiTheme="minorHAnsi" w:cstheme="minorHAnsi"/>
          <w:i/>
          <w:color w:val="000000"/>
          <w:sz w:val="20"/>
          <w:szCs w:val="20"/>
          <w:bdr w:val="nil"/>
          <w:lang w:val="hr-HR" w:eastAsia="es-MX"/>
        </w:rPr>
        <w:t xml:space="preserve">x</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− 0.5)/</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with ties at average ranks and Φ</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inverse standard normal distribution function. The outcome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stock’s compounded return over the next five trading days minus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color w:val="000000"/>
          <w:sz w:val="20"/>
          <w:szCs w:val="20"/>
          <w:bdr w:val="nil"/>
          <w:lang w:val="hr-HR" w:eastAsia="es-MX"/>
        </w:rPr>
        <w:t xml:space="preserve">-weighted average five-day return of these stocks. The Fama and MacBeth (1973) regressions are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(7)</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 a weekly intercept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a</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slope γ</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and residual ε</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of γ̂ 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Multiplicity and survival.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family has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m</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26 tests: 22 characteristics and the ceiling and floor tests at the two horizons of Equation (4).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ordered 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m</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color w:val="000000"/>
          <w:sz w:val="20"/>
          <w:szCs w:val="20"/>
          <w:bdr w:val="nil"/>
          <w:lang w:val="hr-HR" w:eastAsia="es-MX"/>
        </w:rPr>
        <w:t xml:space="preserve">, the Benjamini–Hochberg (BH)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at rank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acc>
                      <m:accPr>
                        <m:chr m:val="̃"/>
                      </m:accPr>
                      <m:e>
                        <m:r>
                          <m:t>p</m:t>
                        </m:r>
                      </m:e>
                    </m:acc>
                  </m:e>
                  <m:sub>
                    <m:d>
                      <m:dPr>
                        <m:begChr m:val="("/>
                        <m:sepChr m:val=""/>
                        <m:endChr m:val=")"/>
                        <m:grow/>
                      </m:dPr>
                      <m:e>
                        <m:r>
                          <m:t>r</m:t>
                        </m:r>
                      </m:e>
                    </m:d>
                  </m:sub>
                </m:sSub>
                <m:r>
                  <m:rPr>
                    <m:sty m:val="p"/>
                  </m:rPr>
                  <m:t>=</m:t>
                </m:r>
                <m:limLow>
                  <m:e>
                    <m:r>
                      <m:rPr>
                        <m:sty m:val="p"/>
                      </m:rPr>
                      <m:t>min</m:t>
                    </m:r>
                  </m:e>
                  <m:lim>
                    <m:r>
                      <m:t>s</m:t>
                    </m:r>
                    <m:r>
                      <m:rPr>
                        <m:sty m:val="p"/>
                      </m:rPr>
                      <m:t>≥</m:t>
                    </m:r>
                    <m:r>
                      <m:t>r</m:t>
                    </m:r>
                  </m:lim>
                </m:limLow>
                <m:d>
                  <m:dPr>
                    <m:begChr m:val="{"/>
                    <m:sepChr m:val=""/>
                    <m:endChr m:val="}"/>
                    <m:grow/>
                  </m:dPr>
                  <m:e>
                    <m:r>
                      <m:rPr>
                        <m:sty m:val="p"/>
                      </m:rPr>
                      <m:t>min</m:t>
                    </m:r>
                    <m:r>
                      <m:t>​</m:t>
                    </m:r>
                    <m:d>
                      <m:dPr>
                        <m:begChr m:val="("/>
                        <m:sepChr m:val=""/>
                        <m:endChr m:val=")"/>
                        <m:grow/>
                      </m:dPr>
                      <m:e>
                        <m:r>
                          <m:t>1</m:t>
                        </m:r>
                        <m:r>
                          <m:rPr>
                            <m:sty m:val="p"/>
                          </m:rPr>
                          <m:t>,</m:t>
                        </m:r>
                        <m:f>
                          <m:fPr>
                            <m:type m:val="bar"/>
                          </m:fPr>
                          <m:num>
                            <m:r>
                              <m:t>m</m:t>
                            </m:r>
                          </m:num>
                          <m:den>
                            <m:r>
                              <m:t>s</m:t>
                            </m:r>
                          </m:den>
                        </m:f>
                        <m:r>
                          <m:t> </m:t>
                        </m:r>
                        <m:sSub>
                          <m:e>
                            <m:r>
                              <m:t>p</m:t>
                            </m:r>
                          </m:e>
                          <m:sub>
                            <m:d>
                              <m:dPr>
                                <m:begChr m:val="("/>
                                <m:sepChr m:val=""/>
                                <m:endChr m:val=")"/>
                                <m:grow/>
                              </m:dPr>
                              <m:e>
                                <m:r>
                                  <m:t>s</m:t>
                                </m:r>
                              </m:e>
                            </m:d>
                          </m:sub>
                        </m:sSub>
                      </m:e>
                    </m:d>
                  </m:e>
                </m:d>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(8)</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also report Holm’s (1979) adjustments and the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hurdle of Harvey et al. (2016). A test survives if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&lt; 0.05, which controls the FDR at 5%; if its signs agree in the discovery half (the first 39 weeks or events up to the median event date) and the confirmation half; and if its confirmation-half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Analysis plan.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(not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Software and code.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One R 4.3.3 script (packages sandwich, lmtest, and ggplot2) reproduces every number, table, and figure; code, data, and output tables are public (Section 6.5).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3. Results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event sample contains 3,187 ceiling events on 446 dates and 2,105 floor events on 319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1 plots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of the 22 slopes γ̂ in Equation (7): none reaches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in any sample or 1.96 in the full sample, and none survives the BH control. The largest full-sample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1.45, for 3-month and idiosyncratic momentum (confirmation-half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1.79, and dropping the least liquid 20% of stocks leaves it at 1.62.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1 presents the results of the event tests. Ceiling closes earn a market-adjusted return of 1.66%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and 1.45%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and floor closes earn −0.71% and −1.76%. All four tests survive the BH control (Equation (8);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at most 0.0004), maintain their signs in both halves, and exceed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1.96 in the confirmation half. Clustering by calendar week or 10-day block, with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leaves all four significant. The floor five-day test clears the confirmation criterion by the smallest margin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−2.22 with week clusters), and all four tests survive the rule reapplied with week-clustered statistics.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For ceilings, the five-day result comes from the first day: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the ceiling return is −0.24%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−1.53). After floor closes,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add −1.10%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−2.91), but the confirmation-half week-clustered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−1.14. With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as the second horizon, the ceiling test would fail, and the floor test would fail the confirmation criterion. Ceiling closes carry a one-day effect, whereas floor closes carry a one-day effect plus some later drift. These tests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limit closes predict the next day’s abnormal return, whereas none of the 22 characteristics passes the same screen at its weekly horizon.</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2 decomposes the next-day return, as in Equation (5). After a ceiling close, the overnight gap is 2.24% (two-way-clustered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and the intraday return is −0.54%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−3.5): the session reverses about 24% of the gap, and the close-to-close effect is positive because the gap exceeds the giveback. The effect occurs in the opening auction, as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predicts. A stock that closes at its ceiling may carry unfilled buy orders into the night; those orders and any overnight news would set the opening price, and the intraday reversal suggests that part of that price reflects transient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After a floor close, the gap is −0.97%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−4.6). The intraday return is a weak reversal of 0.30%.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holds for exact limit hits (2.79%) and for the first day of a streak of exact hits (2.39%). Near hits show a smaller gap (1.67%) and no significant intraday return. However, their median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is 6.89%, almost the same as the 6.90% of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appears in both halves of the sample and on days locked at one price from open to close. It also appears in each tercile of the 60-day average dollar volume; in the most liquid tercile it is 1.52%. Against same-date controls, the ceiling gap is 2.70%.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also not significant in the least liquid tercile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−2.7) and −0.53% against same-date controls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−1.8), which supports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−1.7), which is not significant at the 5% level.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2 plots the three next-day measures against the size of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move. Inside the band, the close-to-close relation is negative, a short-term reversal. At the limit, the relation breaks, and the overnight gap jumps up at the ceiling and down at the floor.</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3 quantifies the break. Ceiling closers have a gap 2.66 percentage points larger than stocks that rose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14.0). Their intraday return is 0.31 points lower. Floor closers have a gap 1.59 points lower than stocks that fell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 rule requires a close at the day’s high (low), we repeat the comparison with stocks that also closed at their high (low). The ceiling gap is then 3.14 points larger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14.5), and the floor gap is 1.81 points lower. A strong close therefore does not explain the contrast, which supports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The comparison is an association around a rule-based threshold, not a regression-discontinuity design, and stocks that reach the limit may differ in news content.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Three readings fit the pattern, and our data do not separate them: (1) demand or supply that the limit blocked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volume relative to its prior 60-day mean (1.97%, 2.16%, and 2.63%) and of the prior 20-day return (1.41%, 2.18%, and 3.16%), which fits readings (1) and (2) alike, and stays positive and significant in the lowest tercile of each proxy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break at the limit</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a description and delayed price discovery one hypothesis. Testing the magnet effect (Chen et al., 2024; Cho et al., 2003) requires intraday prices, which we lack.</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4 splits the events on May 5, 2025, when the HOSE moved to the KRX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followed by an intraday reversal, appears in both periods: 1.65% before and 2.49%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 gap is more negative after the move, at −0.42% before and −1.37%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After the move, the intraday return after floor closes turns positive (0.64%). The floor drift from the next open to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exists only before the move (−1.73% before and −0.15% after).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change coincides with a different market period. The post-change sample accounts for 71% of the ceiling events and 58% of the floor events. Before the change, neither the ceiling close-to-close return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 nor the floor gap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−1.9) is significant at the 5% level. The full-sample significance of these two measures therefore rests mainly on post-change events. We cannot attribute the differences between the periods to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events are unbalanced in time, Table 5 reports them by calendar quarter. The ceiling gap is positive and significant in each of the eight quarters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 2.5 to 16.8). The floor gap is negative in every quarter and significant at the 5% level in seven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also move the break date to the first trading day of each month from January 2025 to April 2026. These placebo dates give ceiling-gap differences between −0.45 and 0.72 percentage points, all with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of at most 1.4. The split at May 5, 2025, gives the largest difference, 0.85 points, but it is not significant either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For floors, the difference is positive at the four placebo dates before the platform change and negative at 11 of the 11 later ones. The split at May 5, 2025, gives −0.95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close to the placebo dates that follow it. Table 5 shows no trend in the floor gap, but the floor gap is weak in 2025-Q2 (−0.34%), the quarter with the most floor events (802). The placebo dates therefore cannot separate a break at the platform change from a shift specific to that quarter.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difference-in-differences regression compares limit closes with 5–6.5% movers that also closed at the extreme (repository table C31). For ceilings, the excess gap was 2.91 percentage points before the change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6.2) and changed by 0.38 points after it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0.8). For floors, the excess gap was −1.62 points before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−6.6) and changed by −0.49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To bound the effect of a wider search, let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 the largest event-test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computed with the factor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All four event tests survive a Bonferroni correction at 5% in families of up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m</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 0.05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tests: 683 with date clusters and 125 with calendar-week clusters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outcomes, and week-clustered event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the largest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across these definitions is 0.0026 (repository table C32).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above 2.9); the floor gap ranges from −0.79% to −2.50%.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results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ceilings; the floor effect depends on the benchmark and its drift appears only before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4. Discussion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Our ceiling gap is larger than the 1.18% that Huang et al. (2001) reported for Taiwan, and the following session reverses a smaller share of it (about 24% against about two thirds). Our decomposition also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earlier studies measure different outcomes and horizons, so Table 6 compares signs, timing, and mechanisms rather than magnitudes.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7% band leaves room for a large overnight gap, so the opening auction may do much of the adjustment that a wider band would allow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volume and prior-return results also fit an attention channel in which the limit amplifies demand: a stock at its ceiling may appear on screens and rankings the next morning, and a queue at the limit may signal excess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4.1. Limitations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(i) 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5. Conclusions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6. Declarations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6.1. Ethical considerations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Not applicable. The study uses public market prices and involves no human or animal participants.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6.2. Use of artificial intelligence (AI)</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6.3. Conflict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declare no conflicts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6.4. Funding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research did not receive any financial support.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6.5. Data availability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price files (vnstock 4.0.4, source VCI, retrieved on September 24, 2026), the R code, and the output tables are available at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https://github.com/trungcandygit/black_litterman_2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(folders data/raw and paper2).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6.6. Author contributions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5B549203" w14:textId="56725701" w:rsidR="000F1A86" w:rsidRDefault="000F1A86" w:rsidP="00824612">
      <w:pPr>
        <w:spacing w:after="0" w:line="240" w:lineRule="auto"/>
        <w:jc w:val="both"/>
        <w:rPr>
          <w:rFonts w:asciiTheme="minorHAnsi" w:eastAsia="Arial" w:hAnsiTheme="minorHAnsi" w:cstheme="minorHAnsi"/>
          <w:b/>
          <w:color w:val="000000" w:themeColor="text1"/>
          <w:sz w:val="20"/>
          <w:szCs w:val="20"/>
          <w:lang w:val="en-US"/>
        </w:rPr>
      </w:pPr>
      <w:r>
        <w:rPr>
          <w:rFonts w:asciiTheme="minorHAnsi" w:eastAsia="Arial" w:hAnsiTheme="minorHAnsi" w:cstheme="minorHAnsi"/>
          <w:b/>
          <w:color w:val="000000" w:themeColor="text1"/>
          <w:sz w:val="20"/>
          <w:szCs w:val="20"/>
          <w:lang w:val="en-US"/>
        </w:rPr>
        <w:t xml:space="preserve">References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Aboody, D., Even-Tov, O., Lehavy, R., &amp; Trueman, B. (2018). Overnight returns and firm-specific investor sentiment.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53</w:t>
      </w:r>
      <w:r>
        <w:rPr>
          <w:rFonts w:asciiTheme="minorHAnsi" w:hAnsiTheme="minorHAnsi" w:cstheme="minorHAnsi"/>
          <w:noProof/>
          <w:sz w:val="20"/>
          <w:szCs w:val="20"/>
          <w:lang w:val="hr-HR"/>
        </w:rPr>
        <w:t xml:space="preserve">(2), 485–505.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Akbas, F., Boehmer, E., Jiang, C., &amp; Koch, P. D. (2022). Overnight returns, daytime reversals, and future stock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145</w:t>
      </w:r>
      <w:r>
        <w:rPr>
          <w:rFonts w:asciiTheme="minorHAnsi" w:hAnsiTheme="minorHAnsi" w:cstheme="minorHAnsi"/>
          <w:noProof/>
          <w:sz w:val="20"/>
          <w:szCs w:val="20"/>
          <w:lang w:val="hr-HR"/>
        </w:rPr>
        <w:t xml:space="preserve">(3), 850–875.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https://doi.org/10.1016/j.jfineco.2021.09.019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Benjamini, Y., &amp; Hochberg, Y. (1995). Controlling the false discovery rate: A practical and powerful approach to multiple testing.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the Royal Statistical Society: Series B, 57</w:t>
      </w:r>
      <w:r>
        <w:rPr>
          <w:rFonts w:asciiTheme="minorHAnsi" w:hAnsiTheme="minorHAnsi" w:cstheme="minorHAnsi"/>
          <w:noProof/>
          <w:sz w:val="20"/>
          <w:szCs w:val="20"/>
          <w:lang w:val="hr-HR"/>
        </w:rPr>
        <w:t xml:space="preserve">(1), 289–300.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https://doi.org/10.1111/j.2517-6161.1995.tb02031.x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&amp; Lee, J. B. T. (2002). The effectiveness of price limits in an emerging market: Evidence from the Korean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10</w:t>
      </w:r>
      <w:r>
        <w:rPr>
          <w:rFonts w:asciiTheme="minorHAnsi" w:hAnsiTheme="minorHAnsi" w:cstheme="minorHAnsi"/>
          <w:noProof/>
          <w:sz w:val="20"/>
          <w:szCs w:val="20"/>
          <w:lang w:val="hr-HR"/>
        </w:rPr>
        <w:t xml:space="preserve">(5), 517–530.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https://doi.org/10.1016/S0927-538X(02)00040-9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Koch, P. D., Tuttle, L., &amp; Zhang, Y. J. (2012). Paying attention: Overnight returns and the hidden cost of buying at the open.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47</w:t>
      </w:r>
      <w:r>
        <w:rPr>
          <w:rFonts w:asciiTheme="minorHAnsi" w:hAnsiTheme="minorHAnsi" w:cstheme="minorHAnsi"/>
          <w:noProof/>
          <w:sz w:val="20"/>
          <w:szCs w:val="20"/>
          <w:lang w:val="hr-HR"/>
        </w:rPr>
        <w:t xml:space="preserve">(4), 715–741.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https://doi.org/10.1017/S0022109012000270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Bildik, R., &amp; Gülay, G. (2006). Are price limits effective? Evidence from the Istanbul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Research, 29</w:t>
      </w:r>
      <w:r>
        <w:rPr>
          <w:rFonts w:asciiTheme="minorHAnsi" w:hAnsiTheme="minorHAnsi" w:cstheme="minorHAnsi"/>
          <w:noProof/>
          <w:sz w:val="20"/>
          <w:szCs w:val="20"/>
          <w:lang w:val="hr-HR"/>
        </w:rPr>
        <w:t xml:space="preserve">(3), 383–403.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https://doi.org/10.1111/j.1475-6803.2006.00185.x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Bogousslavsky, V. (2021). The cross-section of intraday and overnight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141</w:t>
      </w:r>
      <w:r>
        <w:rPr>
          <w:rFonts w:asciiTheme="minorHAnsi" w:hAnsiTheme="minorHAnsi" w:cstheme="minorHAnsi"/>
          <w:noProof/>
          <w:sz w:val="20"/>
          <w:szCs w:val="20"/>
          <w:lang w:val="hr-HR"/>
        </w:rPr>
        <w:t xml:space="preserve">(1), 172–194.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Brennan, M. J. (1986). A theory of price limits in futures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16</w:t>
      </w:r>
      <w:r>
        <w:rPr>
          <w:rFonts w:asciiTheme="minorHAnsi" w:hAnsiTheme="minorHAnsi" w:cstheme="minorHAnsi"/>
          <w:noProof/>
          <w:sz w:val="20"/>
          <w:szCs w:val="20"/>
          <w:lang w:val="hr-HR"/>
        </w:rPr>
        <w:t xml:space="preserve">(2), 213–233.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https://doi.org/10.1016/0304-405X(86)90061-9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Cameron, A. C., Gelbach, J. B., &amp; Miller, D. L. (2011). Robust inference with multiway clustering.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&amp; Economic Statistics, 29</w:t>
      </w:r>
      <w:r>
        <w:rPr>
          <w:rFonts w:asciiTheme="minorHAnsi" w:hAnsiTheme="minorHAnsi" w:cstheme="minorHAnsi"/>
          <w:noProof/>
          <w:sz w:val="20"/>
          <w:szCs w:val="20"/>
          <w:lang w:val="hr-HR"/>
        </w:rPr>
        <w:t xml:space="preserve">(2), 238–249.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https://doi.org/10.1198/jbes.2010.07136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H., Petukhov, A., Wang, J., &amp; Xing, H. (2024). The dark side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79</w:t>
      </w:r>
      <w:r>
        <w:rPr>
          <w:rFonts w:asciiTheme="minorHAnsi" w:hAnsiTheme="minorHAnsi" w:cstheme="minorHAnsi"/>
          <w:noProof/>
          <w:sz w:val="20"/>
          <w:szCs w:val="20"/>
          <w:lang w:val="hr-HR"/>
        </w:rPr>
        <w:t xml:space="preserve">(2), 1405–1455.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https://doi.org/10.1111/jofi.13310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T., Gao, Z., He, J., Jiang, W., &amp; Xiong, W. (2019). Daily price limits and destructive market behavior.</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Econometrics, 208</w:t>
      </w:r>
      <w:r>
        <w:rPr>
          <w:rFonts w:asciiTheme="minorHAnsi" w:hAnsiTheme="minorHAnsi" w:cstheme="minorHAnsi"/>
          <w:noProof/>
          <w:sz w:val="20"/>
          <w:szCs w:val="20"/>
          <w:lang w:val="hr-HR"/>
        </w:rPr>
        <w:t xml:space="preserve">(1), 249–264.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https://doi.org/10.1016/j.jeconom.2018.09.014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Y.-M. (1993). Price limits and stock market volatility in Taiwan.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w:t>
      </w:r>
      <w:r>
        <w:rPr>
          <w:rFonts w:asciiTheme="minorHAnsi" w:hAnsiTheme="minorHAnsi" w:cstheme="minorHAnsi"/>
          <w:noProof/>
          <w:sz w:val="20"/>
          <w:szCs w:val="20"/>
          <w:lang w:val="hr-HR"/>
        </w:rPr>
        <w:t xml:space="preserve">(2), 139–153.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https://doi.org/10.1016/0927-538X(93)90005-3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 D. D., Russell, J., Tiao, G. C., &amp; Tsay, R. S. (2003). The magnet effect of price limits: Evidence from high-frequency data on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Empirical Finance, 10</w:t>
      </w:r>
      <w:r>
        <w:rPr>
          <w:rFonts w:asciiTheme="minorHAnsi" w:hAnsiTheme="minorHAnsi" w:cstheme="minorHAnsi"/>
          <w:noProof/>
          <w:sz w:val="20"/>
          <w:szCs w:val="20"/>
          <w:lang w:val="hr-HR"/>
        </w:rPr>
        <w:t xml:space="preserve">(1–2), 133–168.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https://doi.org/10.1016/S0927-5398(02)00024-5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Chordia, T., Goyal, A., &amp; Saretto, A. (2020). Anomalies and false rejections.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2134–2179.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Deb, S. S., Kalev, P. S., &amp; Marisetty, V. B. (2013). Flexible price limits: The case of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International Financial Markets, Institutions and Money, 24</w:t>
      </w:r>
      <w:r>
        <w:rPr>
          <w:rFonts w:asciiTheme="minorHAnsi" w:hAnsiTheme="minorHAnsi" w:cstheme="minorHAnsi"/>
          <w:noProof/>
          <w:sz w:val="20"/>
          <w:szCs w:val="20"/>
          <w:lang w:val="hr-HR"/>
        </w:rPr>
        <w:t xml:space="preserve">, 66–84.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Fama, E. F., &amp; MacBeth, J. D. (1973). Risk, return, and equilibrium: Empirical tests.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Political Economy, 81</w:t>
      </w:r>
      <w:r>
        <w:rPr>
          <w:rFonts w:asciiTheme="minorHAnsi" w:hAnsiTheme="minorHAnsi" w:cstheme="minorHAnsi"/>
          <w:noProof/>
          <w:sz w:val="20"/>
          <w:szCs w:val="20"/>
          <w:lang w:val="hr-HR"/>
        </w:rPr>
        <w:t xml:space="preserve">(3), 607–636.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https://doi.org/10.1086/260061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Farber, A., Nguyen, V. N., &amp; Vuong, Q. H. (2006).</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Policy impacts on Vietnam stock market: A case of anomalies and disequilibria 2000–2006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(CEB Working Paper No. 06/005). Université Libre de Bruxelles.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https://ideas.repec.org/p/sol/wpaper/06-005.html</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Greenwald, B. C., &amp; Stein, J. C. (1991). Transactional risk, market crashes, and the role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64</w:t>
      </w:r>
      <w:r>
        <w:rPr>
          <w:rFonts w:asciiTheme="minorHAnsi" w:hAnsiTheme="minorHAnsi" w:cstheme="minorHAnsi"/>
          <w:noProof/>
          <w:sz w:val="20"/>
          <w:szCs w:val="20"/>
          <w:lang w:val="hr-HR"/>
        </w:rPr>
        <w:t xml:space="preserve">(4), 443–462.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 M., Hu, Y., &amp; Xiong, Z. (2025). Dissecting the lottery-like anomaly: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Accounting &amp; Finance, 65</w:t>
      </w:r>
      <w:r>
        <w:rPr>
          <w:rFonts w:asciiTheme="minorHAnsi" w:hAnsiTheme="minorHAnsi" w:cstheme="minorHAnsi"/>
          <w:noProof/>
          <w:sz w:val="20"/>
          <w:szCs w:val="20"/>
          <w:lang w:val="hr-HR"/>
        </w:rPr>
        <w:t xml:space="preserve">(1), 883–911.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https://doi.org/10.1111/acfi.13354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Gutierrez, R. C., Jr., &amp; Kelley, E. K. (2008). The long-lasting momentum in weekly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63</w:t>
      </w:r>
      <w:r>
        <w:rPr>
          <w:rFonts w:asciiTheme="minorHAnsi" w:hAnsiTheme="minorHAnsi" w:cstheme="minorHAnsi"/>
          <w:noProof/>
          <w:sz w:val="20"/>
          <w:szCs w:val="20"/>
          <w:lang w:val="hr-HR"/>
        </w:rPr>
        <w:t xml:space="preserve">(1), 415–447.</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https://doi.org/10.1111/j.1540-6261.2008.01320.x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&amp; Liu, Y. (2020). False (and missed) discoveries in financial economics.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75</w:t>
      </w:r>
      <w:r>
        <w:rPr>
          <w:rFonts w:asciiTheme="minorHAnsi" w:hAnsiTheme="minorHAnsi" w:cstheme="minorHAnsi"/>
          <w:noProof/>
          <w:sz w:val="20"/>
          <w:szCs w:val="20"/>
          <w:lang w:val="hr-HR"/>
        </w:rPr>
        <w:t xml:space="preserve">(5), 2503–2553.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https://doi.org/10.1111/jofi.12951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Liu, Y., &amp; Zhu, H. (2016). …and the cross-section of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29</w:t>
      </w:r>
      <w:r>
        <w:rPr>
          <w:rFonts w:asciiTheme="minorHAnsi" w:hAnsiTheme="minorHAnsi" w:cstheme="minorHAnsi"/>
          <w:noProof/>
          <w:sz w:val="20"/>
          <w:szCs w:val="20"/>
          <w:lang w:val="hr-HR"/>
        </w:rPr>
        <w:t xml:space="preserve">(1), 5–68.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https://doi.org/10.1093/rfs/hhv059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Holm, S. (1979). A simple sequentially rejective multiple test procedure.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Scandinavian Journal of Statistics, 6</w:t>
      </w:r>
      <w:r>
        <w:rPr>
          <w:rFonts w:asciiTheme="minorHAnsi" w:hAnsiTheme="minorHAnsi" w:cstheme="minorHAnsi"/>
          <w:noProof/>
          <w:sz w:val="20"/>
          <w:szCs w:val="20"/>
          <w:lang w:val="hr-HR"/>
        </w:rPr>
        <w:t xml:space="preserve">(2), 65–70.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Hou, K., Xue, C., &amp; Zhang, L. (2020). Replicating anomalies.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2019–2133.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HSC.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Important changes of new trading system</w:t>
      </w:r>
      <w:r>
        <w:rPr>
          <w:rFonts w:asciiTheme="minorHAnsi" w:hAnsiTheme="minorHAnsi" w:cstheme="minorHAnsi"/>
          <w:noProof/>
          <w:sz w:val="20"/>
          <w:szCs w:val="20"/>
          <w:lang w:val="hr-HR"/>
        </w:rPr>
        <w:t xml:space="preserve">. Ho Chi Minh City Securities Corporation.</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https://www.hsc.com.vn/en/important-changes-of-new-trading-system</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X., Liu, C., &amp; Shu, T. (2023). Factors and anomalies in the Vietnamese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82</w:t>
      </w:r>
      <w:r>
        <w:rPr>
          <w:rFonts w:asciiTheme="minorHAnsi" w:hAnsiTheme="minorHAnsi" w:cstheme="minorHAnsi"/>
          <w:noProof/>
          <w:sz w:val="20"/>
          <w:szCs w:val="20"/>
          <w:lang w:val="hr-HR"/>
        </w:rPr>
        <w:t xml:space="preserve">, 102176.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Y.-S., Fu, T.-W., &amp; Ke, M.-C. (2001). Daily price limits and stock price behavior: Evidence from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International Review of Economics &amp; Finance, 10</w:t>
      </w:r>
      <w:r>
        <w:rPr>
          <w:rFonts w:asciiTheme="minorHAnsi" w:hAnsiTheme="minorHAnsi" w:cstheme="minorHAnsi"/>
          <w:noProof/>
          <w:sz w:val="20"/>
          <w:szCs w:val="20"/>
          <w:lang w:val="hr-HR"/>
        </w:rPr>
        <w:t xml:space="preserve">(3), 263–288.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https://doi.org/10.1016/S1059-0560(00)00082-4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Jia, S., An, Y., Yang, L., &amp; Zhou, F. (2024). Price limit relaxation and stock price crash risk: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59</w:t>
      </w:r>
      <w:r>
        <w:rPr>
          <w:rFonts w:asciiTheme="minorHAnsi" w:hAnsiTheme="minorHAnsi" w:cstheme="minorHAnsi"/>
          <w:noProof/>
          <w:sz w:val="20"/>
          <w:szCs w:val="20"/>
          <w:lang w:val="hr-HR"/>
        </w:rPr>
        <w:t xml:space="preserve">, 104715.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https://doi.org/10.1016/j.frl.2023.104715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Jones, C. M., Shi, D., Zhang, X., &amp; Zhang, X. (2025). Retail trading and return predictability in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60</w:t>
      </w:r>
      <w:r>
        <w:rPr>
          <w:rFonts w:asciiTheme="minorHAnsi" w:hAnsiTheme="minorHAnsi" w:cstheme="minorHAnsi"/>
          <w:noProof/>
          <w:sz w:val="20"/>
          <w:szCs w:val="20"/>
          <w:lang w:val="hr-HR"/>
        </w:rPr>
        <w:t xml:space="preserve">(1), 68–104.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Kelly, M. A., &amp; Clark, S. P. (2011). Returns in trading versus non-trading hours: The difference is day and night.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Asset Management, 12</w:t>
      </w:r>
      <w:r>
        <w:rPr>
          <w:rFonts w:asciiTheme="minorHAnsi" w:hAnsiTheme="minorHAnsi" w:cstheme="minorHAnsi"/>
          <w:noProof/>
          <w:sz w:val="20"/>
          <w:szCs w:val="20"/>
          <w:lang w:val="hr-HR"/>
        </w:rPr>
        <w:t xml:space="preserve">, 132–145.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https://doi.org/10.1057/jam.2011.2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Limpaphayom, P. (2000). Characteristics of stocks that frequently hit price limits: Empirical evidence from Taiwan and Thailand.</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3</w:t>
      </w:r>
      <w:r>
        <w:rPr>
          <w:rFonts w:asciiTheme="minorHAnsi" w:hAnsiTheme="minorHAnsi" w:cstheme="minorHAnsi"/>
          <w:noProof/>
          <w:sz w:val="20"/>
          <w:szCs w:val="20"/>
          <w:lang w:val="hr-HR"/>
        </w:rPr>
        <w:t xml:space="preserve">(3), 315–332.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Rhee, S. G. (1997). Price limit performance: Evidence from the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52</w:t>
      </w:r>
      <w:r>
        <w:rPr>
          <w:rFonts w:asciiTheme="minorHAnsi" w:hAnsiTheme="minorHAnsi" w:cstheme="minorHAnsi"/>
          <w:noProof/>
          <w:sz w:val="20"/>
          <w:szCs w:val="20"/>
          <w:lang w:val="hr-HR"/>
        </w:rPr>
        <w:t xml:space="preserve">(2), 885–901.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https://doi.org/10.1111/j.1540-6261.1997.tb04827.x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W., &amp; Jun, S. (2019). Effects of a price limit change on market stability at the intraday horizon in the Korean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Applied Economics Letters, 26</w:t>
      </w:r>
      <w:r>
        <w:rPr>
          <w:rFonts w:asciiTheme="minorHAnsi" w:hAnsiTheme="minorHAnsi" w:cstheme="minorHAnsi"/>
          <w:noProof/>
          <w:sz w:val="20"/>
          <w:szCs w:val="20"/>
          <w:lang w:val="hr-HR"/>
        </w:rPr>
        <w:t xml:space="preserve">(7), 582–586.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Kodres, L. E., &amp; O’Brien, D. P. (1994). The existence of Pareto-superior price limits.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American Economic Review, 84</w:t>
      </w:r>
      <w:r>
        <w:rPr>
          <w:rFonts w:asciiTheme="minorHAnsi" w:hAnsiTheme="minorHAnsi" w:cstheme="minorHAnsi"/>
          <w:noProof/>
          <w:sz w:val="20"/>
          <w:szCs w:val="20"/>
          <w:lang w:val="hr-HR"/>
        </w:rPr>
        <w:t xml:space="preserve">(4), 919–932.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Le, D. N. (2012). Evaluating impacts of reduction in fluctuation limit on stock price risks in Vietnam.</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Economic Development</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(University of Economics Ho Chi Minh City), (214), 116–128.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https://vjol.info.vn/ed/article/view/34298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Liang, H., &amp; Hu, Y. (2025). Stock price limit and its predictability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Forecasting, 44</w:t>
      </w:r>
      <w:r>
        <w:rPr>
          <w:rFonts w:asciiTheme="minorHAnsi" w:hAnsiTheme="minorHAnsi" w:cstheme="minorHAnsi"/>
          <w:noProof/>
          <w:sz w:val="20"/>
          <w:szCs w:val="20"/>
          <w:lang w:val="hr-HR"/>
        </w:rPr>
        <w:t xml:space="preserve">, 297–319.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https://doi.org/10.1002/for.3197</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Lien, D., Hung, P.-H., Zhu, J.-D., &amp; Chen, Y.-H. (2019). Price limit changes and market quality in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55</w:t>
      </w:r>
      <w:r>
        <w:rPr>
          <w:rFonts w:asciiTheme="minorHAnsi" w:hAnsiTheme="minorHAnsi" w:cstheme="minorHAnsi"/>
          <w:noProof/>
          <w:sz w:val="20"/>
          <w:szCs w:val="20"/>
          <w:lang w:val="hr-HR"/>
        </w:rPr>
        <w:t xml:space="preserve">, 239–258.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Lin, F., Qiu, Z., &amp; Zheng, W. (2023). Cranes among chickens: The general-attention-grabbing effect of daily price limits in China’s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Banking &amp; Finance, 150</w:t>
      </w:r>
      <w:r>
        <w:rPr>
          <w:rFonts w:asciiTheme="minorHAnsi" w:hAnsiTheme="minorHAnsi" w:cstheme="minorHAnsi"/>
          <w:noProof/>
          <w:sz w:val="20"/>
          <w:szCs w:val="20"/>
          <w:lang w:val="hr-HR"/>
        </w:rPr>
        <w:t xml:space="preserve">, 106818.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https://doi.org/10.1016/j.jbankfin.2023.106818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Lou, D., Polk, C., &amp; Skouras, S. (2019). A tug of war: Overnight versus intraday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134</w:t>
      </w:r>
      <w:r>
        <w:rPr>
          <w:rFonts w:asciiTheme="minorHAnsi" w:hAnsiTheme="minorHAnsi" w:cstheme="minorHAnsi"/>
          <w:noProof/>
          <w:sz w:val="20"/>
          <w:szCs w:val="20"/>
          <w:lang w:val="hr-HR"/>
        </w:rPr>
        <w:t xml:space="preserve">(1), 192–213.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https://doi.org/10.1016/j.jfineco.2019.03.011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Lu, Z., Malliaris, S. G., &amp; Qin, Z. (2023). Heterogeneous liquidity providers and night-minus-day return predictability.</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148</w:t>
      </w:r>
      <w:r>
        <w:rPr>
          <w:rFonts w:asciiTheme="minorHAnsi" w:hAnsiTheme="minorHAnsi" w:cstheme="minorHAnsi"/>
          <w:noProof/>
          <w:sz w:val="20"/>
          <w:szCs w:val="20"/>
          <w:lang w:val="hr-HR"/>
        </w:rPr>
        <w:t xml:space="preserve">(3), 175–200.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Newey, W. K., &amp; West, K. D. (1987). A simple, positive semi-definite, heteroskedasticity and autocorrelation consistent covariance matrix.</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Econometrica, 55</w:t>
      </w:r>
      <w:r>
        <w:rPr>
          <w:rFonts w:asciiTheme="minorHAnsi" w:hAnsiTheme="minorHAnsi" w:cstheme="minorHAnsi"/>
          <w:noProof/>
          <w:sz w:val="20"/>
          <w:szCs w:val="20"/>
          <w:lang w:val="hr-HR"/>
        </w:rPr>
        <w:t xml:space="preserve">(3), 703–708.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https://doi.org/10.2307/1913610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Petersen, M. A. (2009). Estimating standard errors in finance panel data sets: Comparing approaches.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22</w:t>
      </w:r>
      <w:r>
        <w:rPr>
          <w:rFonts w:asciiTheme="minorHAnsi" w:hAnsiTheme="minorHAnsi" w:cstheme="minorHAnsi"/>
          <w:noProof/>
          <w:sz w:val="20"/>
          <w:szCs w:val="20"/>
          <w:lang w:val="hr-HR"/>
        </w:rPr>
        <w:t xml:space="preserve">(1), 435–480.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 B. (2023). Effectiveness of price limits: Evidence from China’s ChiNext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PLOS ONE, 18</w:t>
      </w:r>
      <w:r>
        <w:rPr>
          <w:rFonts w:asciiTheme="minorHAnsi" w:hAnsiTheme="minorHAnsi" w:cstheme="minorHAnsi"/>
          <w:noProof/>
          <w:sz w:val="20"/>
          <w:szCs w:val="20"/>
          <w:lang w:val="hr-HR"/>
        </w:rPr>
        <w:t xml:space="preserve">(6), e0287548.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https://doi.org/10.1371/journal.pone.0287548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Qiao, K., &amp; Dam, L. (2020). The overnight return puzzle and the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T+1</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trading rule in Chinese stock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50</w:t>
      </w:r>
      <w:r>
        <w:rPr>
          <w:rFonts w:asciiTheme="minorHAnsi" w:hAnsiTheme="minorHAnsi" w:cstheme="minorHAnsi"/>
          <w:noProof/>
          <w:sz w:val="20"/>
          <w:szCs w:val="20"/>
          <w:lang w:val="hr-HR"/>
        </w:rPr>
        <w:t xml:space="preserve">, 100534.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Qiu, J., Huang, W., &amp; Jiang, Y. (2025). Day-night anomaly returns in China: The role of institutions.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Research in International Business and Finance, 75</w:t>
      </w:r>
      <w:r>
        <w:rPr>
          <w:rFonts w:asciiTheme="minorHAnsi" w:hAnsiTheme="minorHAnsi" w:cstheme="minorHAnsi"/>
          <w:noProof/>
          <w:sz w:val="20"/>
          <w:szCs w:val="20"/>
          <w:lang w:val="hr-HR"/>
        </w:rPr>
        <w:t xml:space="preserve">, 102776.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Subrahmanyam, A. (1994). Circuit breakers and market volatility: A theoretical perspective.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49</w:t>
      </w:r>
      <w:r>
        <w:rPr>
          <w:rFonts w:asciiTheme="minorHAnsi" w:hAnsiTheme="minorHAnsi" w:cstheme="minorHAnsi"/>
          <w:noProof/>
          <w:sz w:val="20"/>
          <w:szCs w:val="20"/>
          <w:lang w:val="hr-HR"/>
        </w:rPr>
        <w:t xml:space="preserve">(1), 237–254.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https://doi.org/10.1111/j.1540-6261.1994.tb04427.x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Viet Nam News.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KRX system officially goes live</w:t>
      </w:r>
      <w:r>
        <w:rPr>
          <w:rFonts w:asciiTheme="minorHAnsi" w:hAnsiTheme="minorHAnsi" w:cstheme="minorHAnsi"/>
          <w:noProof/>
          <w:sz w:val="20"/>
          <w:szCs w:val="20"/>
          <w:lang w:val="hr-HR"/>
        </w:rPr>
        <w:t xml:space="preserve">. Viet Nam News.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https://vietnamnews.vn/economy/1717047/krx-system-officially-goes-live.html</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Zeng, Z., Wang, G., &amp; Tang, G. (2024). Price limits hitting effect and cross-sectional stock returns: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60</w:t>
      </w:r>
      <w:r>
        <w:rPr>
          <w:rFonts w:asciiTheme="minorHAnsi" w:hAnsiTheme="minorHAnsi" w:cstheme="minorHAnsi"/>
          <w:noProof/>
          <w:sz w:val="20"/>
          <w:szCs w:val="20"/>
          <w:lang w:val="hr-HR"/>
        </w:rPr>
        <w:t xml:space="preserve">, 104803.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https://doi.org/10.1016/j.frl.2023.104803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Zhang, X., Wang, Z., Hao, J., &amp; He, F. (2022). Price limit and stock market quality: Evidence from a quasi-natural experiment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74</w:t>
      </w:r>
      <w:r>
        <w:rPr>
          <w:rFonts w:asciiTheme="minorHAnsi" w:hAnsiTheme="minorHAnsi" w:cstheme="minorHAnsi"/>
          <w:noProof/>
          <w:sz w:val="20"/>
          <w:szCs w:val="20"/>
          <w:lang w:val="hr-HR"/>
        </w:rPr>
        <w:t xml:space="preserve">, 101778.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6A806C1A" w14:textId="77777777" w:rsidR="00820C36" w:rsidRDefault="00820C36" w:rsidP="00820C36">
      <w:pPr>
        <w:pageBreakBefore/>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4203692"/>
            <wp:docPr id="2009629076" name="Picture 2009629076"/>
            <wp:cNvGraphicFramePr>
              <a:graphicFrameLocks noChangeAspect="1"/>
            </wp:cNvGraphicFramePr>
            <a:graphic>
              <a:graphicData uri="http://schemas.openxmlformats.org/drawingml/2006/picture">
                <pic:pic>
                  <pic:nvPicPr>
                    <pic:cNvPr id="0" name="F1_characteristics.png"/>
                    <pic:cNvPicPr/>
                  </pic:nvPicPr>
                  <pic:blipFill>
                    <a:blip r:embed="rId30"/>
                    <a:stretch>
                      <a:fillRect/>
                    </a:stretch>
                  </pic:blipFill>
                  <pic:spPr>
                    <a:xfrm>
                      <a:off x="0" y="0"/>
                      <a:ext cx="5940000" cy="4203692"/>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Fama–MacBeth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22 characteristics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Full sample, discovery half (first 39 weeks), and confirmation half, ordered by absolute full-sample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Dashed lines mark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and dotted lines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 Supplementary Material S1 defines the labels.</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2558769"/>
            <wp:docPr id="2009629077" name="Picture 2009629077"/>
            <wp:cNvGraphicFramePr>
              <a:graphicFrameLocks noChangeAspect="1"/>
            </wp:cNvGraphicFramePr>
            <a:graphic>
              <a:graphicData uri="http://schemas.openxmlformats.org/drawingml/2006/picture">
                <pic:pic>
                  <pic:nvPicPr>
                    <pic:cNvPr id="0" name="F2_break_at_limit.png"/>
                    <pic:cNvPicPr/>
                  </pic:nvPicPr>
                  <pic:blipFill>
                    <a:blip r:embed="rId31"/>
                    <a:stretch>
                      <a:fillRect/>
                    </a:stretch>
                  </pic:blipFill>
                  <pic:spPr>
                    <a:xfrm>
                      <a:off x="0" y="0"/>
                      <a:ext cx="5940000" cy="2558769"/>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Next-day abnormal return by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Circles are 1-point bins inside the band, triangles are ceiling and floor events, and squares are other moves of 6.5% to 10%. Bars are 95% confidence intervals clustered by date. Market weights are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Market-adjusted returns after ceiling and floor closes</w:t>
      </w:r>
    </w:p>
    <w:tbl>
      <w:tblPr>
        <w:tblW w:type="pct" w:w="5000"/>
        <w:jc w:val="center"/>
        <w:tblLayout w:type="fixed"/>
      </w:tblPr>
      <w:tblGrid>
        <w:gridCol w:w="1324"/>
        <w:gridCol w:w="1324"/>
        <w:gridCol w:w="1059"/>
        <w:gridCol w:w="1192"/>
        <w:gridCol w:w="1192"/>
        <w:gridCol w:w="1457"/>
        <w:gridCol w:w="1457"/>
        <w:gridCol w:w="1192"/>
      </w:tblGrid>
      <w:tr>
        <w:trPr>
          <w:cantSplit/>
          <w:tblHeader w:val="true"/>
        </w:trPr>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Horizon</w:t>
            </w:r>
          </w:p>
        </w:tc>
        <w:tc>
          <w:tcPr>
            <w:tcW w:type="dxa" w:w="105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Mean (%)</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(date)</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(week)</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(10-day)</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(halves)</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1.66</w:t>
            </w:r>
          </w:p>
        </w:tc>
        <w:tc>
          <w:tcPr>
            <w:tcW w:type="dxa" w:w="1192"/>
            <w:tcBorders/>
          </w:tcPr>
          <w:p>
            <w:pPr>
              <w:keepNext/>
              <w:spacing w:before="10" w:after="10" w:line="240" w:lineRule="auto"/>
              <w:jc w:val="left"/>
            </w:pPr>
            <w:r>
              <w:rPr>
                <w:rFonts w:asciiTheme="minorHAnsi" w:hAnsiTheme="minorHAnsi" w:cstheme="minorHAnsi"/>
                <w:sz w:val="16"/>
                <w:szCs w:val="16"/>
              </w:rPr>
              <w:t xml:space="preserve">4.90</w:t>
            </w:r>
          </w:p>
        </w:tc>
        <w:tc>
          <w:tcPr>
            <w:tcW w:type="dxa" w:w="1192"/>
            <w:tcBorders/>
          </w:tcPr>
          <w:p>
            <w:pPr>
              <w:keepNext/>
              <w:spacing w:before="10" w:after="10" w:line="240" w:lineRule="auto"/>
              <w:jc w:val="left"/>
            </w:pPr>
            <w:r>
              <w:rPr>
                <w:rFonts w:asciiTheme="minorHAnsi" w:hAnsiTheme="minorHAnsi" w:cstheme="minorHAnsi"/>
                <w:sz w:val="16"/>
                <w:szCs w:val="16"/>
              </w:rPr>
              <w:t xml:space="preserve">4.67</w:t>
            </w:r>
          </w:p>
        </w:tc>
        <w:tc>
          <w:tcPr>
            <w:tcW w:type="dxa" w:w="1457"/>
            <w:tcBorders/>
          </w:tcPr>
          <w:p>
            <w:pPr>
              <w:keepNext/>
              <w:spacing w:before="10" w:after="10" w:line="240" w:lineRule="auto"/>
              <w:jc w:val="left"/>
            </w:pPr>
            <w:r>
              <w:rPr>
                <w:rFonts w:asciiTheme="minorHAnsi" w:hAnsiTheme="minorHAnsi" w:cstheme="minorHAnsi"/>
                <w:sz w:val="16"/>
                <w:szCs w:val="16"/>
              </w:rPr>
              <w:t xml:space="preserve">4.61</w:t>
            </w:r>
          </w:p>
        </w:tc>
        <w:tc>
          <w:tcPr>
            <w:tcW w:type="dxa" w:w="1457"/>
            <w:tcBorders/>
          </w:tcPr>
          <w:p>
            <w:pPr>
              <w:keepNext/>
              <w:spacing w:before="10" w:after="10" w:line="240" w:lineRule="auto"/>
              <w:jc w:val="left"/>
            </w:pPr>
            <w:r>
              <w:rPr>
                <w:rFonts w:asciiTheme="minorHAnsi" w:hAnsiTheme="minorHAnsi" w:cstheme="minorHAnsi"/>
                <w:sz w:val="16"/>
                <w:szCs w:val="16"/>
              </w:rPr>
              <w:t xml:space="preserve">2.2 / 13.7</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1.45</w:t>
            </w:r>
          </w:p>
        </w:tc>
        <w:tc>
          <w:tcPr>
            <w:tcW w:type="dxa" w:w="1192"/>
            <w:tcBorders/>
          </w:tcPr>
          <w:p>
            <w:pPr>
              <w:keepNext/>
              <w:spacing w:before="10" w:after="10" w:line="240" w:lineRule="auto"/>
              <w:jc w:val="left"/>
            </w:pPr>
            <w:r>
              <w:rPr>
                <w:rFonts w:asciiTheme="minorHAnsi" w:hAnsiTheme="minorHAnsi" w:cstheme="minorHAnsi"/>
                <w:sz w:val="16"/>
                <w:szCs w:val="16"/>
              </w:rPr>
              <w:t xml:space="preserve">4.00</w:t>
            </w:r>
          </w:p>
        </w:tc>
        <w:tc>
          <w:tcPr>
            <w:tcW w:type="dxa" w:w="1192"/>
            <w:tcBorders/>
          </w:tcPr>
          <w:p>
            <w:pPr>
              <w:keepNext/>
              <w:spacing w:before="10" w:after="10" w:line="240" w:lineRule="auto"/>
              <w:jc w:val="left"/>
            </w:pPr>
            <w:r>
              <w:rPr>
                <w:rFonts w:asciiTheme="minorHAnsi" w:hAnsiTheme="minorHAnsi" w:cstheme="minorHAnsi"/>
                <w:sz w:val="16"/>
                <w:szCs w:val="16"/>
              </w:rPr>
              <w:t xml:space="preserve">3.67</w:t>
            </w:r>
          </w:p>
        </w:tc>
        <w:tc>
          <w:tcPr>
            <w:tcW w:type="dxa" w:w="1457"/>
            <w:tcBorders/>
          </w:tcPr>
          <w:p>
            <w:pPr>
              <w:keepNext/>
              <w:spacing w:before="10" w:after="10" w:line="240" w:lineRule="auto"/>
              <w:jc w:val="left"/>
            </w:pPr>
            <w:r>
              <w:rPr>
                <w:rFonts w:asciiTheme="minorHAnsi" w:hAnsiTheme="minorHAnsi" w:cstheme="minorHAnsi"/>
                <w:sz w:val="16"/>
                <w:szCs w:val="16"/>
              </w:rPr>
              <w:t xml:space="preserve">3.81</w:t>
            </w:r>
          </w:p>
        </w:tc>
        <w:tc>
          <w:tcPr>
            <w:tcW w:type="dxa" w:w="1457"/>
            <w:tcBorders/>
          </w:tcPr>
          <w:p>
            <w:pPr>
              <w:keepNext/>
              <w:spacing w:before="10" w:after="10" w:line="240" w:lineRule="auto"/>
              <w:jc w:val="left"/>
            </w:pPr>
            <w:r>
              <w:rPr>
                <w:rFonts w:asciiTheme="minorHAnsi" w:hAnsiTheme="minorHAnsi" w:cstheme="minorHAnsi"/>
                <w:sz w:val="16"/>
                <w:szCs w:val="16"/>
              </w:rPr>
              <w:t xml:space="preserve">1.7 / 5.0</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−0.24</w:t>
            </w:r>
          </w:p>
        </w:tc>
        <w:tc>
          <w:tcPr>
            <w:tcW w:type="dxa" w:w="1192"/>
            <w:tcBorders/>
          </w:tcPr>
          <w:p>
            <w:pPr>
              <w:keepNext/>
              <w:spacing w:before="10" w:after="10" w:line="240" w:lineRule="auto"/>
              <w:jc w:val="left"/>
            </w:pPr>
            <w:r>
              <w:rPr>
                <w:rFonts w:asciiTheme="minorHAnsi" w:hAnsiTheme="minorHAnsi" w:cstheme="minorHAnsi"/>
                <w:sz w:val="16"/>
                <w:szCs w:val="16"/>
              </w:rPr>
              <w:t xml:space="preserve">−1.53</w:t>
            </w:r>
          </w:p>
        </w:tc>
        <w:tc>
          <w:tcPr>
            <w:tcW w:type="dxa" w:w="1192"/>
            <w:tcBorders/>
          </w:tcPr>
          <w:p>
            <w:pPr>
              <w:keepNext/>
              <w:spacing w:before="10" w:after="10" w:line="240" w:lineRule="auto"/>
              <w:jc w:val="left"/>
            </w:pPr>
            <w:r>
              <w:rPr>
                <w:rFonts w:asciiTheme="minorHAnsi" w:hAnsiTheme="minorHAnsi" w:cstheme="minorHAnsi"/>
                <w:sz w:val="16"/>
                <w:szCs w:val="16"/>
              </w:rPr>
              <w:t xml:space="preserve">−1.11</w:t>
            </w:r>
          </w:p>
        </w:tc>
        <w:tc>
          <w:tcPr>
            <w:tcW w:type="dxa" w:w="1457"/>
            <w:tcBorders/>
          </w:tcPr>
          <w:p>
            <w:pPr>
              <w:keepNext/>
              <w:spacing w:before="10" w:after="10" w:line="240" w:lineRule="auto"/>
              <w:jc w:val="left"/>
            </w:pPr>
            <w:r>
              <w:rPr>
                <w:rFonts w:asciiTheme="minorHAnsi" w:hAnsiTheme="minorHAnsi" w:cstheme="minorHAnsi"/>
                <w:sz w:val="16"/>
                <w:szCs w:val="16"/>
              </w:rPr>
              <w:t xml:space="preserve">−1.25</w:t>
            </w:r>
          </w:p>
        </w:tc>
        <w:tc>
          <w:tcPr>
            <w:tcW w:type="dxa" w:w="1457"/>
            <w:tcBorders/>
          </w:tcPr>
          <w:p>
            <w:pPr>
              <w:keepNext/>
              <w:spacing w:before="10" w:after="10" w:line="240" w:lineRule="auto"/>
              <w:jc w:val="left"/>
            </w:pPr>
            <w:r>
              <w:rPr>
                <w:rFonts w:asciiTheme="minorHAnsi" w:hAnsiTheme="minorHAnsi" w:cstheme="minorHAnsi"/>
                <w:sz w:val="16"/>
                <w:szCs w:val="16"/>
              </w:rPr>
              <w:t xml:space="preserve">−1.1 / −0.4</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−0.71</w:t>
            </w:r>
          </w:p>
        </w:tc>
        <w:tc>
          <w:tcPr>
            <w:tcW w:type="dxa" w:w="1192"/>
            <w:tcBorders/>
          </w:tcPr>
          <w:p>
            <w:pPr>
              <w:keepNext/>
              <w:spacing w:before="10" w:after="10" w:line="240" w:lineRule="auto"/>
              <w:jc w:val="left"/>
            </w:pPr>
            <w:r>
              <w:rPr>
                <w:rFonts w:asciiTheme="minorHAnsi" w:hAnsiTheme="minorHAnsi" w:cstheme="minorHAnsi"/>
                <w:sz w:val="16"/>
                <w:szCs w:val="16"/>
              </w:rPr>
              <w:t xml:space="preserve">−5.32</w:t>
            </w:r>
          </w:p>
        </w:tc>
        <w:tc>
          <w:tcPr>
            <w:tcW w:type="dxa" w:w="1192"/>
            <w:tcBorders/>
          </w:tcPr>
          <w:p>
            <w:pPr>
              <w:keepNext/>
              <w:spacing w:before="10" w:after="10" w:line="240" w:lineRule="auto"/>
              <w:jc w:val="left"/>
            </w:pPr>
            <w:r>
              <w:rPr>
                <w:rFonts w:asciiTheme="minorHAnsi" w:hAnsiTheme="minorHAnsi" w:cstheme="minorHAnsi"/>
                <w:sz w:val="16"/>
                <w:szCs w:val="16"/>
              </w:rPr>
              <w:t xml:space="preserve">−4.66</w:t>
            </w:r>
          </w:p>
        </w:tc>
        <w:tc>
          <w:tcPr>
            <w:tcW w:type="dxa" w:w="1457"/>
            <w:tcBorders/>
          </w:tcPr>
          <w:p>
            <w:pPr>
              <w:keepNext/>
              <w:spacing w:before="10" w:after="10" w:line="240" w:lineRule="auto"/>
              <w:jc w:val="left"/>
            </w:pPr>
            <w:r>
              <w:rPr>
                <w:rFonts w:asciiTheme="minorHAnsi" w:hAnsiTheme="minorHAnsi" w:cstheme="minorHAnsi"/>
                <w:sz w:val="16"/>
                <w:szCs w:val="16"/>
              </w:rPr>
              <w:t xml:space="preserve">−6.25</w:t>
            </w:r>
          </w:p>
        </w:tc>
        <w:tc>
          <w:tcPr>
            <w:tcW w:type="dxa" w:w="1457"/>
            <w:tcBorders/>
          </w:tcPr>
          <w:p>
            <w:pPr>
              <w:keepNext/>
              <w:spacing w:before="10" w:after="10" w:line="240" w:lineRule="auto"/>
              <w:jc w:val="left"/>
            </w:pPr>
            <w:r>
              <w:rPr>
                <w:rFonts w:asciiTheme="minorHAnsi" w:hAnsiTheme="minorHAnsi" w:cstheme="minorHAnsi"/>
                <w:sz w:val="16"/>
                <w:szCs w:val="16"/>
              </w:rPr>
              <w:t xml:space="preserve">−2.7 / −4.6</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−1.76</w:t>
            </w:r>
          </w:p>
        </w:tc>
        <w:tc>
          <w:tcPr>
            <w:tcW w:type="dxa" w:w="1192"/>
            <w:tcBorders/>
          </w:tcPr>
          <w:p>
            <w:pPr>
              <w:keepNext/>
              <w:spacing w:before="10" w:after="10" w:line="240" w:lineRule="auto"/>
              <w:jc w:val="left"/>
            </w:pPr>
            <w:r>
              <w:rPr>
                <w:rFonts w:asciiTheme="minorHAnsi" w:hAnsiTheme="minorHAnsi" w:cstheme="minorHAnsi"/>
                <w:sz w:val="16"/>
                <w:szCs w:val="16"/>
              </w:rPr>
              <w:t xml:space="preserve">−4.74</w:t>
            </w:r>
          </w:p>
        </w:tc>
        <w:tc>
          <w:tcPr>
            <w:tcW w:type="dxa" w:w="1192"/>
            <w:tcBorders/>
          </w:tcPr>
          <w:p>
            <w:pPr>
              <w:keepNext/>
              <w:spacing w:before="10" w:after="10" w:line="240" w:lineRule="auto"/>
              <w:jc w:val="left"/>
            </w:pPr>
            <w:r>
              <w:rPr>
                <w:rFonts w:asciiTheme="minorHAnsi" w:hAnsiTheme="minorHAnsi" w:cstheme="minorHAnsi"/>
                <w:sz w:val="16"/>
                <w:szCs w:val="16"/>
              </w:rPr>
              <w:t xml:space="preserve">−4.80</w:t>
            </w:r>
          </w:p>
        </w:tc>
        <w:tc>
          <w:tcPr>
            <w:tcW w:type="dxa" w:w="1457"/>
            <w:tcBorders/>
          </w:tcPr>
          <w:p>
            <w:pPr>
              <w:keepNext/>
              <w:spacing w:before="10" w:after="10" w:line="240" w:lineRule="auto"/>
              <w:jc w:val="left"/>
            </w:pPr>
            <w:r>
              <w:rPr>
                <w:rFonts w:asciiTheme="minorHAnsi" w:hAnsiTheme="minorHAnsi" w:cstheme="minorHAnsi"/>
                <w:sz w:val="16"/>
                <w:szCs w:val="16"/>
              </w:rPr>
              <w:t xml:space="preserve">−4.92</w:t>
            </w:r>
          </w:p>
        </w:tc>
        <w:tc>
          <w:tcPr>
            <w:tcW w:type="dxa" w:w="1457"/>
            <w:tcBorders/>
          </w:tcPr>
          <w:p>
            <w:pPr>
              <w:keepNext/>
              <w:spacing w:before="10" w:after="10" w:line="240" w:lineRule="auto"/>
              <w:jc w:val="left"/>
            </w:pPr>
            <w:r>
              <w:rPr>
                <w:rFonts w:asciiTheme="minorHAnsi" w:hAnsiTheme="minorHAnsi" w:cstheme="minorHAnsi"/>
                <w:sz w:val="16"/>
                <w:szCs w:val="16"/>
              </w:rPr>
              <w:t xml:space="preserve">−12.3 / −2.2</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1324"/>
            <w:tcBorders>
              <w:bottom w:val="single" w:sz="8" w:space="0" w:color="000000"/>
            </w:tcBorders>
          </w:tcPr>
          <w:p>
            <w:pPr>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−1.10</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−2.91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−3.01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−2.81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−8.7 / −1.1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2,105</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Mean returns in percent.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(date),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(week), and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(10-day) cluster by event date, calendar week, and 10-day block, with the factor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and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with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degrees of freedom;</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(halves) is week-clustered for the first and second half of event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Decomposition of the next-day abnormal return</w:t>
      </w:r>
    </w:p>
    <w:tbl>
      <w:tblPr>
        <w:tblW w:type="pct" w:w="5000"/>
        <w:jc w:val="center"/>
        <w:tblLayout w:type="fixed"/>
      </w:tblPr>
      <w:tblGrid>
        <w:gridCol w:w="2576"/>
        <w:gridCol w:w="966"/>
        <w:gridCol w:w="1610"/>
        <w:gridCol w:w="1610"/>
        <w:gridCol w:w="1825"/>
        <w:gridCol w:w="1610"/>
      </w:tblGrid>
      <w:tr>
        <w:trPr>
          <w:cantSplit/>
          <w:tblHeader w:val="true"/>
        </w:trPr>
        <w:tc>
          <w:tcPr>
            <w:tcW w:type="dxa" w:w="257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Sample</w:t>
            </w:r>
          </w:p>
        </w:tc>
        <w:tc>
          <w:tcPr>
            <w:tcW w:type="dxa" w:w="96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Ceiling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3,199</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(9.7)</w:t>
            </w:r>
          </w:p>
        </w:tc>
        <w:tc>
          <w:tcPr>
            <w:tcW w:type="dxa" w:w="1610"/>
            <w:tcBorders/>
          </w:tcPr>
          <w:p>
            <w:pPr>
              <w:keepNext/>
              <w:spacing w:before="10" w:after="10" w:line="240" w:lineRule="auto"/>
              <w:jc w:val="left"/>
            </w:pPr>
            <w:r>
              <w:rPr>
                <w:rFonts w:asciiTheme="minorHAnsi" w:hAnsiTheme="minorHAnsi" w:cstheme="minorHAnsi"/>
                <w:sz w:val="16"/>
                <w:szCs w:val="16"/>
              </w:rPr>
              <w:t xml:space="preserve">−0.54 (−3.5)</w:t>
            </w:r>
          </w:p>
        </w:tc>
        <w:tc>
          <w:tcPr>
            <w:tcW w:type="dxa" w:w="1825"/>
            <w:tcBorders/>
          </w:tcPr>
          <w:p>
            <w:pPr>
              <w:keepNext/>
              <w:spacing w:before="10" w:after="10" w:line="240" w:lineRule="auto"/>
              <w:jc w:val="left"/>
            </w:pPr>
            <w:r>
              <w:rPr>
                <w:rFonts w:asciiTheme="minorHAnsi" w:hAnsiTheme="minorHAnsi" w:cstheme="minorHAnsi"/>
                <w:sz w:val="16"/>
                <w:szCs w:val="16"/>
              </w:rPr>
              <w:t xml:space="preserve">1.66 (4.8)</w:t>
            </w:r>
          </w:p>
        </w:tc>
        <w:tc>
          <w:tcPr>
            <w:tcW w:type="dxa" w:w="1610"/>
            <w:tcBorders/>
          </w:tcPr>
          <w:p>
            <w:pPr>
              <w:keepNext/>
              <w:spacing w:before="10" w:after="10" w:line="240" w:lineRule="auto"/>
              <w:jc w:val="left"/>
            </w:pPr>
            <w:r>
              <w:rPr>
                <w:rFonts w:asciiTheme="minorHAnsi" w:hAnsiTheme="minorHAnsi" w:cstheme="minorHAnsi"/>
                <w:sz w:val="16"/>
                <w:szCs w:val="16"/>
              </w:rPr>
              <w:t xml:space="preserve">−0.75 (−2.7)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3,100</w:t>
            </w:r>
          </w:p>
        </w:tc>
        <w:tc>
          <w:tcPr>
            <w:tcW w:type="dxa" w:w="1610"/>
            <w:tcBorders/>
          </w:tcPr>
          <w:p>
            <w:pPr>
              <w:keepNext/>
              <w:spacing w:before="10" w:after="10" w:line="240" w:lineRule="auto"/>
              <w:jc w:val="left"/>
            </w:pPr>
            <w:r>
              <w:rPr>
                <w:rFonts w:asciiTheme="minorHAnsi" w:hAnsiTheme="minorHAnsi" w:cstheme="minorHAnsi"/>
                <w:sz w:val="16"/>
                <w:szCs w:val="16"/>
              </w:rPr>
              <w:t xml:space="preserve">2.70 (20.2)</w:t>
            </w:r>
          </w:p>
        </w:tc>
        <w:tc>
          <w:tcPr>
            <w:tcW w:type="dxa" w:w="1610"/>
            <w:tcBorders/>
          </w:tcPr>
          <w:p>
            <w:pPr>
              <w:keepNext/>
              <w:spacing w:before="10" w:after="10" w:line="240" w:lineRule="auto"/>
              <w:jc w:val="left"/>
            </w:pPr>
            <w:r>
              <w:rPr>
                <w:rFonts w:asciiTheme="minorHAnsi" w:hAnsiTheme="minorHAnsi" w:cstheme="minorHAnsi"/>
                <w:sz w:val="16"/>
                <w:szCs w:val="16"/>
              </w:rPr>
              <w:t xml:space="preserve">−0.50 (−6.0)</w:t>
            </w:r>
          </w:p>
        </w:tc>
        <w:tc>
          <w:tcPr>
            <w:tcW w:type="dxa" w:w="1825"/>
            <w:tcBorders/>
          </w:tcPr>
          <w:p>
            <w:pPr>
              <w:keepNext/>
              <w:spacing w:before="10" w:after="10" w:line="240" w:lineRule="auto"/>
              <w:jc w:val="left"/>
            </w:pPr>
            <w:r>
              <w:rPr>
                <w:rFonts w:asciiTheme="minorHAnsi" w:hAnsiTheme="minorHAnsi" w:cstheme="minorHAnsi"/>
                <w:sz w:val="16"/>
                <w:szCs w:val="16"/>
              </w:rPr>
              <w:t xml:space="preserve">2.16 (18.0)</w:t>
            </w:r>
          </w:p>
        </w:tc>
        <w:tc>
          <w:tcPr>
            <w:tcW w:type="dxa" w:w="1610"/>
            <w:tcBorders/>
          </w:tcPr>
          <w:p>
            <w:pPr>
              <w:keepNext/>
              <w:spacing w:before="10" w:after="10" w:line="240" w:lineRule="auto"/>
              <w:jc w:val="left"/>
            </w:pPr>
            <w:r>
              <w:rPr>
                <w:rFonts w:asciiTheme="minorHAnsi" w:hAnsiTheme="minorHAnsi" w:cstheme="minorHAnsi"/>
                <w:sz w:val="16"/>
                <w:szCs w:val="16"/>
              </w:rPr>
              <w:t xml:space="preserve">−0.53 (−1.8)</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1,642</w:t>
            </w:r>
          </w:p>
        </w:tc>
        <w:tc>
          <w:tcPr>
            <w:tcW w:type="dxa" w:w="1610"/>
            <w:tcBorders/>
          </w:tcPr>
          <w:p>
            <w:pPr>
              <w:keepNext/>
              <w:spacing w:before="10" w:after="10" w:line="240" w:lineRule="auto"/>
              <w:jc w:val="left"/>
            </w:pPr>
            <w:r>
              <w:rPr>
                <w:rFonts w:asciiTheme="minorHAnsi" w:hAnsiTheme="minorHAnsi" w:cstheme="minorHAnsi"/>
                <w:sz w:val="16"/>
                <w:szCs w:val="16"/>
              </w:rPr>
              <w:t xml:space="preserve">2.79 (13.8)</w:t>
            </w:r>
          </w:p>
        </w:tc>
        <w:tc>
          <w:tcPr>
            <w:tcW w:type="dxa" w:w="1610"/>
            <w:tcBorders/>
          </w:tcPr>
          <w:p>
            <w:pPr>
              <w:keepNext/>
              <w:spacing w:before="10" w:after="10" w:line="240" w:lineRule="auto"/>
              <w:jc w:val="left"/>
            </w:pPr>
            <w:r>
              <w:rPr>
                <w:rFonts w:asciiTheme="minorHAnsi" w:hAnsiTheme="minorHAnsi" w:cstheme="minorHAnsi"/>
                <w:sz w:val="16"/>
                <w:szCs w:val="16"/>
              </w:rPr>
              <w:t xml:space="preserve">−0.74 (−5.3)</w:t>
            </w:r>
          </w:p>
        </w:tc>
        <w:tc>
          <w:tcPr>
            <w:tcW w:type="dxa" w:w="1825"/>
            <w:tcBorders/>
          </w:tcPr>
          <w:p>
            <w:pPr>
              <w:keepNext/>
              <w:spacing w:before="10" w:after="10" w:line="240" w:lineRule="auto"/>
              <w:jc w:val="left"/>
            </w:pPr>
            <w:r>
              <w:rPr>
                <w:rFonts w:asciiTheme="minorHAnsi" w:hAnsiTheme="minorHAnsi" w:cstheme="minorHAnsi"/>
                <w:sz w:val="16"/>
                <w:szCs w:val="16"/>
              </w:rPr>
              <w:t xml:space="preserve">2.00 (7.1)</w:t>
            </w:r>
          </w:p>
        </w:tc>
        <w:tc>
          <w:tcPr>
            <w:tcW w:type="dxa" w:w="1610"/>
            <w:tcBorders/>
          </w:tcPr>
          <w:p>
            <w:pPr>
              <w:keepNext/>
              <w:spacing w:before="10" w:after="10" w:line="240" w:lineRule="auto"/>
              <w:jc w:val="left"/>
            </w:pPr>
            <w:r>
              <w:rPr>
                <w:rFonts w:asciiTheme="minorHAnsi" w:hAnsiTheme="minorHAnsi" w:cstheme="minorHAnsi"/>
                <w:sz w:val="16"/>
                <w:szCs w:val="16"/>
              </w:rPr>
              <w:t xml:space="preserve">−1.02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1,557</w:t>
            </w:r>
          </w:p>
        </w:tc>
        <w:tc>
          <w:tcPr>
            <w:tcW w:type="dxa" w:w="1610"/>
            <w:tcBorders/>
          </w:tcPr>
          <w:p>
            <w:pPr>
              <w:keepNext/>
              <w:spacing w:before="10" w:after="10" w:line="240" w:lineRule="auto"/>
              <w:jc w:val="left"/>
            </w:pPr>
            <w:r>
              <w:rPr>
                <w:rFonts w:asciiTheme="minorHAnsi" w:hAnsiTheme="minorHAnsi" w:cstheme="minorHAnsi"/>
                <w:sz w:val="16"/>
                <w:szCs w:val="16"/>
              </w:rPr>
              <w:t xml:space="preserve">1.67 (6.4)</w:t>
            </w:r>
          </w:p>
        </w:tc>
        <w:tc>
          <w:tcPr>
            <w:tcW w:type="dxa" w:w="1610"/>
            <w:tcBorders/>
          </w:tcPr>
          <w:p>
            <w:pPr>
              <w:keepNext/>
              <w:spacing w:before="10" w:after="10" w:line="240" w:lineRule="auto"/>
              <w:jc w:val="left"/>
            </w:pPr>
            <w:r>
              <w:rPr>
                <w:rFonts w:asciiTheme="minorHAnsi" w:hAnsiTheme="minorHAnsi" w:cstheme="minorHAnsi"/>
                <w:sz w:val="16"/>
                <w:szCs w:val="16"/>
              </w:rPr>
              <w:t xml:space="preserve">−0.32 (−1.6)</w:t>
            </w:r>
          </w:p>
        </w:tc>
        <w:tc>
          <w:tcPr>
            <w:tcW w:type="dxa" w:w="1825"/>
            <w:tcBorders/>
          </w:tcPr>
          <w:p>
            <w:pPr>
              <w:keepNext/>
              <w:spacing w:before="10" w:after="10" w:line="240" w:lineRule="auto"/>
              <w:jc w:val="left"/>
            </w:pPr>
            <w:r>
              <w:rPr>
                <w:rFonts w:asciiTheme="minorHAnsi" w:hAnsiTheme="minorHAnsi" w:cstheme="minorHAnsi"/>
                <w:sz w:val="16"/>
                <w:szCs w:val="16"/>
              </w:rPr>
              <w:t xml:space="preserve">1.31 (3.1)</w:t>
            </w:r>
          </w:p>
        </w:tc>
        <w:tc>
          <w:tcPr>
            <w:tcW w:type="dxa" w:w="1610"/>
            <w:tcBorders/>
          </w:tcPr>
          <w:p>
            <w:pPr>
              <w:keepNext/>
              <w:spacing w:before="10" w:after="10" w:line="240" w:lineRule="auto"/>
              <w:jc w:val="left"/>
            </w:pPr>
            <w:r>
              <w:rPr>
                <w:rFonts w:asciiTheme="minorHAnsi" w:hAnsiTheme="minorHAnsi" w:cstheme="minorHAnsi"/>
                <w:sz w:val="16"/>
                <w:szCs w:val="16"/>
              </w:rPr>
              <w:t xml:space="preserve">−0.46 (−1.3)</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522</w:t>
            </w:r>
          </w:p>
        </w:tc>
        <w:tc>
          <w:tcPr>
            <w:tcW w:type="dxa" w:w="1610"/>
            <w:tcBorders/>
          </w:tcPr>
          <w:p>
            <w:pPr>
              <w:keepNext/>
              <w:spacing w:before="10" w:after="10" w:line="240" w:lineRule="auto"/>
              <w:jc w:val="left"/>
            </w:pPr>
            <w:r>
              <w:rPr>
                <w:rFonts w:asciiTheme="minorHAnsi" w:hAnsiTheme="minorHAnsi" w:cstheme="minorHAnsi"/>
                <w:sz w:val="16"/>
                <w:szCs w:val="16"/>
              </w:rPr>
              <w:t xml:space="preserve">2.91 (3.0)</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(−5.9)</w:t>
            </w:r>
          </w:p>
        </w:tc>
        <w:tc>
          <w:tcPr>
            <w:tcW w:type="dxa" w:w="1825"/>
            <w:tcBorders/>
          </w:tcPr>
          <w:p>
            <w:pPr>
              <w:keepNext/>
              <w:spacing w:before="10" w:after="10" w:line="240" w:lineRule="auto"/>
              <w:jc w:val="left"/>
            </w:pPr>
            <w:r>
              <w:rPr>
                <w:rFonts w:asciiTheme="minorHAnsi" w:hAnsiTheme="minorHAnsi" w:cstheme="minorHAnsi"/>
                <w:sz w:val="16"/>
                <w:szCs w:val="16"/>
              </w:rPr>
              <w:t xml:space="preserve">1.54 (1.4)</w:t>
            </w:r>
          </w:p>
        </w:tc>
        <w:tc>
          <w:tcPr>
            <w:tcW w:type="dxa" w:w="1610"/>
            <w:tcBorders/>
          </w:tcPr>
          <w:p>
            <w:pPr>
              <w:keepNext/>
              <w:spacing w:before="10" w:after="10" w:line="240" w:lineRule="auto"/>
              <w:jc w:val="left"/>
            </w:pPr>
            <w:r>
              <w:rPr>
                <w:rFonts w:asciiTheme="minorHAnsi" w:hAnsiTheme="minorHAnsi" w:cstheme="minorHAnsi"/>
                <w:sz w:val="16"/>
                <w:szCs w:val="16"/>
              </w:rPr>
              <w:t xml:space="preserve">−0.76 (−1.5)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1,615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(5.4)</w:t>
            </w:r>
          </w:p>
        </w:tc>
        <w:tc>
          <w:tcPr>
            <w:tcW w:type="dxa" w:w="1610"/>
            <w:tcBorders/>
          </w:tcPr>
          <w:p>
            <w:pPr>
              <w:keepNext/>
              <w:spacing w:before="10" w:after="10" w:line="240" w:lineRule="auto"/>
              <w:jc w:val="left"/>
            </w:pPr>
            <w:r>
              <w:rPr>
                <w:rFonts w:asciiTheme="minorHAnsi" w:hAnsiTheme="minorHAnsi" w:cstheme="minorHAnsi"/>
                <w:sz w:val="16"/>
                <w:szCs w:val="16"/>
              </w:rPr>
              <w:t xml:space="preserve">−0.77 (−3.3)</w:t>
            </w:r>
          </w:p>
        </w:tc>
        <w:tc>
          <w:tcPr>
            <w:tcW w:type="dxa" w:w="1825"/>
            <w:tcBorders/>
          </w:tcPr>
          <w:p>
            <w:pPr>
              <w:keepNext/>
              <w:spacing w:before="10" w:after="10" w:line="240" w:lineRule="auto"/>
              <w:jc w:val="left"/>
            </w:pPr>
            <w:r>
              <w:rPr>
                <w:rFonts w:asciiTheme="minorHAnsi" w:hAnsiTheme="minorHAnsi" w:cstheme="minorHAnsi"/>
                <w:sz w:val="16"/>
                <w:szCs w:val="16"/>
              </w:rPr>
              <w:t xml:space="preserve">1.42 (2.3)</w:t>
            </w:r>
          </w:p>
        </w:tc>
        <w:tc>
          <w:tcPr>
            <w:tcW w:type="dxa" w:w="1610"/>
            <w:tcBorders/>
          </w:tcPr>
          <w:p>
            <w:pPr>
              <w:keepNext/>
              <w:spacing w:before="10" w:after="10" w:line="240" w:lineRule="auto"/>
              <w:jc w:val="left"/>
            </w:pPr>
            <w:r>
              <w:rPr>
                <w:rFonts w:asciiTheme="minorHAnsi" w:hAnsiTheme="minorHAnsi" w:cstheme="minorHAnsi"/>
                <w:sz w:val="16"/>
                <w:szCs w:val="16"/>
              </w:rPr>
              <w:t xml:space="preserve">−1.13 (−2.9)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1,584</w:t>
            </w:r>
          </w:p>
        </w:tc>
        <w:tc>
          <w:tcPr>
            <w:tcW w:type="dxa" w:w="1610"/>
            <w:tcBorders/>
          </w:tcPr>
          <w:p>
            <w:pPr>
              <w:keepNext/>
              <w:spacing w:before="10" w:after="10" w:line="240" w:lineRule="auto"/>
              <w:jc w:val="left"/>
            </w:pPr>
            <w:r>
              <w:rPr>
                <w:rFonts w:asciiTheme="minorHAnsi" w:hAnsiTheme="minorHAnsi" w:cstheme="minorHAnsi"/>
                <w:sz w:val="16"/>
                <w:szCs w:val="16"/>
              </w:rPr>
              <w:t xml:space="preserve">2.25 (13.0)</w:t>
            </w:r>
          </w:p>
        </w:tc>
        <w:tc>
          <w:tcPr>
            <w:tcW w:type="dxa" w:w="1610"/>
            <w:tcBorders/>
          </w:tcPr>
          <w:p>
            <w:pPr>
              <w:keepNext/>
              <w:spacing w:before="10" w:after="10" w:line="240" w:lineRule="auto"/>
              <w:jc w:val="left"/>
            </w:pPr>
            <w:r>
              <w:rPr>
                <w:rFonts w:asciiTheme="minorHAnsi" w:hAnsiTheme="minorHAnsi" w:cstheme="minorHAnsi"/>
                <w:sz w:val="16"/>
                <w:szCs w:val="16"/>
              </w:rPr>
              <w:t xml:space="preserve">−0.29 (−2.5)</w:t>
            </w:r>
          </w:p>
        </w:tc>
        <w:tc>
          <w:tcPr>
            <w:tcW w:type="dxa" w:w="1825"/>
            <w:tcBorders/>
          </w:tcPr>
          <w:p>
            <w:pPr>
              <w:keepNext/>
              <w:spacing w:before="10" w:after="10" w:line="240" w:lineRule="auto"/>
              <w:jc w:val="left"/>
            </w:pPr>
            <w:r>
              <w:rPr>
                <w:rFonts w:asciiTheme="minorHAnsi" w:hAnsiTheme="minorHAnsi" w:cstheme="minorHAnsi"/>
                <w:sz w:val="16"/>
                <w:szCs w:val="16"/>
              </w:rPr>
              <w:t xml:space="preserve">1.91 (11.3)</w:t>
            </w:r>
          </w:p>
        </w:tc>
        <w:tc>
          <w:tcPr>
            <w:tcW w:type="dxa" w:w="1610"/>
            <w:tcBorders/>
          </w:tcPr>
          <w:p>
            <w:pPr>
              <w:keepNext/>
              <w:spacing w:before="10" w:after="10" w:line="240" w:lineRule="auto"/>
              <w:jc w:val="left"/>
            </w:pPr>
            <w:r>
              <w:rPr>
                <w:rFonts w:asciiTheme="minorHAnsi" w:hAnsiTheme="minorHAnsi" w:cstheme="minorHAnsi"/>
                <w:sz w:val="16"/>
                <w:szCs w:val="16"/>
              </w:rPr>
              <w:t xml:space="preserve">−0.36 (−1.2)</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tcPr>
          <w:p>
            <w:pPr>
              <w:keepNext/>
              <w:spacing w:before="10" w:after="10" w:line="240" w:lineRule="auto"/>
              <w:jc w:val="left"/>
            </w:pPr>
            <w:r>
              <w:rPr>
                <w:rFonts w:asciiTheme="minorHAnsi" w:hAnsiTheme="minorHAnsi" w:cstheme="minorHAnsi"/>
                <w:sz w:val="16"/>
                <w:szCs w:val="16"/>
              </w:rPr>
              <w:t xml:space="preserve">3,125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(9.6)</w:t>
            </w:r>
          </w:p>
        </w:tc>
        <w:tc>
          <w:tcPr>
            <w:tcW w:type="dxa" w:w="1610"/>
            <w:tcBorders/>
          </w:tcPr>
          <w:p>
            <w:pPr>
              <w:keepNext/>
              <w:spacing w:before="10" w:after="10" w:line="240" w:lineRule="auto"/>
              <w:jc w:val="left"/>
            </w:pPr>
            <w:r>
              <w:rPr>
                <w:rFonts w:asciiTheme="minorHAnsi" w:hAnsiTheme="minorHAnsi" w:cstheme="minorHAnsi"/>
                <w:sz w:val="16"/>
                <w:szCs w:val="16"/>
              </w:rPr>
              <w:t xml:space="preserve">−0.53 (−3.4)</w:t>
            </w:r>
          </w:p>
        </w:tc>
        <w:tc>
          <w:tcPr>
            <w:tcW w:type="dxa" w:w="1825"/>
            <w:tcBorders/>
          </w:tcPr>
          <w:p>
            <w:pPr>
              <w:keepNext/>
              <w:spacing w:before="10" w:after="10" w:line="240" w:lineRule="auto"/>
              <w:jc w:val="left"/>
            </w:pPr>
            <w:r>
              <w:rPr>
                <w:rFonts w:asciiTheme="minorHAnsi" w:hAnsiTheme="minorHAnsi" w:cstheme="minorHAnsi"/>
                <w:sz w:val="16"/>
                <w:szCs w:val="16"/>
              </w:rPr>
              <w:t xml:space="preserve">1.67 (4.7)</w:t>
            </w:r>
          </w:p>
        </w:tc>
        <w:tc>
          <w:tcPr>
            <w:tcW w:type="dxa" w:w="1610"/>
            <w:tcBorders/>
          </w:tcPr>
          <w:p>
            <w:pPr>
              <w:keepNext/>
              <w:spacing w:before="10" w:after="10" w:line="240" w:lineRule="auto"/>
              <w:jc w:val="left"/>
            </w:pPr>
            <w:r>
              <w:rPr>
                <w:rFonts w:asciiTheme="minorHAnsi" w:hAnsiTheme="minorHAnsi" w:cstheme="minorHAnsi"/>
                <w:sz w:val="16"/>
                <w:szCs w:val="16"/>
              </w:rPr>
              <w:t xml:space="preserve">−0.70 (−2.6)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Floor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2,111</w:t>
            </w:r>
          </w:p>
        </w:tc>
        <w:tc>
          <w:tcPr>
            <w:tcW w:type="dxa" w:w="1610"/>
            <w:tcBorders/>
          </w:tcPr>
          <w:p>
            <w:pPr>
              <w:keepNext/>
              <w:spacing w:before="10" w:after="10" w:line="240" w:lineRule="auto"/>
              <w:jc w:val="left"/>
            </w:pPr>
            <w:r>
              <w:rPr>
                <w:rFonts w:asciiTheme="minorHAnsi" w:hAnsiTheme="minorHAnsi" w:cstheme="minorHAnsi"/>
                <w:sz w:val="16"/>
                <w:szCs w:val="16"/>
              </w:rPr>
              <w:t xml:space="preserve">−0.97 (−4.6)</w:t>
            </w:r>
          </w:p>
        </w:tc>
        <w:tc>
          <w:tcPr>
            <w:tcW w:type="dxa" w:w="1610"/>
            <w:tcBorders/>
          </w:tcPr>
          <w:p>
            <w:pPr>
              <w:keepNext/>
              <w:spacing w:before="10" w:after="10" w:line="240" w:lineRule="auto"/>
              <w:jc w:val="left"/>
            </w:pPr>
            <w:r>
              <w:rPr>
                <w:rFonts w:asciiTheme="minorHAnsi" w:hAnsiTheme="minorHAnsi" w:cstheme="minorHAnsi"/>
                <w:sz w:val="16"/>
                <w:szCs w:val="16"/>
              </w:rPr>
              <w:t xml:space="preserve">0.30 (1.4)</w:t>
            </w:r>
          </w:p>
        </w:tc>
        <w:tc>
          <w:tcPr>
            <w:tcW w:type="dxa" w:w="1825"/>
            <w:tcBorders/>
          </w:tcPr>
          <w:p>
            <w:pPr>
              <w:keepNext/>
              <w:spacing w:before="10" w:after="10" w:line="240" w:lineRule="auto"/>
              <w:jc w:val="left"/>
            </w:pPr>
            <w:r>
              <w:rPr>
                <w:rFonts w:asciiTheme="minorHAnsi" w:hAnsiTheme="minorHAnsi" w:cstheme="minorHAnsi"/>
                <w:sz w:val="16"/>
                <w:szCs w:val="16"/>
              </w:rPr>
              <w:t xml:space="preserve">−0.69 (−4.8)</w:t>
            </w:r>
          </w:p>
        </w:tc>
        <w:tc>
          <w:tcPr>
            <w:tcW w:type="dxa" w:w="1610"/>
            <w:tcBorders/>
          </w:tcPr>
          <w:p>
            <w:pPr>
              <w:keepNext/>
              <w:spacing w:before="10" w:after="10" w:line="240" w:lineRule="auto"/>
              <w:jc w:val="left"/>
            </w:pPr>
            <w:r>
              <w:rPr>
                <w:rFonts w:asciiTheme="minorHAnsi" w:hAnsiTheme="minorHAnsi" w:cstheme="minorHAnsi"/>
                <w:sz w:val="16"/>
                <w:szCs w:val="16"/>
              </w:rPr>
              <w:t xml:space="preserve">−0.82 (−1.7)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2,047</w:t>
            </w:r>
          </w:p>
        </w:tc>
        <w:tc>
          <w:tcPr>
            <w:tcW w:type="dxa" w:w="1610"/>
            <w:tcBorders/>
          </w:tcPr>
          <w:p>
            <w:pPr>
              <w:keepNext/>
              <w:spacing w:before="10" w:after="10" w:line="240" w:lineRule="auto"/>
              <w:jc w:val="left"/>
            </w:pPr>
            <w:r>
              <w:rPr>
                <w:rFonts w:asciiTheme="minorHAnsi" w:hAnsiTheme="minorHAnsi" w:cstheme="minorHAnsi"/>
                <w:sz w:val="16"/>
                <w:szCs w:val="16"/>
              </w:rPr>
              <w:t xml:space="preserve">−1.75 (−4.0)</w:t>
            </w:r>
          </w:p>
        </w:tc>
        <w:tc>
          <w:tcPr>
            <w:tcW w:type="dxa" w:w="1610"/>
            <w:tcBorders/>
          </w:tcPr>
          <w:p>
            <w:pPr>
              <w:keepNext/>
              <w:spacing w:before="10" w:after="10" w:line="240" w:lineRule="auto"/>
              <w:jc w:val="left"/>
            </w:pPr>
            <w:r>
              <w:rPr>
                <w:rFonts w:asciiTheme="minorHAnsi" w:hAnsiTheme="minorHAnsi" w:cstheme="minorHAnsi"/>
                <w:sz w:val="16"/>
                <w:szCs w:val="16"/>
              </w:rPr>
              <w:t xml:space="preserve">0.14 (0.6)</w:t>
            </w:r>
          </w:p>
        </w:tc>
        <w:tc>
          <w:tcPr>
            <w:tcW w:type="dxa" w:w="1825"/>
            <w:tcBorders/>
          </w:tcPr>
          <w:p>
            <w:pPr>
              <w:keepNext/>
              <w:spacing w:before="10" w:after="10" w:line="240" w:lineRule="auto"/>
              <w:jc w:val="left"/>
            </w:pPr>
            <w:r>
              <w:rPr>
                <w:rFonts w:asciiTheme="minorHAnsi" w:hAnsiTheme="minorHAnsi" w:cstheme="minorHAnsi"/>
                <w:sz w:val="16"/>
                <w:szCs w:val="16"/>
              </w:rPr>
              <w:t xml:space="preserve">−1.65 (−3.4)</w:t>
            </w:r>
          </w:p>
        </w:tc>
        <w:tc>
          <w:tcPr>
            <w:tcW w:type="dxa" w:w="1610"/>
            <w:tcBorders/>
          </w:tcPr>
          <w:p>
            <w:pPr>
              <w:keepNext/>
              <w:spacing w:before="10" w:after="10" w:line="240" w:lineRule="auto"/>
              <w:jc w:val="left"/>
            </w:pPr>
            <w:r>
              <w:rPr>
                <w:rFonts w:asciiTheme="minorHAnsi" w:hAnsiTheme="minorHAnsi" w:cstheme="minorHAnsi"/>
                <w:sz w:val="16"/>
                <w:szCs w:val="16"/>
              </w:rPr>
              <w:t xml:space="preserve">−0.36 (−0.6)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1,025</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(−5.1)</w:t>
            </w:r>
          </w:p>
        </w:tc>
        <w:tc>
          <w:tcPr>
            <w:tcW w:type="dxa" w:w="1610"/>
            <w:tcBorders/>
          </w:tcPr>
          <w:p>
            <w:pPr>
              <w:keepNext/>
              <w:spacing w:before="10" w:after="10" w:line="240" w:lineRule="auto"/>
              <w:jc w:val="left"/>
            </w:pPr>
            <w:r>
              <w:rPr>
                <w:rFonts w:asciiTheme="minorHAnsi" w:hAnsiTheme="minorHAnsi" w:cstheme="minorHAnsi"/>
                <w:sz w:val="16"/>
                <w:szCs w:val="16"/>
              </w:rPr>
              <w:t xml:space="preserve">0.41 (1.7)</w:t>
            </w:r>
          </w:p>
        </w:tc>
        <w:tc>
          <w:tcPr>
            <w:tcW w:type="dxa" w:w="1825"/>
            <w:tcBorders/>
          </w:tcPr>
          <w:p>
            <w:pPr>
              <w:keepNext/>
              <w:spacing w:before="10" w:after="10" w:line="240" w:lineRule="auto"/>
              <w:jc w:val="left"/>
            </w:pPr>
            <w:r>
              <w:rPr>
                <w:rFonts w:asciiTheme="minorHAnsi" w:hAnsiTheme="minorHAnsi" w:cstheme="minorHAnsi"/>
                <w:sz w:val="16"/>
                <w:szCs w:val="16"/>
              </w:rPr>
              <w:t xml:space="preserve">−0.93 (−5.7)</w:t>
            </w:r>
          </w:p>
        </w:tc>
        <w:tc>
          <w:tcPr>
            <w:tcW w:type="dxa" w:w="1610"/>
            <w:tcBorders/>
          </w:tcPr>
          <w:p>
            <w:pPr>
              <w:keepNext/>
              <w:spacing w:before="10" w:after="10" w:line="240" w:lineRule="auto"/>
              <w:jc w:val="left"/>
            </w:pPr>
            <w:r>
              <w:rPr>
                <w:rFonts w:asciiTheme="minorHAnsi" w:hAnsiTheme="minorHAnsi" w:cstheme="minorHAnsi"/>
                <w:sz w:val="16"/>
                <w:szCs w:val="16"/>
              </w:rPr>
              <w:t xml:space="preserve">−0.98 (−1.9)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1,086</w:t>
            </w:r>
          </w:p>
        </w:tc>
        <w:tc>
          <w:tcPr>
            <w:tcW w:type="dxa" w:w="1610"/>
            <w:tcBorders/>
          </w:tcPr>
          <w:p>
            <w:pPr>
              <w:keepNext/>
              <w:spacing w:before="10" w:after="10" w:line="240" w:lineRule="auto"/>
              <w:jc w:val="left"/>
            </w:pPr>
            <w:r>
              <w:rPr>
                <w:rFonts w:asciiTheme="minorHAnsi" w:hAnsiTheme="minorHAnsi" w:cstheme="minorHAnsi"/>
                <w:sz w:val="16"/>
                <w:szCs w:val="16"/>
              </w:rPr>
              <w:t xml:space="preserve">−0.66 (−3.7)</w:t>
            </w:r>
          </w:p>
        </w:tc>
        <w:tc>
          <w:tcPr>
            <w:tcW w:type="dxa" w:w="1610"/>
            <w:tcBorders/>
          </w:tcPr>
          <w:p>
            <w:pPr>
              <w:keepNext/>
              <w:spacing w:before="10" w:after="10" w:line="240" w:lineRule="auto"/>
              <w:jc w:val="left"/>
            </w:pPr>
            <w:r>
              <w:rPr>
                <w:rFonts w:asciiTheme="minorHAnsi" w:hAnsiTheme="minorHAnsi" w:cstheme="minorHAnsi"/>
                <w:sz w:val="16"/>
                <w:szCs w:val="16"/>
              </w:rPr>
              <w:t xml:space="preserve">0.20 (0.9)</w:t>
            </w:r>
          </w:p>
        </w:tc>
        <w:tc>
          <w:tcPr>
            <w:tcW w:type="dxa" w:w="1825"/>
            <w:tcBorders/>
          </w:tcPr>
          <w:p>
            <w:pPr>
              <w:keepNext/>
              <w:spacing w:before="10" w:after="10" w:line="240" w:lineRule="auto"/>
              <w:jc w:val="left"/>
            </w:pPr>
            <w:r>
              <w:rPr>
                <w:rFonts w:asciiTheme="minorHAnsi" w:hAnsiTheme="minorHAnsi" w:cstheme="minorHAnsi"/>
                <w:sz w:val="16"/>
                <w:szCs w:val="16"/>
              </w:rPr>
              <w:t xml:space="preserve">−0.47 (−2.9)</w:t>
            </w:r>
          </w:p>
        </w:tc>
        <w:tc>
          <w:tcPr>
            <w:tcW w:type="dxa" w:w="1610"/>
            <w:tcBorders/>
          </w:tcPr>
          <w:p>
            <w:pPr>
              <w:keepNext/>
              <w:spacing w:before="10" w:after="10" w:line="240" w:lineRule="auto"/>
              <w:jc w:val="left"/>
            </w:pPr>
            <w:r>
              <w:rPr>
                <w:rFonts w:asciiTheme="minorHAnsi" w:hAnsiTheme="minorHAnsi" w:cstheme="minorHAnsi"/>
                <w:sz w:val="16"/>
                <w:szCs w:val="16"/>
              </w:rPr>
              <w:t xml:space="preserve">−0.66 (−1.4)</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260</w:t>
            </w:r>
          </w:p>
        </w:tc>
        <w:tc>
          <w:tcPr>
            <w:tcW w:type="dxa" w:w="1610"/>
            <w:tcBorders/>
          </w:tcPr>
          <w:p>
            <w:pPr>
              <w:keepNext/>
              <w:spacing w:before="10" w:after="10" w:line="240" w:lineRule="auto"/>
              <w:jc w:val="left"/>
            </w:pPr>
            <w:r>
              <w:rPr>
                <w:rFonts w:asciiTheme="minorHAnsi" w:hAnsiTheme="minorHAnsi" w:cstheme="minorHAnsi"/>
                <w:sz w:val="16"/>
                <w:szCs w:val="16"/>
              </w:rPr>
              <w:t xml:space="preserve">−2.50 (−4.8)</w:t>
            </w:r>
          </w:p>
        </w:tc>
        <w:tc>
          <w:tcPr>
            <w:tcW w:type="dxa" w:w="1610"/>
            <w:tcBorders/>
          </w:tcPr>
          <w:p>
            <w:pPr>
              <w:keepNext/>
              <w:spacing w:before="10" w:after="10" w:line="240" w:lineRule="auto"/>
              <w:jc w:val="left"/>
            </w:pPr>
            <w:r>
              <w:rPr>
                <w:rFonts w:asciiTheme="minorHAnsi" w:hAnsiTheme="minorHAnsi" w:cstheme="minorHAnsi"/>
                <w:sz w:val="16"/>
                <w:szCs w:val="16"/>
              </w:rPr>
              <w:t xml:space="preserve">1.11 (2.4)</w:t>
            </w:r>
          </w:p>
        </w:tc>
        <w:tc>
          <w:tcPr>
            <w:tcW w:type="dxa" w:w="1825"/>
            <w:tcBorders/>
          </w:tcPr>
          <w:p>
            <w:pPr>
              <w:keepNext/>
              <w:spacing w:before="10" w:after="10" w:line="240" w:lineRule="auto"/>
              <w:jc w:val="left"/>
            </w:pPr>
            <w:r>
              <w:rPr>
                <w:rFonts w:asciiTheme="minorHAnsi" w:hAnsiTheme="minorHAnsi" w:cstheme="minorHAnsi"/>
                <w:sz w:val="16"/>
                <w:szCs w:val="16"/>
              </w:rPr>
              <w:t xml:space="preserve">−1.44 (−3.4)</w:t>
            </w:r>
          </w:p>
        </w:tc>
        <w:tc>
          <w:tcPr>
            <w:tcW w:type="dxa" w:w="1610"/>
            <w:tcBorders/>
          </w:tcPr>
          <w:p>
            <w:pPr>
              <w:keepNext/>
              <w:spacing w:before="10" w:after="10" w:line="240" w:lineRule="auto"/>
              <w:jc w:val="left"/>
            </w:pPr>
            <w:r>
              <w:rPr>
                <w:rFonts w:asciiTheme="minorHAnsi" w:hAnsiTheme="minorHAnsi" w:cstheme="minorHAnsi"/>
                <w:sz w:val="16"/>
                <w:szCs w:val="16"/>
              </w:rPr>
              <w:t xml:space="preserve">−3.91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1,059</w:t>
            </w:r>
          </w:p>
        </w:tc>
        <w:tc>
          <w:tcPr>
            <w:tcW w:type="dxa" w:w="1610"/>
            <w:tcBorders/>
          </w:tcPr>
          <w:p>
            <w:pPr>
              <w:keepNext/>
              <w:spacing w:before="10" w:after="10" w:line="240" w:lineRule="auto"/>
              <w:jc w:val="left"/>
            </w:pPr>
            <w:r>
              <w:rPr>
                <w:rFonts w:asciiTheme="minorHAnsi" w:hAnsiTheme="minorHAnsi" w:cstheme="minorHAnsi"/>
                <w:sz w:val="16"/>
                <w:szCs w:val="16"/>
              </w:rPr>
              <w:t xml:space="preserve">−0.55 (−2.4)</w:t>
            </w:r>
          </w:p>
        </w:tc>
        <w:tc>
          <w:tcPr>
            <w:tcW w:type="dxa" w:w="1610"/>
            <w:tcBorders/>
          </w:tcPr>
          <w:p>
            <w:pPr>
              <w:keepNext/>
              <w:spacing w:before="10" w:after="10" w:line="240" w:lineRule="auto"/>
              <w:jc w:val="left"/>
            </w:pPr>
            <w:r>
              <w:rPr>
                <w:rFonts w:asciiTheme="minorHAnsi" w:hAnsiTheme="minorHAnsi" w:cstheme="minorHAnsi"/>
                <w:sz w:val="16"/>
                <w:szCs w:val="16"/>
              </w:rPr>
              <w:t xml:space="preserve">−0.09 (−0.3)</w:t>
            </w:r>
          </w:p>
        </w:tc>
        <w:tc>
          <w:tcPr>
            <w:tcW w:type="dxa" w:w="1825"/>
            <w:tcBorders/>
          </w:tcPr>
          <w:p>
            <w:pPr>
              <w:keepNext/>
              <w:spacing w:before="10" w:after="10" w:line="240" w:lineRule="auto"/>
              <w:jc w:val="left"/>
            </w:pPr>
            <w:r>
              <w:rPr>
                <w:rFonts w:asciiTheme="minorHAnsi" w:hAnsiTheme="minorHAnsi" w:cstheme="minorHAnsi"/>
                <w:sz w:val="16"/>
                <w:szCs w:val="16"/>
              </w:rPr>
              <w:t xml:space="preserve">−0.63 (−2.9)</w:t>
            </w:r>
          </w:p>
        </w:tc>
        <w:tc>
          <w:tcPr>
            <w:tcW w:type="dxa" w:w="1610"/>
            <w:tcBorders/>
          </w:tcPr>
          <w:p>
            <w:pPr>
              <w:keepNext/>
              <w:spacing w:before="10" w:after="10" w:line="240" w:lineRule="auto"/>
              <w:jc w:val="left"/>
            </w:pPr>
            <w:r>
              <w:rPr>
                <w:rFonts w:asciiTheme="minorHAnsi" w:hAnsiTheme="minorHAnsi" w:cstheme="minorHAnsi"/>
                <w:sz w:val="16"/>
                <w:szCs w:val="16"/>
              </w:rPr>
              <w:t xml:space="preserve">−1.69 (−5.1)</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1,052</w:t>
            </w:r>
          </w:p>
        </w:tc>
        <w:tc>
          <w:tcPr>
            <w:tcW w:type="dxa" w:w="1610"/>
            <w:tcBorders/>
          </w:tcPr>
          <w:p>
            <w:pPr>
              <w:keepNext/>
              <w:spacing w:before="10" w:after="10" w:line="240" w:lineRule="auto"/>
              <w:jc w:val="left"/>
            </w:pPr>
            <w:r>
              <w:rPr>
                <w:rFonts w:asciiTheme="minorHAnsi" w:hAnsiTheme="minorHAnsi" w:cstheme="minorHAnsi"/>
                <w:sz w:val="16"/>
                <w:szCs w:val="16"/>
              </w:rPr>
              <w:t xml:space="preserve">−1.40 (−6.5)</w:t>
            </w:r>
          </w:p>
        </w:tc>
        <w:tc>
          <w:tcPr>
            <w:tcW w:type="dxa" w:w="1610"/>
            <w:tcBorders/>
          </w:tcPr>
          <w:p>
            <w:pPr>
              <w:keepNext/>
              <w:spacing w:before="10" w:after="10" w:line="240" w:lineRule="auto"/>
              <w:jc w:val="left"/>
            </w:pPr>
            <w:r>
              <w:rPr>
                <w:rFonts w:asciiTheme="minorHAnsi" w:hAnsiTheme="minorHAnsi" w:cstheme="minorHAnsi"/>
                <w:sz w:val="16"/>
                <w:szCs w:val="16"/>
              </w:rPr>
              <w:t xml:space="preserve">0.70 (4.9)</w:t>
            </w:r>
          </w:p>
        </w:tc>
        <w:tc>
          <w:tcPr>
            <w:tcW w:type="dxa" w:w="1825"/>
            <w:tcBorders/>
          </w:tcPr>
          <w:p>
            <w:pPr>
              <w:keepNext/>
              <w:spacing w:before="10" w:after="10" w:line="240" w:lineRule="auto"/>
              <w:jc w:val="left"/>
            </w:pPr>
            <w:r>
              <w:rPr>
                <w:rFonts w:asciiTheme="minorHAnsi" w:hAnsiTheme="minorHAnsi" w:cstheme="minorHAnsi"/>
                <w:sz w:val="16"/>
                <w:szCs w:val="16"/>
              </w:rPr>
              <w:t xml:space="preserve">−0.75 (−4.3)</w:t>
            </w:r>
          </w:p>
        </w:tc>
        <w:tc>
          <w:tcPr>
            <w:tcW w:type="dxa" w:w="1610"/>
            <w:tcBorders/>
          </w:tcPr>
          <w:p>
            <w:pPr>
              <w:keepNext/>
              <w:spacing w:before="10" w:after="10" w:line="240" w:lineRule="auto"/>
              <w:jc w:val="left"/>
            </w:pPr>
            <w:r>
              <w:rPr>
                <w:rFonts w:asciiTheme="minorHAnsi" w:hAnsiTheme="minorHAnsi" w:cstheme="minorHAnsi"/>
                <w:sz w:val="16"/>
                <w:szCs w:val="16"/>
              </w:rPr>
              <w:t xml:space="preserve">0.07 (0.1)</w:t>
            </w:r>
          </w:p>
        </w:tc>
      </w:tr>
      <w:tr>
        <w:trPr>
          <w:cantSplit/>
        </w:trPr>
        <w:tc>
          <w:tcPr>
            <w:tcW w:type="dxa" w:w="2576"/>
            <w:tcBorders>
              <w:bottom w:val="single" w:sz="8" w:space="0" w:color="000000"/>
            </w:tcBorders>
          </w:tcPr>
          <w:p>
            <w:pPr>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bottom w:val="single" w:sz="8" w:space="0" w:color="000000"/>
            </w:tcBorders>
          </w:tcPr>
          <w:p>
            <w:pPr>
              <w:spacing w:before="10" w:after="10" w:line="240" w:lineRule="auto"/>
              <w:jc w:val="left"/>
            </w:pPr>
            <w:r>
              <w:rPr>
                <w:rFonts w:asciiTheme="minorHAnsi" w:hAnsiTheme="minorHAnsi" w:cstheme="minorHAnsi"/>
                <w:sz w:val="16"/>
                <w:szCs w:val="16"/>
              </w:rPr>
              <w:t xml:space="preserve">740</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−1.83 (−8.7)</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0.90 (5.3)</w:t>
            </w:r>
          </w:p>
        </w:tc>
        <w:tc>
          <w:tcPr>
            <w:tcW w:type="dxa" w:w="18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−0.99 (−4.5)</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−0.81 (−1.7)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Benchmarks are the volume-weighted market (weights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or same-date controls in the same liquidity tercile. Crash days have a market return below −2%. Components compound, so they need not sum.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Limit closes versus near-limit moves</w:t>
      </w:r>
    </w:p>
    <w:tbl>
      <w:tblPr>
        <w:tblW w:type="pct" w:w="5000"/>
        <w:jc w:val="center"/>
        <w:tblLayout w:type="fixed"/>
      </w:tblPr>
      <w:tblGrid>
        <w:gridCol w:w="2588"/>
        <w:gridCol w:w="1522"/>
        <w:gridCol w:w="1522"/>
        <w:gridCol w:w="1725"/>
        <w:gridCol w:w="1522"/>
        <w:gridCol w:w="1319"/>
      </w:tblGrid>
      <w:tr>
        <w:trPr>
          <w:cantSplit/>
          <w:tblHeader w:val="true"/>
        </w:trPr>
        <w:tc>
          <w:tcPr>
            <w:tcW w:type="dxa" w:w="258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Contrast</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7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31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Comparison stock-days</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5–6.5%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2.66 (14.0)</w:t>
            </w:r>
          </w:p>
        </w:tc>
        <w:tc>
          <w:tcPr>
            <w:tcW w:type="dxa" w:w="1522"/>
            <w:tcBorders/>
          </w:tcPr>
          <w:p>
            <w:pPr>
              <w:keepNext/>
              <w:spacing w:before="10" w:after="10" w:line="240" w:lineRule="auto"/>
              <w:jc w:val="left"/>
            </w:pPr>
            <w:r>
              <w:rPr>
                <w:rFonts w:asciiTheme="minorHAnsi" w:hAnsiTheme="minorHAnsi" w:cstheme="minorHAnsi"/>
                <w:sz w:val="16"/>
                <w:szCs w:val="16"/>
              </w:rPr>
              <w:t xml:space="preserve">−0.31 (−2.1)</w:t>
            </w:r>
          </w:p>
        </w:tc>
        <w:tc>
          <w:tcPr>
            <w:tcW w:type="dxa" w:w="1725"/>
            <w:tcBorders/>
          </w:tcPr>
          <w:p>
            <w:pPr>
              <w:keepNext/>
              <w:spacing w:before="10" w:after="10" w:line="240" w:lineRule="auto"/>
              <w:jc w:val="left"/>
            </w:pPr>
            <w:r>
              <w:rPr>
                <w:rFonts w:asciiTheme="minorHAnsi" w:hAnsiTheme="minorHAnsi" w:cstheme="minorHAnsi"/>
                <w:sz w:val="16"/>
                <w:szCs w:val="16"/>
              </w:rPr>
              <w:t xml:space="preserve">2.32 (7.6)</w:t>
            </w:r>
          </w:p>
        </w:tc>
        <w:tc>
          <w:tcPr>
            <w:tcW w:type="dxa" w:w="1522"/>
            <w:tcBorders/>
          </w:tcPr>
          <w:p>
            <w:pPr>
              <w:keepNext/>
              <w:spacing w:before="10" w:after="10" w:line="240" w:lineRule="auto"/>
              <w:jc w:val="left"/>
            </w:pPr>
            <w:r>
              <w:rPr>
                <w:rFonts w:asciiTheme="minorHAnsi" w:hAnsiTheme="minorHAnsi" w:cstheme="minorHAnsi"/>
                <w:sz w:val="16"/>
                <w:szCs w:val="16"/>
              </w:rPr>
              <w:t xml:space="preserve">−0.02 (−0.1)</w:t>
            </w:r>
          </w:p>
        </w:tc>
        <w:tc>
          <w:tcPr>
            <w:tcW w:type="dxa" w:w="1319"/>
            <w:tcBorders/>
          </w:tcPr>
          <w:p>
            <w:pPr>
              <w:keepNext/>
              <w:spacing w:before="10" w:after="10" w:line="240" w:lineRule="auto"/>
              <w:jc w:val="left"/>
            </w:pPr>
            <w:r>
              <w:rPr>
                <w:rFonts w:asciiTheme="minorHAnsi" w:hAnsiTheme="minorHAnsi" w:cstheme="minorHAnsi"/>
                <w:sz w:val="16"/>
                <w:szCs w:val="16"/>
              </w:rPr>
              <w:t xml:space="preserve">1,751</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3.14 (14.5)</w:t>
            </w:r>
          </w:p>
        </w:tc>
        <w:tc>
          <w:tcPr>
            <w:tcW w:type="dxa" w:w="1522"/>
            <w:tcBorders/>
          </w:tcPr>
          <w:p>
            <w:pPr>
              <w:keepNext/>
              <w:spacing w:before="10" w:after="10" w:line="240" w:lineRule="auto"/>
              <w:jc w:val="left"/>
            </w:pPr>
            <w:r>
              <w:rPr>
                <w:rFonts w:asciiTheme="minorHAnsi" w:hAnsiTheme="minorHAnsi" w:cstheme="minorHAnsi"/>
                <w:sz w:val="16"/>
                <w:szCs w:val="16"/>
              </w:rPr>
              <w:t xml:space="preserve">−0.66 (−3.4)</w:t>
            </w:r>
          </w:p>
        </w:tc>
        <w:tc>
          <w:tcPr>
            <w:tcW w:type="dxa" w:w="1725"/>
            <w:tcBorders/>
          </w:tcPr>
          <w:p>
            <w:pPr>
              <w:keepNext/>
              <w:spacing w:before="10" w:after="10" w:line="240" w:lineRule="auto"/>
              <w:jc w:val="left"/>
            </w:pPr>
            <w:r>
              <w:rPr>
                <w:rFonts w:asciiTheme="minorHAnsi" w:hAnsiTheme="minorHAnsi" w:cstheme="minorHAnsi"/>
                <w:sz w:val="16"/>
                <w:szCs w:val="16"/>
              </w:rPr>
              <w:t xml:space="preserve">2.47 (7.2)</w:t>
            </w:r>
          </w:p>
        </w:tc>
        <w:tc>
          <w:tcPr>
            <w:tcW w:type="dxa" w:w="1522"/>
            <w:tcBorders/>
          </w:tcPr>
          <w:p>
            <w:pPr>
              <w:keepNext/>
              <w:spacing w:before="10" w:after="10" w:line="240" w:lineRule="auto"/>
              <w:jc w:val="left"/>
            </w:pPr>
            <w:r>
              <w:rPr>
                <w:rFonts w:asciiTheme="minorHAnsi" w:hAnsiTheme="minorHAnsi" w:cstheme="minorHAnsi"/>
                <w:sz w:val="16"/>
                <w:szCs w:val="16"/>
              </w:rPr>
              <w:t xml:space="preserve">−0.49 (−1.5)</w:t>
            </w:r>
          </w:p>
        </w:tc>
        <w:tc>
          <w:tcPr>
            <w:tcW w:type="dxa" w:w="1319"/>
            <w:tcBorders/>
          </w:tcPr>
          <w:p>
            <w:pPr>
              <w:keepNext/>
              <w:spacing w:before="10" w:after="10" w:line="240" w:lineRule="auto"/>
              <w:jc w:val="left"/>
            </w:pPr>
            <w:r>
              <w:rPr>
                <w:rFonts w:asciiTheme="minorHAnsi" w:hAnsiTheme="minorHAnsi" w:cstheme="minorHAnsi"/>
                <w:sz w:val="16"/>
                <w:szCs w:val="16"/>
              </w:rPr>
              <w:t xml:space="preserve">679</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3–5%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2.40 (11.6)</w:t>
            </w:r>
          </w:p>
        </w:tc>
        <w:tc>
          <w:tcPr>
            <w:tcW w:type="dxa" w:w="1522"/>
            <w:tcBorders/>
          </w:tcPr>
          <w:p>
            <w:pPr>
              <w:keepNext/>
              <w:spacing w:before="10" w:after="10" w:line="240" w:lineRule="auto"/>
              <w:jc w:val="left"/>
            </w:pPr>
            <w:r>
              <w:rPr>
                <w:rFonts w:asciiTheme="minorHAnsi" w:hAnsiTheme="minorHAnsi" w:cstheme="minorHAnsi"/>
                <w:sz w:val="16"/>
                <w:szCs w:val="16"/>
              </w:rPr>
              <w:t xml:space="preserve">−0.32 (−2.2)</w:t>
            </w:r>
          </w:p>
        </w:tc>
        <w:tc>
          <w:tcPr>
            <w:tcW w:type="dxa" w:w="1725"/>
            <w:tcBorders/>
          </w:tcPr>
          <w:p>
            <w:pPr>
              <w:keepNext/>
              <w:spacing w:before="10" w:after="10" w:line="240" w:lineRule="auto"/>
              <w:jc w:val="left"/>
            </w:pPr>
            <w:r>
              <w:rPr>
                <w:rFonts w:asciiTheme="minorHAnsi" w:hAnsiTheme="minorHAnsi" w:cstheme="minorHAnsi"/>
                <w:sz w:val="16"/>
                <w:szCs w:val="16"/>
              </w:rPr>
              <w:t xml:space="preserve">2.05 (6.1)</w:t>
            </w:r>
          </w:p>
        </w:tc>
        <w:tc>
          <w:tcPr>
            <w:tcW w:type="dxa" w:w="1522"/>
            <w:tcBorders/>
          </w:tcPr>
          <w:p>
            <w:pPr>
              <w:keepNext/>
              <w:spacing w:before="10" w:after="10" w:line="240" w:lineRule="auto"/>
              <w:jc w:val="left"/>
            </w:pPr>
            <w:r>
              <w:rPr>
                <w:rFonts w:asciiTheme="minorHAnsi" w:hAnsiTheme="minorHAnsi" w:cstheme="minorHAnsi"/>
                <w:sz w:val="16"/>
                <w:szCs w:val="16"/>
              </w:rPr>
              <w:t xml:space="preserve">−0.45 (−2.2)</w:t>
            </w:r>
          </w:p>
        </w:tc>
        <w:tc>
          <w:tcPr>
            <w:tcW w:type="dxa" w:w="1319"/>
            <w:tcBorders/>
          </w:tcPr>
          <w:p>
            <w:pPr>
              <w:keepNext/>
              <w:spacing w:before="10" w:after="10" w:line="240" w:lineRule="auto"/>
              <w:jc w:val="left"/>
            </w:pPr>
            <w:r>
              <w:rPr>
                <w:rFonts w:asciiTheme="minorHAnsi" w:hAnsiTheme="minorHAnsi" w:cstheme="minorHAnsi"/>
                <w:sz w:val="16"/>
                <w:szCs w:val="16"/>
              </w:rPr>
              <w:t xml:space="preserve">5,932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2.81 (13.1)</w:t>
            </w:r>
          </w:p>
        </w:tc>
        <w:tc>
          <w:tcPr>
            <w:tcW w:type="dxa" w:w="1522"/>
            <w:tcBorders/>
          </w:tcPr>
          <w:p>
            <w:pPr>
              <w:keepNext/>
              <w:spacing w:before="10" w:after="10" w:line="240" w:lineRule="auto"/>
              <w:jc w:val="left"/>
            </w:pPr>
            <w:r>
              <w:rPr>
                <w:rFonts w:asciiTheme="minorHAnsi" w:hAnsiTheme="minorHAnsi" w:cstheme="minorHAnsi"/>
                <w:sz w:val="16"/>
                <w:szCs w:val="16"/>
              </w:rPr>
              <w:t xml:space="preserve">−0.61 (−3.8)</w:t>
            </w:r>
          </w:p>
        </w:tc>
        <w:tc>
          <w:tcPr>
            <w:tcW w:type="dxa" w:w="1725"/>
            <w:tcBorders/>
          </w:tcPr>
          <w:p>
            <w:pPr>
              <w:keepNext/>
              <w:spacing w:before="10" w:after="10" w:line="240" w:lineRule="auto"/>
              <w:jc w:val="left"/>
            </w:pPr>
            <w:r>
              <w:rPr>
                <w:rFonts w:asciiTheme="minorHAnsi" w:hAnsiTheme="minorHAnsi" w:cstheme="minorHAnsi"/>
                <w:sz w:val="16"/>
                <w:szCs w:val="16"/>
              </w:rPr>
              <w:t xml:space="preserve">2.17 (6.4)</w:t>
            </w:r>
          </w:p>
        </w:tc>
        <w:tc>
          <w:tcPr>
            <w:tcW w:type="dxa" w:w="1522"/>
            <w:tcBorders/>
          </w:tcPr>
          <w:p>
            <w:pPr>
              <w:keepNext/>
              <w:spacing w:before="10" w:after="10" w:line="240" w:lineRule="auto"/>
              <w:jc w:val="left"/>
            </w:pPr>
            <w:r>
              <w:rPr>
                <w:rFonts w:asciiTheme="minorHAnsi" w:hAnsiTheme="minorHAnsi" w:cstheme="minorHAnsi"/>
                <w:sz w:val="16"/>
                <w:szCs w:val="16"/>
              </w:rPr>
              <w:t xml:space="preserve">−0.64 (−2.7)</w:t>
            </w:r>
          </w:p>
        </w:tc>
        <w:tc>
          <w:tcPr>
            <w:tcW w:type="dxa" w:w="1319"/>
            <w:tcBorders/>
          </w:tcPr>
          <w:p>
            <w:pPr>
              <w:keepNext/>
              <w:spacing w:before="10" w:after="10" w:line="240" w:lineRule="auto"/>
              <w:jc w:val="left"/>
            </w:pPr>
            <w:r>
              <w:rPr>
                <w:rFonts w:asciiTheme="minorHAnsi" w:hAnsiTheme="minorHAnsi" w:cstheme="minorHAnsi"/>
                <w:sz w:val="16"/>
                <w:szCs w:val="16"/>
              </w:rPr>
              <w:t xml:space="preserve">1,795</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5–6.5%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−1.59 (−9.7)</w:t>
            </w:r>
          </w:p>
        </w:tc>
        <w:tc>
          <w:tcPr>
            <w:tcW w:type="dxa" w:w="1522"/>
            <w:tcBorders/>
          </w:tcPr>
          <w:p>
            <w:pPr>
              <w:keepNext/>
              <w:spacing w:before="10" w:after="10" w:line="240" w:lineRule="auto"/>
              <w:jc w:val="left"/>
            </w:pPr>
            <w:r>
              <w:rPr>
                <w:rFonts w:asciiTheme="minorHAnsi" w:hAnsiTheme="minorHAnsi" w:cstheme="minorHAnsi"/>
                <w:sz w:val="16"/>
                <w:szCs w:val="16"/>
              </w:rPr>
              <w:t xml:space="preserve">−0.07 (−0.3)</w:t>
            </w:r>
          </w:p>
        </w:tc>
        <w:tc>
          <w:tcPr>
            <w:tcW w:type="dxa" w:w="1725"/>
            <w:tcBorders/>
          </w:tcPr>
          <w:p>
            <w:pPr>
              <w:keepNext/>
              <w:spacing w:before="10" w:after="10" w:line="240" w:lineRule="auto"/>
              <w:jc w:val="left"/>
            </w:pPr>
            <w:r>
              <w:rPr>
                <w:rFonts w:asciiTheme="minorHAnsi" w:hAnsiTheme="minorHAnsi" w:cstheme="minorHAnsi"/>
                <w:sz w:val="16"/>
                <w:szCs w:val="16"/>
              </w:rPr>
              <w:t xml:space="preserve">−1.66 (−11.6)</w:t>
            </w:r>
          </w:p>
        </w:tc>
        <w:tc>
          <w:tcPr>
            <w:tcW w:type="dxa" w:w="1522"/>
            <w:tcBorders/>
          </w:tcPr>
          <w:p>
            <w:pPr>
              <w:keepNext/>
              <w:spacing w:before="10" w:after="10" w:line="240" w:lineRule="auto"/>
              <w:jc w:val="left"/>
            </w:pPr>
            <w:r>
              <w:rPr>
                <w:rFonts w:asciiTheme="minorHAnsi" w:hAnsiTheme="minorHAnsi" w:cstheme="minorHAnsi"/>
                <w:sz w:val="16"/>
                <w:szCs w:val="16"/>
              </w:rPr>
              <w:t xml:space="preserve">−1.01 (−2.6)</w:t>
            </w:r>
          </w:p>
        </w:tc>
        <w:tc>
          <w:tcPr>
            <w:tcW w:type="dxa" w:w="1319"/>
            <w:tcBorders/>
          </w:tcPr>
          <w:p>
            <w:pPr>
              <w:keepNext/>
              <w:spacing w:before="10" w:after="10" w:line="240" w:lineRule="auto"/>
              <w:jc w:val="left"/>
            </w:pPr>
            <w:r>
              <w:rPr>
                <w:rFonts w:asciiTheme="minorHAnsi" w:hAnsiTheme="minorHAnsi" w:cstheme="minorHAnsi"/>
                <w:sz w:val="16"/>
                <w:szCs w:val="16"/>
              </w:rPr>
              <w:t xml:space="preserve">1,522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tcPr>
          <w:p>
            <w:pPr>
              <w:keepNext/>
              <w:spacing w:before="10" w:after="10" w:line="240" w:lineRule="auto"/>
              <w:jc w:val="left"/>
            </w:pPr>
            <w:r>
              <w:rPr>
                <w:rFonts w:asciiTheme="minorHAnsi" w:hAnsiTheme="minorHAnsi" w:cstheme="minorHAnsi"/>
                <w:sz w:val="16"/>
                <w:szCs w:val="16"/>
              </w:rPr>
              <w:t xml:space="preserve">−1.81 (−8.7)</w:t>
            </w:r>
          </w:p>
        </w:tc>
        <w:tc>
          <w:tcPr>
            <w:tcW w:type="dxa" w:w="1522"/>
            <w:tcBorders/>
          </w:tcPr>
          <w:p>
            <w:pPr>
              <w:keepNext/>
              <w:spacing w:before="10" w:after="10" w:line="240" w:lineRule="auto"/>
              <w:jc w:val="left"/>
            </w:pPr>
            <w:r>
              <w:rPr>
                <w:rFonts w:asciiTheme="minorHAnsi" w:hAnsiTheme="minorHAnsi" w:cstheme="minorHAnsi"/>
                <w:sz w:val="16"/>
                <w:szCs w:val="16"/>
              </w:rPr>
              <w:t xml:space="preserve">−0.13 (−0.6)</w:t>
            </w:r>
          </w:p>
        </w:tc>
        <w:tc>
          <w:tcPr>
            <w:tcW w:type="dxa" w:w="1725"/>
            <w:tcBorders/>
          </w:tcPr>
          <w:p>
            <w:pPr>
              <w:keepNext/>
              <w:spacing w:before="10" w:after="10" w:line="240" w:lineRule="auto"/>
              <w:jc w:val="left"/>
            </w:pPr>
            <w:r>
              <w:rPr>
                <w:rFonts w:asciiTheme="minorHAnsi" w:hAnsiTheme="minorHAnsi" w:cstheme="minorHAnsi"/>
                <w:sz w:val="16"/>
                <w:szCs w:val="16"/>
              </w:rPr>
              <w:t xml:space="preserve">−1.95 (−10.7)</w:t>
            </w:r>
          </w:p>
        </w:tc>
        <w:tc>
          <w:tcPr>
            <w:tcW w:type="dxa" w:w="1522"/>
            <w:tcBorders/>
          </w:tcPr>
          <w:p>
            <w:pPr>
              <w:keepNext/>
              <w:spacing w:before="10" w:after="10" w:line="240" w:lineRule="auto"/>
              <w:jc w:val="left"/>
            </w:pPr>
            <w:r>
              <w:rPr>
                <w:rFonts w:asciiTheme="minorHAnsi" w:hAnsiTheme="minorHAnsi" w:cstheme="minorHAnsi"/>
                <w:sz w:val="16"/>
                <w:szCs w:val="16"/>
              </w:rPr>
              <w:t xml:space="preserve">−1.23 (−2.8)</w:t>
            </w:r>
          </w:p>
        </w:tc>
        <w:tc>
          <w:tcPr>
            <w:tcW w:type="dxa" w:w="1319"/>
            <w:tcBorders/>
          </w:tcPr>
          <w:p>
            <w:pPr>
              <w:keepNext/>
              <w:spacing w:before="10" w:after="10" w:line="240" w:lineRule="auto"/>
              <w:jc w:val="left"/>
            </w:pPr>
            <w:r>
              <w:rPr>
                <w:rFonts w:asciiTheme="minorHAnsi" w:hAnsiTheme="minorHAnsi" w:cstheme="minorHAnsi"/>
                <w:sz w:val="16"/>
                <w:szCs w:val="16"/>
              </w:rPr>
              <w:t xml:space="preserve">722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3–5%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−1.14 (−6.4)</w:t>
            </w:r>
          </w:p>
        </w:tc>
        <w:tc>
          <w:tcPr>
            <w:tcW w:type="dxa" w:w="1522"/>
            <w:tcBorders/>
          </w:tcPr>
          <w:p>
            <w:pPr>
              <w:keepNext/>
              <w:spacing w:before="10" w:after="10" w:line="240" w:lineRule="auto"/>
              <w:jc w:val="left"/>
            </w:pPr>
            <w:r>
              <w:rPr>
                <w:rFonts w:asciiTheme="minorHAnsi" w:hAnsiTheme="minorHAnsi" w:cstheme="minorHAnsi"/>
                <w:sz w:val="16"/>
                <w:szCs w:val="16"/>
              </w:rPr>
              <w:t xml:space="preserve">0.14 (0.6)</w:t>
            </w:r>
          </w:p>
        </w:tc>
        <w:tc>
          <w:tcPr>
            <w:tcW w:type="dxa" w:w="1725"/>
            <w:tcBorders/>
          </w:tcPr>
          <w:p>
            <w:pPr>
              <w:keepNext/>
              <w:spacing w:before="10" w:after="10" w:line="240" w:lineRule="auto"/>
              <w:jc w:val="left"/>
            </w:pPr>
            <w:r>
              <w:rPr>
                <w:rFonts w:asciiTheme="minorHAnsi" w:hAnsiTheme="minorHAnsi" w:cstheme="minorHAnsi"/>
                <w:sz w:val="16"/>
                <w:szCs w:val="16"/>
              </w:rPr>
              <w:t xml:space="preserve">−1.01 (−7.5)</w:t>
            </w:r>
          </w:p>
        </w:tc>
        <w:tc>
          <w:tcPr>
            <w:tcW w:type="dxa" w:w="1522"/>
            <w:tcBorders/>
          </w:tcPr>
          <w:p>
            <w:pPr>
              <w:keepNext/>
              <w:spacing w:before="10" w:after="10" w:line="240" w:lineRule="auto"/>
              <w:jc w:val="left"/>
            </w:pPr>
            <w:r>
              <w:rPr>
                <w:rFonts w:asciiTheme="minorHAnsi" w:hAnsiTheme="minorHAnsi" w:cstheme="minorHAnsi"/>
                <w:sz w:val="16"/>
                <w:szCs w:val="16"/>
              </w:rPr>
              <w:t xml:space="preserve">−0.90 (−2.2)</w:t>
            </w:r>
          </w:p>
        </w:tc>
        <w:tc>
          <w:tcPr>
            <w:tcW w:type="dxa" w:w="1319"/>
            <w:tcBorders/>
          </w:tcPr>
          <w:p>
            <w:pPr>
              <w:keepNext/>
              <w:spacing w:before="10" w:after="10" w:line="240" w:lineRule="auto"/>
              <w:jc w:val="left"/>
            </w:pPr>
            <w:r>
              <w:rPr>
                <w:rFonts w:asciiTheme="minorHAnsi" w:hAnsiTheme="minorHAnsi" w:cstheme="minorHAnsi"/>
                <w:sz w:val="16"/>
                <w:szCs w:val="16"/>
              </w:rPr>
              <w:t xml:space="preserve">5,237</w:t>
            </w:r>
          </w:p>
        </w:tc>
      </w:tr>
      <w:tr>
        <w:trPr>
          <w:cantSplit/>
        </w:trPr>
        <w:tc>
          <w:tcPr>
            <w:tcW w:type="dxa" w:w="2588"/>
            <w:tcBorders>
              <w:bottom w:val="single" w:sz="8" w:space="0" w:color="000000"/>
            </w:tcBorders>
          </w:tcPr>
          <w:p>
            <w:pPr>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−1.35 (−7.4)</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0.18 (0.8)</w:t>
            </w:r>
          </w:p>
        </w:tc>
        <w:tc>
          <w:tcPr>
            <w:tcW w:type="dxa" w:w="17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−1.19 (−8.0)</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−1.06 (−2.5)</w:t>
            </w:r>
          </w:p>
        </w:tc>
        <w:tc>
          <w:tcPr>
            <w:tcW w:type="dxa" w:w="1319"/>
            <w:tcBorders>
              <w:bottom w:val="single" w:sz="8" w:space="0" w:color="000000"/>
            </w:tcBorders>
          </w:tcPr>
          <w:p>
            <w:pPr>
              <w:spacing w:before="10" w:after="10" w:line="240" w:lineRule="auto"/>
              <w:jc w:val="left"/>
            </w:pPr>
            <w:r>
              <w:rPr>
                <w:rFonts w:asciiTheme="minorHAnsi" w:hAnsiTheme="minorHAnsi" w:cstheme="minorHAnsi"/>
                <w:sz w:val="16"/>
                <w:szCs w:val="16"/>
              </w:rPr>
              <w:t xml:space="preserve">2,228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Differences in percentage points from same-direction moves of 3–5% or 5–6.5% that did not close at the limit; market-adjusted returns; date-clustered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Returns before and after the KRX platform change of May 5, 2025</w:t>
      </w:r>
    </w:p>
    <w:tbl>
      <w:tblPr>
        <w:tblW w:type="pct" w:w="5000"/>
        <w:jc w:val="center"/>
        <w:tblLayout w:type="fixed"/>
      </w:tblPr>
      <w:tblGrid>
        <w:gridCol w:w="1243"/>
        <w:gridCol w:w="2114"/>
        <w:gridCol w:w="1865"/>
        <w:gridCol w:w="1865"/>
        <w:gridCol w:w="1865"/>
        <w:gridCol w:w="1243"/>
      </w:tblGrid>
      <w:tr>
        <w:trPr>
          <w:cantSplit/>
          <w:tblHeader w:val="true"/>
        </w:trPr>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21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Outcome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Before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After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Difference</w:t>
            </w:r>
          </w:p>
        </w:tc>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 (before / after)</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1.65 (3.2)</w:t>
            </w:r>
          </w:p>
        </w:tc>
        <w:tc>
          <w:tcPr>
            <w:tcW w:type="dxa" w:w="1865"/>
            <w:tcBorders/>
          </w:tcPr>
          <w:p>
            <w:pPr>
              <w:keepNext/>
              <w:spacing w:before="10" w:after="10" w:line="240" w:lineRule="auto"/>
              <w:jc w:val="left"/>
            </w:pPr>
            <w:r>
              <w:rPr>
                <w:rFonts w:asciiTheme="minorHAnsi" w:hAnsiTheme="minorHAnsi" w:cstheme="minorHAnsi"/>
                <w:sz w:val="16"/>
                <w:szCs w:val="16"/>
              </w:rPr>
              <w:t xml:space="preserve">2.49 (17.9)</w:t>
            </w:r>
          </w:p>
        </w:tc>
        <w:tc>
          <w:tcPr>
            <w:tcW w:type="dxa" w:w="1865"/>
            <w:tcBorders/>
          </w:tcPr>
          <w:p>
            <w:pPr>
              <w:keepNext/>
              <w:spacing w:before="10" w:after="10" w:line="240" w:lineRule="auto"/>
              <w:jc w:val="left"/>
            </w:pPr>
            <w:r>
              <w:rPr>
                <w:rFonts w:asciiTheme="minorHAnsi" w:hAnsiTheme="minorHAnsi" w:cstheme="minorHAnsi"/>
                <w:sz w:val="16"/>
                <w:szCs w:val="16"/>
              </w:rPr>
              <w:t xml:space="preserve">0.85 (1.6)</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(−2.0)</w:t>
            </w:r>
          </w:p>
        </w:tc>
        <w:tc>
          <w:tcPr>
            <w:tcW w:type="dxa" w:w="1865"/>
            <w:tcBorders/>
          </w:tcPr>
          <w:p>
            <w:pPr>
              <w:keepNext/>
              <w:spacing w:before="10" w:after="10" w:line="240" w:lineRule="auto"/>
              <w:jc w:val="left"/>
            </w:pPr>
            <w:r>
              <w:rPr>
                <w:rFonts w:asciiTheme="minorHAnsi" w:hAnsiTheme="minorHAnsi" w:cstheme="minorHAnsi"/>
                <w:sz w:val="16"/>
                <w:szCs w:val="16"/>
              </w:rPr>
              <w:t xml:space="preserve">−0.44 (−4.3)</w:t>
            </w:r>
          </w:p>
        </w:tc>
        <w:tc>
          <w:tcPr>
            <w:tcW w:type="dxa" w:w="1865"/>
            <w:tcBorders/>
          </w:tcPr>
          <w:p>
            <w:pPr>
              <w:keepNext/>
              <w:spacing w:before="10" w:after="10" w:line="240" w:lineRule="auto"/>
              <w:jc w:val="left"/>
            </w:pPr>
            <w:r>
              <w:rPr>
                <w:rFonts w:asciiTheme="minorHAnsi" w:hAnsiTheme="minorHAnsi" w:cstheme="minorHAnsi"/>
                <w:sz w:val="16"/>
                <w:szCs w:val="16"/>
              </w:rPr>
              <w:t xml:space="preserve">0.34 (0.8)</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0.83 (1.0)</w:t>
            </w:r>
          </w:p>
        </w:tc>
        <w:tc>
          <w:tcPr>
            <w:tcW w:type="dxa" w:w="1865"/>
            <w:tcBorders/>
          </w:tcPr>
          <w:p>
            <w:pPr>
              <w:keepNext/>
              <w:spacing w:before="10" w:after="10" w:line="240" w:lineRule="auto"/>
              <w:jc w:val="left"/>
            </w:pPr>
            <w:r>
              <w:rPr>
                <w:rFonts w:asciiTheme="minorHAnsi" w:hAnsiTheme="minorHAnsi" w:cstheme="minorHAnsi"/>
                <w:sz w:val="16"/>
                <w:szCs w:val="16"/>
              </w:rPr>
              <w:t xml:space="preserve">2.01 (14.6)</w:t>
            </w:r>
          </w:p>
        </w:tc>
        <w:tc>
          <w:tcPr>
            <w:tcW w:type="dxa" w:w="1865"/>
            <w:tcBorders/>
          </w:tcPr>
          <w:p>
            <w:pPr>
              <w:keepNext/>
              <w:spacing w:before="10" w:after="10" w:line="240" w:lineRule="auto"/>
              <w:jc w:val="left"/>
            </w:pPr>
            <w:r>
              <w:rPr>
                <w:rFonts w:asciiTheme="minorHAnsi" w:hAnsiTheme="minorHAnsi" w:cstheme="minorHAnsi"/>
                <w:sz w:val="16"/>
                <w:szCs w:val="16"/>
              </w:rPr>
              <w:t xml:space="preserve">1.18 (1.3)</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tcPr>
          <w:p>
            <w:pPr>
              <w:keepNext/>
              <w:spacing w:before="10" w:after="10" w:line="240" w:lineRule="auto"/>
              <w:jc w:val="left"/>
            </w:pPr>
            <w:r>
              <w:rPr>
                <w:rFonts w:asciiTheme="minorHAnsi" w:hAnsiTheme="minorHAnsi" w:cstheme="minorHAnsi"/>
                <w:sz w:val="16"/>
                <w:szCs w:val="16"/>
              </w:rPr>
              <w:t xml:space="preserve">−0.71 (−1.3)</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(−2.5)</w:t>
            </w:r>
          </w:p>
        </w:tc>
        <w:tc>
          <w:tcPr>
            <w:tcW w:type="dxa" w:w="1865"/>
            <w:tcBorders/>
          </w:tcPr>
          <w:p>
            <w:pPr>
              <w:keepNext/>
              <w:spacing w:before="10" w:after="10" w:line="240" w:lineRule="auto"/>
              <w:jc w:val="left"/>
            </w:pPr>
            <w:r>
              <w:rPr>
                <w:rFonts w:asciiTheme="minorHAnsi" w:hAnsiTheme="minorHAnsi" w:cstheme="minorHAnsi"/>
                <w:sz w:val="16"/>
                <w:szCs w:val="16"/>
              </w:rPr>
              <w:t xml:space="preserve">−0.06 (−0.1)</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2,257</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−0.42 (−1.9)</w:t>
            </w:r>
          </w:p>
        </w:tc>
        <w:tc>
          <w:tcPr>
            <w:tcW w:type="dxa" w:w="1865"/>
            <w:tcBorders/>
          </w:tcPr>
          <w:p>
            <w:pPr>
              <w:keepNext/>
              <w:spacing w:before="10" w:after="10" w:line="240" w:lineRule="auto"/>
              <w:jc w:val="left"/>
            </w:pPr>
            <w:r>
              <w:rPr>
                <w:rFonts w:asciiTheme="minorHAnsi" w:hAnsiTheme="minorHAnsi" w:cstheme="minorHAnsi"/>
                <w:sz w:val="16"/>
                <w:szCs w:val="16"/>
              </w:rPr>
              <w:t xml:space="preserve">−1.37 (−7.0)</w:t>
            </w:r>
          </w:p>
        </w:tc>
        <w:tc>
          <w:tcPr>
            <w:tcW w:type="dxa" w:w="1865"/>
            <w:tcBorders/>
          </w:tcPr>
          <w:p>
            <w:pPr>
              <w:keepNext/>
              <w:spacing w:before="10" w:after="10" w:line="240" w:lineRule="auto"/>
              <w:jc w:val="left"/>
            </w:pPr>
            <w:r>
              <w:rPr>
                <w:rFonts w:asciiTheme="minorHAnsi" w:hAnsiTheme="minorHAnsi" w:cstheme="minorHAnsi"/>
                <w:sz w:val="16"/>
                <w:szCs w:val="16"/>
              </w:rPr>
              <w:t xml:space="preserve">−0.95 (−3.2)</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−0.15 (−0.4)</w:t>
            </w:r>
          </w:p>
        </w:tc>
        <w:tc>
          <w:tcPr>
            <w:tcW w:type="dxa" w:w="1865"/>
            <w:tcBorders/>
          </w:tcPr>
          <w:p>
            <w:pPr>
              <w:keepNext/>
              <w:spacing w:before="10" w:after="10" w:line="240" w:lineRule="auto"/>
              <w:jc w:val="left"/>
            </w:pPr>
            <w:r>
              <w:rPr>
                <w:rFonts w:asciiTheme="minorHAnsi" w:hAnsiTheme="minorHAnsi" w:cstheme="minorHAnsi"/>
                <w:sz w:val="16"/>
                <w:szCs w:val="16"/>
              </w:rPr>
              <w:t xml:space="preserve">0.64 (4.6)</w:t>
            </w:r>
          </w:p>
        </w:tc>
        <w:tc>
          <w:tcPr>
            <w:tcW w:type="dxa" w:w="1865"/>
            <w:tcBorders/>
          </w:tcPr>
          <w:p>
            <w:pPr>
              <w:keepNext/>
              <w:spacing w:before="10" w:after="10" w:line="240" w:lineRule="auto"/>
              <w:jc w:val="left"/>
            </w:pPr>
            <w:r>
              <w:rPr>
                <w:rFonts w:asciiTheme="minorHAnsi" w:hAnsiTheme="minorHAnsi" w:cstheme="minorHAnsi"/>
                <w:sz w:val="16"/>
                <w:szCs w:val="16"/>
              </w:rPr>
              <w:t xml:space="preserve">0.79 (2.0)</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−0.57 (−2.3)</w:t>
            </w:r>
          </w:p>
        </w:tc>
        <w:tc>
          <w:tcPr>
            <w:tcW w:type="dxa" w:w="1865"/>
            <w:tcBorders/>
          </w:tcPr>
          <w:p>
            <w:pPr>
              <w:keepNext/>
              <w:spacing w:before="10" w:after="10" w:line="240" w:lineRule="auto"/>
              <w:jc w:val="left"/>
            </w:pPr>
            <w:r>
              <w:rPr>
                <w:rFonts w:asciiTheme="minorHAnsi" w:hAnsiTheme="minorHAnsi" w:cstheme="minorHAnsi"/>
                <w:sz w:val="16"/>
                <w:szCs w:val="16"/>
              </w:rPr>
              <w:t xml:space="preserve">−0.78 (−5.0)</w:t>
            </w:r>
          </w:p>
        </w:tc>
        <w:tc>
          <w:tcPr>
            <w:tcW w:type="dxa" w:w="1865"/>
            <w:tcBorders/>
          </w:tcPr>
          <w:p>
            <w:pPr>
              <w:keepNext/>
              <w:spacing w:before="10" w:after="10" w:line="240" w:lineRule="auto"/>
              <w:jc w:val="left"/>
            </w:pPr>
            <w:r>
              <w:rPr>
                <w:rFonts w:asciiTheme="minorHAnsi" w:hAnsiTheme="minorHAnsi" w:cstheme="minorHAnsi"/>
                <w:sz w:val="16"/>
                <w:szCs w:val="16"/>
              </w:rPr>
              <w:t xml:space="preserve">−0.21 (−0.7)</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21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−1.73 (−4.7)</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−0.15 (−0.3)</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1.58 (2.5)</w:t>
            </w:r>
          </w:p>
        </w:tc>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891 / 1,217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Periods are split by the date of the opening that defines the gap; the difference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 treats the periods as independent.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5</w:t>
      </w:r>
      <w:r>
        <w:rPr>
          <w:rFonts w:asciiTheme="minorHAnsi" w:eastAsia="Georgia" w:hAnsiTheme="minorHAnsi" w:cstheme="minorHAnsi"/>
          <w:color w:val="000000"/>
          <w:sz w:val="18"/>
          <w:szCs w:val="18"/>
          <w:bdr w:val="nil"/>
          <w:lang w:val="hr-HR" w:eastAsia="es-MX"/>
        </w:rPr>
        <w:t xml:space="preserve"> Events and overnight gaps by calendar quarter</w:t>
      </w:r>
    </w:p>
    <w:tbl>
      <w:tblPr>
        <w:tblW w:type="pct" w:w="5000"/>
        <w:jc w:val="center"/>
        <w:tblLayout w:type="fixed"/>
      </w:tblPr>
      <w:tblGrid>
        <w:gridCol w:w="1758"/>
        <w:gridCol w:w="1758"/>
        <w:gridCol w:w="2462"/>
        <w:gridCol w:w="1582"/>
        <w:gridCol w:w="2637"/>
      </w:tblGrid>
      <w:tr>
        <w:trPr>
          <w:cantSplit/>
          <w:tblHeader w:val="true"/>
        </w:trPr>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Quarter</w:t>
            </w:r>
          </w:p>
        </w:tc>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events</w:t>
            </w:r>
          </w:p>
        </w:tc>
        <w:tc>
          <w:tcPr>
            <w:tcW w:type="dxa" w:w="24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gap</w:t>
            </w:r>
          </w:p>
        </w:tc>
        <w:tc>
          <w:tcPr>
            <w:tcW w:type="dxa" w:w="158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events</w:t>
            </w:r>
          </w:p>
        </w:tc>
        <w:tc>
          <w:tcPr>
            <w:tcW w:type="dxa" w:w="263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gap</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2024-Q4</w:t>
            </w:r>
          </w:p>
        </w:tc>
        <w:tc>
          <w:tcPr>
            <w:tcW w:type="dxa" w:w="1758"/>
            <w:tcBorders/>
          </w:tcPr>
          <w:p>
            <w:pPr>
              <w:keepNext/>
              <w:spacing w:before="10" w:after="10" w:line="240" w:lineRule="auto"/>
              <w:jc w:val="left"/>
            </w:pPr>
            <w:r>
              <w:rPr>
                <w:rFonts w:asciiTheme="minorHAnsi" w:hAnsiTheme="minorHAnsi" w:cstheme="minorHAnsi"/>
                <w:sz w:val="16"/>
                <w:szCs w:val="16"/>
              </w:rPr>
              <w:t xml:space="preserve">177</w:t>
            </w:r>
          </w:p>
        </w:tc>
        <w:tc>
          <w:tcPr>
            <w:tcW w:type="dxa" w:w="2462"/>
            <w:tcBorders/>
          </w:tcPr>
          <w:p>
            <w:pPr>
              <w:keepNext/>
              <w:spacing w:before="10" w:after="10" w:line="240" w:lineRule="auto"/>
              <w:jc w:val="left"/>
            </w:pPr>
            <w:r>
              <w:rPr>
                <w:rFonts w:asciiTheme="minorHAnsi" w:hAnsiTheme="minorHAnsi" w:cstheme="minorHAnsi"/>
                <w:sz w:val="16"/>
                <w:szCs w:val="16"/>
              </w:rPr>
              <w:t xml:space="preserve">2.16 (5.6)</w:t>
            </w:r>
          </w:p>
        </w:tc>
        <w:tc>
          <w:tcPr>
            <w:tcW w:type="dxa" w:w="1582"/>
            <w:tcBorders/>
          </w:tcPr>
          <w:p>
            <w:pPr>
              <w:keepNext/>
              <w:spacing w:before="10" w:after="10" w:line="240" w:lineRule="auto"/>
              <w:jc w:val="left"/>
            </w:pPr>
            <w:r>
              <w:rPr>
                <w:rFonts w:asciiTheme="minorHAnsi" w:hAnsiTheme="minorHAnsi" w:cstheme="minorHAnsi"/>
                <w:sz w:val="16"/>
                <w:szCs w:val="16"/>
              </w:rPr>
              <w:t xml:space="preserve">48</w:t>
            </w:r>
          </w:p>
        </w:tc>
        <w:tc>
          <w:tcPr>
            <w:tcW w:type="dxa" w:w="2637"/>
            <w:tcBorders/>
          </w:tcPr>
          <w:p>
            <w:pPr>
              <w:keepNext/>
              <w:spacing w:before="10" w:after="10" w:line="240" w:lineRule="auto"/>
              <w:jc w:val="left"/>
            </w:pPr>
            <w:r>
              <w:rPr>
                <w:rFonts w:asciiTheme="minorHAnsi" w:hAnsiTheme="minorHAnsi" w:cstheme="minorHAnsi"/>
                <w:sz w:val="16"/>
                <w:szCs w:val="16"/>
              </w:rPr>
              <w:t xml:space="preserve">−1.50 (−2.5)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2025-Q1</w:t>
            </w:r>
          </w:p>
        </w:tc>
        <w:tc>
          <w:tcPr>
            <w:tcW w:type="dxa" w:w="1758"/>
            <w:tcBorders/>
          </w:tcPr>
          <w:p>
            <w:pPr>
              <w:keepNext/>
              <w:spacing w:before="10" w:after="10" w:line="240" w:lineRule="auto"/>
              <w:jc w:val="left"/>
            </w:pPr>
            <w:r>
              <w:rPr>
                <w:rFonts w:asciiTheme="minorHAnsi" w:hAnsiTheme="minorHAnsi" w:cstheme="minorHAnsi"/>
                <w:sz w:val="16"/>
                <w:szCs w:val="16"/>
              </w:rPr>
              <w:t xml:space="preserve">295</w:t>
            </w:r>
          </w:p>
        </w:tc>
        <w:tc>
          <w:tcPr>
            <w:tcW w:type="dxa" w:w="2462"/>
            <w:tcBorders/>
          </w:tcPr>
          <w:p>
            <w:pPr>
              <w:keepNext/>
              <w:spacing w:before="10" w:after="10" w:line="240" w:lineRule="auto"/>
              <w:jc w:val="left"/>
            </w:pPr>
            <w:r>
              <w:rPr>
                <w:rFonts w:asciiTheme="minorHAnsi" w:hAnsiTheme="minorHAnsi" w:cstheme="minorHAnsi"/>
                <w:sz w:val="16"/>
                <w:szCs w:val="16"/>
              </w:rPr>
              <w:t xml:space="preserve">2.78 (9.1)</w:t>
            </w:r>
          </w:p>
        </w:tc>
        <w:tc>
          <w:tcPr>
            <w:tcW w:type="dxa" w:w="1582"/>
            <w:tcBorders/>
          </w:tcPr>
          <w:p>
            <w:pPr>
              <w:keepNext/>
              <w:spacing w:before="10" w:after="10" w:line="240" w:lineRule="auto"/>
              <w:jc w:val="left"/>
            </w:pPr>
            <w:r>
              <w:rPr>
                <w:rFonts w:asciiTheme="minorHAnsi" w:hAnsiTheme="minorHAnsi" w:cstheme="minorHAnsi"/>
                <w:sz w:val="16"/>
                <w:szCs w:val="16"/>
              </w:rPr>
              <w:t xml:space="preserve">79</w:t>
            </w:r>
          </w:p>
        </w:tc>
        <w:tc>
          <w:tcPr>
            <w:tcW w:type="dxa" w:w="2637"/>
            <w:tcBorders/>
          </w:tcPr>
          <w:p>
            <w:pPr>
              <w:keepNext/>
              <w:spacing w:before="10" w:after="10" w:line="240" w:lineRule="auto"/>
              <w:jc w:val="left"/>
            </w:pPr>
            <w:r>
              <w:rPr>
                <w:rFonts w:asciiTheme="minorHAnsi" w:hAnsiTheme="minorHAnsi" w:cstheme="minorHAnsi"/>
                <w:sz w:val="16"/>
                <w:szCs w:val="16"/>
              </w:rPr>
              <w:t xml:space="preserve">−1.70 (−3.9)</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2025-Q2</w:t>
            </w:r>
          </w:p>
        </w:tc>
        <w:tc>
          <w:tcPr>
            <w:tcW w:type="dxa" w:w="1758"/>
            <w:tcBorders/>
          </w:tcPr>
          <w:p>
            <w:pPr>
              <w:keepNext/>
              <w:spacing w:before="10" w:after="10" w:line="240" w:lineRule="auto"/>
              <w:jc w:val="left"/>
            </w:pPr>
            <w:r>
              <w:rPr>
                <w:rFonts w:asciiTheme="minorHAnsi" w:hAnsiTheme="minorHAnsi" w:cstheme="minorHAnsi"/>
                <w:sz w:val="16"/>
                <w:szCs w:val="16"/>
              </w:rPr>
              <w:t xml:space="preserve">686</w:t>
            </w:r>
          </w:p>
        </w:tc>
        <w:tc>
          <w:tcPr>
            <w:tcW w:type="dxa" w:w="2462"/>
            <w:tcBorders/>
          </w:tcPr>
          <w:p>
            <w:pPr>
              <w:keepNext/>
              <w:spacing w:before="10" w:after="10" w:line="240" w:lineRule="auto"/>
              <w:jc w:val="left"/>
            </w:pPr>
            <w:r>
              <w:rPr>
                <w:rFonts w:asciiTheme="minorHAnsi" w:hAnsiTheme="minorHAnsi" w:cstheme="minorHAnsi"/>
                <w:sz w:val="16"/>
                <w:szCs w:val="16"/>
              </w:rPr>
              <w:t xml:space="preserve">1.33 (2.5)</w:t>
            </w:r>
          </w:p>
        </w:tc>
        <w:tc>
          <w:tcPr>
            <w:tcW w:type="dxa" w:w="1582"/>
            <w:tcBorders/>
          </w:tcPr>
          <w:p>
            <w:pPr>
              <w:keepNext/>
              <w:spacing w:before="10" w:after="10" w:line="240" w:lineRule="auto"/>
              <w:jc w:val="left"/>
            </w:pPr>
            <w:r>
              <w:rPr>
                <w:rFonts w:asciiTheme="minorHAnsi" w:hAnsiTheme="minorHAnsi" w:cstheme="minorHAnsi"/>
                <w:sz w:val="16"/>
                <w:szCs w:val="16"/>
              </w:rPr>
              <w:t xml:space="preserve">802</w:t>
            </w:r>
          </w:p>
        </w:tc>
        <w:tc>
          <w:tcPr>
            <w:tcW w:type="dxa" w:w="2637"/>
            <w:tcBorders/>
          </w:tcPr>
          <w:p>
            <w:pPr>
              <w:keepNext/>
              <w:spacing w:before="10" w:after="10" w:line="240" w:lineRule="auto"/>
              <w:jc w:val="left"/>
            </w:pPr>
            <w:r>
              <w:rPr>
                <w:rFonts w:asciiTheme="minorHAnsi" w:hAnsiTheme="minorHAnsi" w:cstheme="minorHAnsi"/>
                <w:sz w:val="16"/>
                <w:szCs w:val="16"/>
              </w:rPr>
              <w:t xml:space="preserve">−0.34 (−1.5)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2025-Q3</w:t>
            </w:r>
          </w:p>
        </w:tc>
        <w:tc>
          <w:tcPr>
            <w:tcW w:type="dxa" w:w="1758"/>
            <w:tcBorders/>
          </w:tcPr>
          <w:p>
            <w:pPr>
              <w:keepNext/>
              <w:spacing w:before="10" w:after="10" w:line="240" w:lineRule="auto"/>
              <w:jc w:val="left"/>
            </w:pPr>
            <w:r>
              <w:rPr>
                <w:rFonts w:asciiTheme="minorHAnsi" w:hAnsiTheme="minorHAnsi" w:cstheme="minorHAnsi"/>
                <w:sz w:val="16"/>
                <w:szCs w:val="16"/>
              </w:rPr>
              <w:t xml:space="preserve">624</w:t>
            </w:r>
          </w:p>
        </w:tc>
        <w:tc>
          <w:tcPr>
            <w:tcW w:type="dxa" w:w="2462"/>
            <w:tcBorders/>
          </w:tcPr>
          <w:p>
            <w:pPr>
              <w:keepNext/>
              <w:spacing w:before="10" w:after="10" w:line="240" w:lineRule="auto"/>
              <w:jc w:val="left"/>
            </w:pPr>
            <w:r>
              <w:rPr>
                <w:rFonts w:asciiTheme="minorHAnsi" w:hAnsiTheme="minorHAnsi" w:cstheme="minorHAnsi"/>
                <w:sz w:val="16"/>
                <w:szCs w:val="16"/>
              </w:rPr>
              <w:t xml:space="preserve">2.99 (16.8)</w:t>
            </w:r>
          </w:p>
        </w:tc>
        <w:tc>
          <w:tcPr>
            <w:tcW w:type="dxa" w:w="1582"/>
            <w:tcBorders/>
          </w:tcPr>
          <w:p>
            <w:pPr>
              <w:keepNext/>
              <w:spacing w:before="10" w:after="10" w:line="240" w:lineRule="auto"/>
              <w:jc w:val="left"/>
            </w:pPr>
            <w:r>
              <w:rPr>
                <w:rFonts w:asciiTheme="minorHAnsi" w:hAnsiTheme="minorHAnsi" w:cstheme="minorHAnsi"/>
                <w:sz w:val="16"/>
                <w:szCs w:val="16"/>
              </w:rPr>
              <w:t xml:space="preserve">195</w:t>
            </w:r>
          </w:p>
        </w:tc>
        <w:tc>
          <w:tcPr>
            <w:tcW w:type="dxa" w:w="2637"/>
            <w:tcBorders/>
          </w:tcPr>
          <w:p>
            <w:pPr>
              <w:keepNext/>
              <w:spacing w:before="10" w:after="10" w:line="240" w:lineRule="auto"/>
              <w:jc w:val="left"/>
            </w:pPr>
            <w:r>
              <w:rPr>
                <w:rFonts w:asciiTheme="minorHAnsi" w:hAnsiTheme="minorHAnsi" w:cstheme="minorHAnsi"/>
                <w:sz w:val="16"/>
                <w:szCs w:val="16"/>
              </w:rPr>
              <w:t xml:space="preserve">−0.86 (−4.1)</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2025-Q4</w:t>
            </w:r>
          </w:p>
        </w:tc>
        <w:tc>
          <w:tcPr>
            <w:tcW w:type="dxa" w:w="1758"/>
            <w:tcBorders/>
          </w:tcPr>
          <w:p>
            <w:pPr>
              <w:keepNext/>
              <w:spacing w:before="10" w:after="10" w:line="240" w:lineRule="auto"/>
              <w:jc w:val="left"/>
            </w:pPr>
            <w:r>
              <w:rPr>
                <w:rFonts w:asciiTheme="minorHAnsi" w:hAnsiTheme="minorHAnsi" w:cstheme="minorHAnsi"/>
                <w:sz w:val="16"/>
                <w:szCs w:val="16"/>
              </w:rPr>
              <w:t xml:space="preserve">426</w:t>
            </w:r>
          </w:p>
        </w:tc>
        <w:tc>
          <w:tcPr>
            <w:tcW w:type="dxa" w:w="2462"/>
            <w:tcBorders/>
          </w:tcPr>
          <w:p>
            <w:pPr>
              <w:keepNext/>
              <w:spacing w:before="10" w:after="10" w:line="240" w:lineRule="auto"/>
              <w:jc w:val="left"/>
            </w:pPr>
            <w:r>
              <w:rPr>
                <w:rFonts w:asciiTheme="minorHAnsi" w:hAnsiTheme="minorHAnsi" w:cstheme="minorHAnsi"/>
                <w:sz w:val="16"/>
                <w:szCs w:val="16"/>
              </w:rPr>
              <w:t xml:space="preserve">2.64 (7.4)</w:t>
            </w:r>
          </w:p>
        </w:tc>
        <w:tc>
          <w:tcPr>
            <w:tcW w:type="dxa" w:w="1582"/>
            <w:tcBorders/>
          </w:tcPr>
          <w:p>
            <w:pPr>
              <w:keepNext/>
              <w:spacing w:before="10" w:after="10" w:line="240" w:lineRule="auto"/>
              <w:jc w:val="left"/>
            </w:pPr>
            <w:r>
              <w:rPr>
                <w:rFonts w:asciiTheme="minorHAnsi" w:hAnsiTheme="minorHAnsi" w:cstheme="minorHAnsi"/>
                <w:sz w:val="16"/>
                <w:szCs w:val="16"/>
              </w:rPr>
              <w:t xml:space="preserve">280</w:t>
            </w:r>
          </w:p>
        </w:tc>
        <w:tc>
          <w:tcPr>
            <w:tcW w:type="dxa" w:w="2637"/>
            <w:tcBorders/>
          </w:tcPr>
          <w:p>
            <w:pPr>
              <w:keepNext/>
              <w:spacing w:before="10" w:after="10" w:line="240" w:lineRule="auto"/>
              <w:jc w:val="left"/>
            </w:pPr>
            <w:r>
              <w:rPr>
                <w:rFonts w:asciiTheme="minorHAnsi" w:hAnsiTheme="minorHAnsi" w:cstheme="minorHAnsi"/>
                <w:sz w:val="16"/>
                <w:szCs w:val="16"/>
              </w:rPr>
              <w:t xml:space="preserve">−1.39 (−2.4)</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2026-Q1</w:t>
            </w:r>
          </w:p>
        </w:tc>
        <w:tc>
          <w:tcPr>
            <w:tcW w:type="dxa" w:w="1758"/>
            <w:tcBorders/>
          </w:tcPr>
          <w:p>
            <w:pPr>
              <w:keepNext/>
              <w:spacing w:before="10" w:after="10" w:line="240" w:lineRule="auto"/>
              <w:jc w:val="left"/>
            </w:pPr>
            <w:r>
              <w:rPr>
                <w:rFonts w:asciiTheme="minorHAnsi" w:hAnsiTheme="minorHAnsi" w:cstheme="minorHAnsi"/>
                <w:sz w:val="16"/>
                <w:szCs w:val="16"/>
              </w:rPr>
              <w:t xml:space="preserve">455</w:t>
            </w:r>
          </w:p>
        </w:tc>
        <w:tc>
          <w:tcPr>
            <w:tcW w:type="dxa" w:w="2462"/>
            <w:tcBorders/>
          </w:tcPr>
          <w:p>
            <w:pPr>
              <w:keepNext/>
              <w:spacing w:before="10" w:after="10" w:line="240" w:lineRule="auto"/>
              <w:jc w:val="left"/>
            </w:pPr>
            <w:r>
              <w:rPr>
                <w:rFonts w:asciiTheme="minorHAnsi" w:hAnsiTheme="minorHAnsi" w:cstheme="minorHAnsi"/>
                <w:sz w:val="16"/>
                <w:szCs w:val="16"/>
              </w:rPr>
              <w:t xml:space="preserve">2.35 (10.4)</w:t>
            </w:r>
          </w:p>
        </w:tc>
        <w:tc>
          <w:tcPr>
            <w:tcW w:type="dxa" w:w="1582"/>
            <w:tcBorders/>
          </w:tcPr>
          <w:p>
            <w:pPr>
              <w:keepNext/>
              <w:spacing w:before="10" w:after="10" w:line="240" w:lineRule="auto"/>
              <w:jc w:val="left"/>
            </w:pPr>
            <w:r>
              <w:rPr>
                <w:rFonts w:asciiTheme="minorHAnsi" w:hAnsiTheme="minorHAnsi" w:cstheme="minorHAnsi"/>
                <w:sz w:val="16"/>
                <w:szCs w:val="16"/>
              </w:rPr>
              <w:t xml:space="preserve">433</w:t>
            </w:r>
          </w:p>
        </w:tc>
        <w:tc>
          <w:tcPr>
            <w:tcW w:type="dxa" w:w="2637"/>
            <w:tcBorders/>
          </w:tcPr>
          <w:p>
            <w:pPr>
              <w:keepNext/>
              <w:spacing w:before="10" w:after="10" w:line="240" w:lineRule="auto"/>
              <w:jc w:val="left"/>
            </w:pPr>
            <w:r>
              <w:rPr>
                <w:rFonts w:asciiTheme="minorHAnsi" w:hAnsiTheme="minorHAnsi" w:cstheme="minorHAnsi"/>
                <w:sz w:val="16"/>
                <w:szCs w:val="16"/>
              </w:rPr>
              <w:t xml:space="preserve">−1.39 (−7.8)</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2026-Q2</w:t>
            </w:r>
          </w:p>
        </w:tc>
        <w:tc>
          <w:tcPr>
            <w:tcW w:type="dxa" w:w="1758"/>
            <w:tcBorders/>
          </w:tcPr>
          <w:p>
            <w:pPr>
              <w:keepNext/>
              <w:spacing w:before="10" w:after="10" w:line="240" w:lineRule="auto"/>
              <w:jc w:val="left"/>
            </w:pPr>
            <w:r>
              <w:rPr>
                <w:rFonts w:asciiTheme="minorHAnsi" w:hAnsiTheme="minorHAnsi" w:cstheme="minorHAnsi"/>
                <w:sz w:val="16"/>
                <w:szCs w:val="16"/>
              </w:rPr>
              <w:t xml:space="preserve">297</w:t>
            </w:r>
          </w:p>
        </w:tc>
        <w:tc>
          <w:tcPr>
            <w:tcW w:type="dxa" w:w="2462"/>
            <w:tcBorders/>
          </w:tcPr>
          <w:p>
            <w:pPr>
              <w:keepNext/>
              <w:spacing w:before="10" w:after="10" w:line="240" w:lineRule="auto"/>
              <w:jc w:val="left"/>
            </w:pPr>
            <w:r>
              <w:rPr>
                <w:rFonts w:asciiTheme="minorHAnsi" w:hAnsiTheme="minorHAnsi" w:cstheme="minorHAnsi"/>
                <w:sz w:val="16"/>
                <w:szCs w:val="16"/>
              </w:rPr>
              <w:t xml:space="preserve">2.08 (7.0)</w:t>
            </w:r>
          </w:p>
        </w:tc>
        <w:tc>
          <w:tcPr>
            <w:tcW w:type="dxa" w:w="1582"/>
            <w:tcBorders/>
          </w:tcPr>
          <w:p>
            <w:pPr>
              <w:keepNext/>
              <w:spacing w:before="10" w:after="10" w:line="240" w:lineRule="auto"/>
              <w:jc w:val="left"/>
            </w:pPr>
            <w:r>
              <w:rPr>
                <w:rFonts w:asciiTheme="minorHAnsi" w:hAnsiTheme="minorHAnsi" w:cstheme="minorHAnsi"/>
                <w:sz w:val="16"/>
                <w:szCs w:val="16"/>
              </w:rPr>
              <w:t xml:space="preserve">99</w:t>
            </w:r>
          </w:p>
        </w:tc>
        <w:tc>
          <w:tcPr>
            <w:tcW w:type="dxa" w:w="2637"/>
            <w:tcBorders/>
          </w:tcPr>
          <w:p>
            <w:pPr>
              <w:keepNext/>
              <w:spacing w:before="10" w:after="10" w:line="240" w:lineRule="auto"/>
              <w:jc w:val="left"/>
            </w:pPr>
            <w:r>
              <w:rPr>
                <w:rFonts w:asciiTheme="minorHAnsi" w:hAnsiTheme="minorHAnsi" w:cstheme="minorHAnsi"/>
                <w:sz w:val="16"/>
                <w:szCs w:val="16"/>
              </w:rPr>
              <w:t xml:space="preserve">−1.46 (−3.3)</w:t>
            </w:r>
          </w:p>
        </w:tc>
      </w:tr>
      <w:tr>
        <w:trPr>
          <w:cantSplit/>
        </w:trPr>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2026-Q3</w:t>
            </w:r>
          </w:p>
        </w:tc>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239</w:t>
            </w:r>
          </w:p>
        </w:tc>
        <w:tc>
          <w:tcPr>
            <w:tcW w:type="dxa" w:w="24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1.61 (5.4)</w:t>
            </w:r>
          </w:p>
        </w:tc>
        <w:tc>
          <w:tcPr>
            <w:tcW w:type="dxa" w:w="158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175</w:t>
            </w:r>
          </w:p>
        </w:tc>
        <w:tc>
          <w:tcPr>
            <w:tcW w:type="dxa" w:w="2637"/>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−1.55 (−2.8)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Market-adjusted gaps in 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Counts are events with a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The first and last quarters are partial; the KRX change falls in 2025-Q2.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6</w:t>
      </w:r>
      <w:r>
        <w:rPr>
          <w:rFonts w:asciiTheme="minorHAnsi" w:eastAsia="Georgia" w:hAnsiTheme="minorHAnsi" w:cstheme="minorHAnsi"/>
          <w:color w:val="000000"/>
          <w:sz w:val="18"/>
          <w:szCs w:val="18"/>
          <w:bdr w:val="nil"/>
          <w:lang w:val="hr-HR" w:eastAsia="es-MX"/>
        </w:rPr>
        <w:t xml:space="preserve"> Comparison with earlier studies</w:t>
      </w:r>
    </w:p>
    <w:tbl>
      <w:tblPr>
        <w:tblW w:type="pct" w:w="5000"/>
        <w:jc w:val="center"/>
        <w:tblLayout w:type="fixed"/>
      </w:tblPr>
      <w:tblGrid>
        <w:gridCol w:w="2562"/>
        <w:gridCol w:w="1607"/>
        <w:gridCol w:w="3014"/>
        <w:gridCol w:w="3014"/>
      </w:tblGrid>
      <w:tr>
        <w:trPr>
          <w:cantSplit/>
          <w:tblHeader w:val="true"/>
        </w:trPr>
        <w:tc>
          <w:tcPr>
            <w:tcW w:type="dxa" w:w="25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Study</w:t>
            </w:r>
          </w:p>
        </w:tc>
        <w:tc>
          <w:tcPr>
            <w:tcW w:type="dxa" w:w="160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Setting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Reported finding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Relation to our result</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Kim and Rhee (1997)</w:t>
            </w:r>
          </w:p>
        </w:tc>
        <w:tc>
          <w:tcPr>
            <w:tcW w:type="dxa" w:w="1607"/>
            <w:tcBorders/>
          </w:tcPr>
          <w:p>
            <w:pPr>
              <w:keepNext/>
              <w:spacing w:before="10" w:after="10" w:line="240" w:lineRule="auto"/>
              <w:jc w:val="left"/>
            </w:pPr>
            <w:r>
              <w:rPr>
                <w:rFonts w:asciiTheme="minorHAnsi" w:hAnsiTheme="minorHAnsi" w:cstheme="minorHAnsi"/>
                <w:sz w:val="16"/>
                <w:szCs w:val="16"/>
              </w:rPr>
              <w:t xml:space="preserve">Tokyo, 1989–1992;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continuation after limit hits in 65% (upper) and 49% (lower) of cases, against 50% and 32% for stocks reaching 90% of the limit; volatility spillover and trading interference</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direction: the overnight move is larger at the limit than near it; we measure its size, not its frequency; spillover and interference not tested</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and Lee (2002)</w:t>
            </w:r>
          </w:p>
        </w:tc>
        <w:tc>
          <w:tcPr>
            <w:tcW w:type="dxa" w:w="1607"/>
            <w:tcBorders/>
          </w:tcPr>
          <w:p>
            <w:pPr>
              <w:keepNext/>
              <w:spacing w:before="10" w:after="10" w:line="240" w:lineRule="auto"/>
              <w:jc w:val="left"/>
            </w:pPr>
            <w:r>
              <w:rPr>
                <w:rFonts w:asciiTheme="minorHAnsi" w:hAnsiTheme="minorHAnsi" w:cstheme="minorHAnsi"/>
                <w:sz w:val="16"/>
                <w:szCs w:val="16"/>
              </w:rPr>
              <w:t xml:space="preserve">Korea; limit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and trading activity around the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question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Huang et al. (2001)</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1990–1996; 7% band</w:t>
            </w:r>
          </w:p>
        </w:tc>
        <w:tc>
          <w:tcPr>
            <w:tcW w:type="dxa" w:w="3014"/>
            <w:tcBorders/>
          </w:tcPr>
          <w:p>
            <w:pPr>
              <w:keepNext/>
              <w:spacing w:before="10" w:after="10" w:line="240" w:lineRule="auto"/>
              <w:jc w:val="left"/>
            </w:pPr>
            <w:r>
              <w:rPr>
                <w:rFonts w:asciiTheme="minorHAnsi" w:hAnsiTheme="minorHAnsi" w:cstheme="minorHAnsi"/>
                <w:sz w:val="16"/>
                <w:szCs w:val="16"/>
              </w:rPr>
              <w:t xml:space="preserve">One-day up-limit closes: +1.18% overnight, −0.77% in the next session; near-limit rises: +0.23% and −0.72%; down-limit closes: −2.17% and +1.24%</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timing; our ceiling gap (2.24%) is larger, and the session reverses a smaller share (24% against about two thirds)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Cho et al. (2003)</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five-minute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Prices accelerate toward the upper limit</w:t>
            </w:r>
          </w:p>
        </w:tc>
        <w:tc>
          <w:tcPr>
            <w:tcW w:type="dxa" w:w="3014"/>
            <w:tcBorders/>
          </w:tcPr>
          <w:p>
            <w:pPr>
              <w:keepNext/>
              <w:spacing w:before="10" w:after="10" w:line="240" w:lineRule="auto"/>
              <w:jc w:val="left"/>
            </w:pPr>
            <w:r>
              <w:rPr>
                <w:rFonts w:asciiTheme="minorHAnsi" w:hAnsiTheme="minorHAnsi" w:cstheme="minorHAnsi"/>
                <w:sz w:val="16"/>
                <w:szCs w:val="16"/>
              </w:rPr>
              <w:t xml:space="preserve">Not tested; no intraday prices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Chen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Shenzhen; accounts</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investors buy on the limit day and sell the next; their net buying predicts long-run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Consistent with our intraday reversal; no account identities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 (2023)</w:t>
            </w:r>
          </w:p>
        </w:tc>
        <w:tc>
          <w:tcPr>
            <w:tcW w:type="dxa" w:w="1607"/>
            <w:tcBorders/>
          </w:tcPr>
          <w:p>
            <w:pPr>
              <w:keepNext/>
              <w:spacing w:before="10" w:after="10" w:line="240" w:lineRule="auto"/>
              <w:jc w:val="left"/>
            </w:pPr>
            <w:r>
              <w:rPr>
                <w:rFonts w:asciiTheme="minorHAnsi" w:hAnsiTheme="minorHAnsi" w:cstheme="minorHAnsi"/>
                <w:sz w:val="16"/>
                <w:szCs w:val="16"/>
              </w:rPr>
              <w:t xml:space="preserve">ChiNext, 2020–2021; band 10% to 20%</w:t>
            </w:r>
          </w:p>
        </w:tc>
        <w:tc>
          <w:tcPr>
            <w:tcW w:type="dxa" w:w="3014"/>
            <w:tcBorders/>
          </w:tcPr>
          <w:p>
            <w:pPr>
              <w:keepNext/>
              <w:spacing w:before="10" w:after="10" w:line="240" w:lineRule="auto"/>
              <w:jc w:val="left"/>
            </w:pPr>
            <w:r>
              <w:rPr>
                <w:rFonts w:asciiTheme="minorHAnsi" w:hAnsiTheme="minorHAnsi" w:cstheme="minorHAnsi"/>
                <w:sz w:val="16"/>
                <w:szCs w:val="16"/>
              </w:rPr>
              <w:t xml:space="preserve">Day-1 abnormal return +0.24% after upper-limit closes and −3.37% after lower-limit closes under the 10% band; spillover and interference, stronger at the lower limit; no magnet effect</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asymmetry: our day-</w:t>
            </w:r>
            <w:r>
              <w:rPr>
                <w:rFonts w:asciiTheme="minorHAnsi" w:hAnsiTheme="minorHAnsi" w:cstheme="minorHAnsi"/>
                <w:i/>
                <w:iCs/>
                <w:sz w:val="16"/>
                <w:szCs w:val="16"/>
              </w:rPr>
              <w:t xml:space="preserve">d</w:t>
            </w:r>
            <w:r>
              <w:rPr>
                <w:rFonts w:asciiTheme="minorHAnsi" w:hAnsiTheme="minorHAnsi" w:cstheme="minorHAnsi"/>
                <w:sz w:val="16"/>
                <w:szCs w:val="16"/>
              </w:rPr>
              <w:t xml:space="preserve">+1 return is 1.66% after ceiling and −0.71% after floor closes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Lin et al. (2023); Zeng et al. (2024)</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cross-section</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limit exposure or frequent upper-limit hits predict lower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horizon; a one-day gain can coexist with later reversal, which we do not measure</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et al. (2012)</w:t>
            </w:r>
          </w:p>
        </w:tc>
        <w:tc>
          <w:tcPr>
            <w:tcW w:type="dxa" w:w="1607"/>
            <w:tcBorders/>
          </w:tcPr>
          <w:p>
            <w:pPr>
              <w:keepNext/>
              <w:spacing w:before="10" w:after="10" w:line="240" w:lineRule="auto"/>
              <w:jc w:val="left"/>
            </w:pPr>
            <w:r>
              <w:rPr>
                <w:rFonts w:asciiTheme="minorHAnsi" w:hAnsiTheme="minorHAnsi" w:cstheme="minorHAnsi"/>
                <w:sz w:val="16"/>
                <w:szCs w:val="16"/>
              </w:rPr>
              <w:t xml:space="preserve">U.S.; intraday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gains, intraday reversals, concentrated in high-attention stocks</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signs; the gap also rises with volume and prior return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Lou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U.S.; stock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and intraday continuation, offsetting cross-period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Gap-then-reversal has the sign of that cross-period reversal at one day</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Qiao and Dam (2020)</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A-shares</w:t>
            </w:r>
          </w:p>
        </w:tc>
        <w:tc>
          <w:tcPr>
            <w:tcW w:type="dxa" w:w="3014"/>
            <w:tcBorders/>
          </w:tcPr>
          <w:p>
            <w:pPr>
              <w:keepNext/>
              <w:spacing w:before="10" w:after="10" w:line="240" w:lineRule="auto"/>
              <w:jc w:val="left"/>
            </w:pPr>
            <w:r>
              <w:rPr>
                <w:rFonts w:asciiTheme="minorHAnsi" w:hAnsiTheme="minorHAnsi" w:cstheme="minorHAnsi"/>
                <w:sz w:val="16"/>
                <w:szCs w:val="16"/>
              </w:rPr>
              <w:t xml:space="preserve">Negative average overnight return; T+1 rule lowers opening prices</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sign: positive overnight return after ceiling closes</w:t>
            </w:r>
          </w:p>
        </w:tc>
      </w:tr>
      <w:tr>
        <w:trPr>
          <w:cantSplit/>
        </w:trPr>
        <w:tc>
          <w:tcPr>
            <w:tcW w:type="dxa" w:w="25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Hou et al. (2020); Harvey et al. (2016)</w:t>
            </w:r>
          </w:p>
        </w:tc>
        <w:tc>
          <w:tcPr>
            <w:tcW w:type="dxa" w:w="1607"/>
            <w:tcBorders>
              <w:bottom w:val="single" w:sz="8" w:space="0" w:color="000000"/>
            </w:tcBorders>
          </w:tcPr>
          <w:p>
            <w:pPr>
              <w:spacing w:before="10" w:after="10" w:line="240" w:lineRule="auto"/>
              <w:jc w:val="left"/>
            </w:pPr>
            <w:r>
              <w:rPr>
                <w:rFonts w:asciiTheme="minorHAnsi" w:hAnsiTheme="minorHAnsi" w:cstheme="minorHAnsi"/>
                <w:sz w:val="16"/>
                <w:szCs w:val="16"/>
              </w:rPr>
              <w:t xml:space="preserve">U.S.; anomalies</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With microcaps mitigated, 65% of 452 anomalies fail the 1.96 hurdle; a new factor needs</w:t>
            </w:r>
            <w:r>
              <w:rPr>
                <w:rFonts w:asciiTheme="minorHAnsi" w:hAnsiTheme="minorHAnsi" w:cstheme="minorHAnsi"/>
                <w:sz w:val="16"/>
                <w:szCs w:val="16"/>
              </w:rPr>
              <w:t xml:space="preserve"> </w:t>
            </w: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above 3.0</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None of our 22 characteristics reaches 1.96 in the full sample</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Entries for Kim and Rhee (1997), Huang et al. (2001), and Qi (2023) report results from the full texts; the other entries summarize each study’s abstract.</w:t>
      </w:r>
    </w:p>
    <w:sectPr w:rsidR="006F2D9E" w:rsidRPr="006F2D9E" w:rsidSect="001E3F3A">
      <w:type w:val="continuous"/>
      <w:pgSz w:w="11906" w:h="16838"/>
      <w:pgMar w:top="1418" w:right="849" w:bottom="1418" w:left="851" w:header="709" w:footer="709" w:gutter="0"/>
      <w:lnNumType w:countBy="1" w:restart="continuous"/>
      <w:cols w:space="3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93B8A" w14:textId="77777777" w:rsidR="00570226" w:rsidRDefault="00570226" w:rsidP="00201BED">
      <w:pPr>
        <w:spacing w:after="0" w:line="240" w:lineRule="auto"/>
      </w:pPr>
      <w:r>
        <w:separator/>
      </w:r>
    </w:p>
  </w:endnote>
  <w:endnote w:type="continuationSeparator" w:id="0">
    <w:p w14:paraId="53D39E30" w14:textId="77777777" w:rsidR="00570226" w:rsidRDefault="00570226" w:rsidP="0020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RSKHIL+WarnockPro-Regular">
    <w:altName w:val="Times New Roman"/>
    <w:panose1 w:val="020B0604020202020204"/>
    <w:charset w:val="00"/>
    <w:family w:val="roman"/>
    <w:notTrueType/>
    <w:pitch w:val="default"/>
    <w:sig w:usb0="00000003" w:usb1="00000000" w:usb2="00000000" w:usb3="00000000" w:csb0="00000001" w:csb1="00000000"/>
  </w:font>
  <w:font w:name="DejaVu Sans">
    <w:panose1 w:val="020B0604020202020204"/>
    <w:charset w:val="00"/>
    <w:family w:val="swiss"/>
    <w:pitch w:val="variable"/>
    <w:sig w:usb0="E7000EFF" w:usb1="5200F5FF" w:usb2="0A242021" w:usb3="00000000" w:csb0="000001BF" w:csb1="00000000"/>
  </w:font>
  <w:font w:name="TimesNewRomanPSMT">
    <w:altName w:val="Times New Roman"/>
    <w:panose1 w:val="020B0604020202020204"/>
    <w:charset w:val="00"/>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Helvetica Neue">
    <w:altName w:val="Arial"/>
    <w:panose1 w:val="02000503000000020004"/>
    <w:charset w:val="00"/>
    <w:family w:val="auto"/>
    <w:pitch w:val="variable"/>
    <w:sig w:usb0="E50002FF" w:usb1="500079DB" w:usb2="00000010" w:usb3="00000000" w:csb0="0000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5B43" w14:textId="4DA9117E" w:rsidR="005705D6" w:rsidRDefault="006E7F0C" w:rsidP="0040758B">
    <w:pPr>
      <w:pStyle w:val="Rodap"/>
      <w:tabs>
        <w:tab w:val="clear" w:pos="4252"/>
        <w:tab w:val="clear" w:pos="8504"/>
        <w:tab w:val="left" w:pos="6969"/>
      </w:tabs>
    </w:pPr>
    <w:r w:rsidRPr="00047AD1">
      <w:rPr>
        <w:noProof/>
        <w:color w:val="0070C0"/>
        <w:sz w:val="20"/>
        <w:lang w:eastAsia="pt-BR"/>
      </w:rPr>
      <w:drawing>
        <wp:anchor distT="0" distB="0" distL="114300" distR="114300" simplePos="0" relativeHeight="251711488" behindDoc="1" locked="0" layoutInCell="1" allowOverlap="1" wp14:anchorId="6A10E517" wp14:editId="127DFA18">
          <wp:simplePos x="0" y="0"/>
          <wp:positionH relativeFrom="column">
            <wp:posOffset>6233491</wp:posOffset>
          </wp:positionH>
          <wp:positionV relativeFrom="paragraph">
            <wp:posOffset>-195580</wp:posOffset>
          </wp:positionV>
          <wp:extent cx="193040" cy="187325"/>
          <wp:effectExtent l="0" t="0" r="0" b="3175"/>
          <wp:wrapNone/>
          <wp:docPr id="1442428094" name="Imagem 1442428094">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r w:rsidR="005705D6">
      <w:rPr>
        <w:noProof/>
        <w:lang w:eastAsia="pt-BR"/>
      </w:rPr>
      <mc:AlternateContent>
        <mc:Choice Requires="wps">
          <w:drawing>
            <wp:anchor distT="0" distB="0" distL="114300" distR="114300" simplePos="0" relativeHeight="251707392" behindDoc="0" locked="0" layoutInCell="1" allowOverlap="1" wp14:anchorId="648CBBA5" wp14:editId="76F3EF6D">
              <wp:simplePos x="0" y="0"/>
              <wp:positionH relativeFrom="column">
                <wp:posOffset>-47404</wp:posOffset>
              </wp:positionH>
              <wp:positionV relativeFrom="paragraph">
                <wp:posOffset>-171726</wp:posOffset>
              </wp:positionV>
              <wp:extent cx="2107096" cy="238836"/>
              <wp:effectExtent l="0" t="0" r="7620" b="8890"/>
              <wp:wrapNone/>
              <wp:docPr id="2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7096" cy="23883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4C6F6" w14:textId="77777777" w:rsidR="00225D49" w:rsidRPr="00B33510" w:rsidRDefault="00570226" w:rsidP="00225D49">
                          <w:pPr>
                            <w:rPr>
                              <w:rFonts w:cs="Calibri"/>
                              <w:color w:val="A6A6A6" w:themeColor="background1" w:themeShade="A6"/>
                              <w:sz w:val="16"/>
                              <w:szCs w:val="16"/>
                            </w:rPr>
                          </w:pPr>
                          <w:hyperlink r:id="rId3"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648CBBA5" id="_x0000_t202" coordsize="21600,21600" o:spt="202" path="m,l,21600r21600,l21600,xe">
              <v:stroke joinstyle="miter"/>
              <v:path gradientshapeok="t" o:connecttype="rect"/>
            </v:shapetype>
            <v:shape id="_x0000_s1029" type="#_x0000_t202" style="position:absolute;margin-left:-3.75pt;margin-top:-13.5pt;width:165.9pt;height:18.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" stroked="f">
              <v:textbox>
                <w:txbxContent>
                  <w:p w14:paraId="4C44C6F6" w14:textId="77777777" w:rsidR="00225D49" w:rsidRPr="00B33510" w:rsidRDefault="00000000" w:rsidP="00225D49">
                    <w:pPr>
                      <w:rPr>
                        <w:rFonts w:cs="Calibri"/>
                        <w:color w:val="A6A6A6" w:themeColor="background1" w:themeShade="A6"/>
                        <w:sz w:val="16"/>
                        <w:szCs w:val="16"/>
                      </w:rPr>
                    </w:pPr>
                    <w:hyperlink r:id="rId4"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v:textbox>
            </v:shape>
          </w:pict>
        </mc:Fallback>
      </mc:AlternateContent>
    </w:r>
    <w:r w:rsidR="005705D6">
      <w:rPr>
        <w:noProof/>
        <w:lang w:eastAsia="pt-BR"/>
      </w:rPr>
      <mc:AlternateContent>
        <mc:Choice Requires="wps">
          <w:drawing>
            <wp:anchor distT="4294967295" distB="4294967295" distL="114300" distR="114300" simplePos="0" relativeHeight="251684864" behindDoc="0" locked="0" layoutInCell="1" allowOverlap="1" wp14:anchorId="23817E40" wp14:editId="55DB80C1">
              <wp:simplePos x="0" y="0"/>
              <wp:positionH relativeFrom="column">
                <wp:posOffset>33020</wp:posOffset>
              </wp:positionH>
              <wp:positionV relativeFrom="paragraph">
                <wp:posOffset>-220345</wp:posOffset>
              </wp:positionV>
              <wp:extent cx="6417945" cy="0"/>
              <wp:effectExtent l="0" t="0" r="8255" b="12700"/>
              <wp:wrapNone/>
              <wp:docPr id="6"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94AD2D" id="_x0000_t32" coordsize="21600,21600" o:spt="32" o:oned="t" path="m,l21600,21600e" filled="f">
              <v:path arrowok="t" fillok="f" o:connecttype="none"/>
              <o:lock v:ext="edit" shapetype="t"/>
            </v:shapetype>
            <v:shape id="AutoShape 16" o:spid="_x0000_s1026" type="#_x0000_t32" style="position:absolute;margin-left:2.6pt;margin-top:-17.35pt;width:505.35pt;height:0;z-index:25168486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" strokecolor="#83150e" strokeweight="1pt"/>
          </w:pict>
        </mc:Fallback>
      </mc:AlternateContent>
    </w:r>
    <w:r w:rsidR="005705D6">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102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394"/>
      <w:gridCol w:w="2747"/>
    </w:tblGrid>
    <w:tr w:rsidR="007409D7" w:rsidRPr="00A94872" w14:paraId="27DA4ED7" w14:textId="77777777" w:rsidTr="00870D6E">
      <w:trPr>
        <w:trHeight w:val="532"/>
      </w:trPr>
      <w:tc>
        <w:tcPr>
          <w:tcW w:w="3119" w:type="dxa"/>
        </w:tcPr>
        <w:p w14:paraId="37DD1B26" w14:textId="5397B12F" w:rsidR="00877B75" w:rsidRPr="007409D7" w:rsidRDefault="004C6D61" w:rsidP="00877B75">
          <w:pPr>
            <w:spacing w:after="0" w:line="240" w:lineRule="auto"/>
            <w:jc w:val="center"/>
            <w:rPr>
              <w:rFonts w:asciiTheme="minorHAnsi" w:hAnsiTheme="minorHAnsi" w:cstheme="minorHAnsi"/>
              <w:color w:val="BFBFBF" w:themeColor="background1" w:themeShade="BF"/>
              <w:sz w:val="8"/>
              <w:szCs w:val="8"/>
              <w:lang w:val="en-US"/>
            </w:rPr>
          </w:pPr>
          <w:r w:rsidRPr="007409D7">
            <w:rPr>
              <w:noProof/>
              <w:color w:val="BFBFBF" w:themeColor="background1" w:themeShade="BF"/>
              <w:lang w:eastAsia="pt-BR"/>
            </w:rPr>
            <mc:AlternateContent>
              <mc:Choice Requires="wps">
                <w:drawing>
                  <wp:anchor distT="4294967295" distB="4294967295" distL="114300" distR="114300" simplePos="0" relativeHeight="251691008" behindDoc="0" locked="0" layoutInCell="1" allowOverlap="1" wp14:anchorId="5C0D3489" wp14:editId="739CDAFE">
                    <wp:simplePos x="0" y="0"/>
                    <wp:positionH relativeFrom="column">
                      <wp:posOffset>-43815</wp:posOffset>
                    </wp:positionH>
                    <wp:positionV relativeFrom="paragraph">
                      <wp:posOffset>4752</wp:posOffset>
                    </wp:positionV>
                    <wp:extent cx="6417945" cy="0"/>
                    <wp:effectExtent l="0" t="0" r="8255" b="12700"/>
                    <wp:wrapNone/>
                    <wp:docPr id="1"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E2FD8A" id="_x0000_t32" coordsize="21600,21600" o:spt="32" o:oned="t" path="m,l21600,21600e" filled="f">
                    <v:path arrowok="t" fillok="f" o:connecttype="none"/>
                    <o:lock v:ext="edit" shapetype="t"/>
                  </v:shapetype>
                  <v:shape id="AutoShape 31" o:spid="_x0000_s1026" type="#_x0000_t32" style="position:absolute;margin-left:-3.45pt;margin-top:.35pt;width:505.35pt;height:0;z-index:251691008;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Ma98H4AAAAAoBAAAPAAAAZHJzL2Rv&#13;&#10;d25yZXYueG1sTI9LT8MwEITvSPwHa5G4oNYuRQHSOBXicWg59QFnJ16SiHgdYrcN/Ho2J7isNJrd&#13;&#10;2fmy5eBaccQ+NJ40zKYKBFLpbUOVhv3uZXIHIkRD1rSeUMM3Bljm52eZSa0/0QaP21gJDqGQGg11&#13;&#10;jF0qZShrdCZMfYfE3ofvnYks+0ra3pw43LXyWqlEOtMQf6hNh481lp/bg9PwmhTxK5Hvq7fZunr+&#13;&#10;md8MqyvcaH15MTwteDwsQEQc4t8FjAzcH3IuVvgD2SBaDZPknjc13IIYXaXmjFOMWuaZ/I+Q/wI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Ma98H4AAAAAoBAAAPAAAAAAAAAAAAAAAA&#13;&#10;ABcEAABkcnMvZG93bnJldi54bWxQSwUGAAAAAAQABADzAAAAJAUAAAAA&#13;&#10;" strokecolor="#83150e" strokeweight="1pt"/>
                </w:pict>
              </mc:Fallback>
            </mc:AlternateContent>
          </w:r>
        </w:p>
        <w:p w14:paraId="5C53F5FB" w14:textId="331E5FFA" w:rsidR="00877B75" w:rsidRPr="007409D7" w:rsidRDefault="00870D6E" w:rsidP="00F8581F">
          <w:pPr>
            <w:spacing w:after="0" w:line="240" w:lineRule="auto"/>
            <w:rPr>
              <w:rFonts w:asciiTheme="minorHAnsi" w:hAnsiTheme="minorHAnsi" w:cstheme="minorHAnsi"/>
              <w:color w:val="BFBFBF" w:themeColor="background1" w:themeShade="BF"/>
              <w:sz w:val="16"/>
              <w:szCs w:val="16"/>
              <w:lang w:val="en-US"/>
            </w:rPr>
          </w:pPr>
          <w:proofErr w:type="spellStart"/>
          <w:r w:rsidRPr="007409D7">
            <w:rPr>
              <w:rFonts w:asciiTheme="minorHAnsi" w:hAnsiTheme="minorHAnsi" w:cstheme="minorHAnsi"/>
              <w:color w:val="BFBFBF" w:themeColor="background1" w:themeShade="BF"/>
              <w:sz w:val="16"/>
              <w:szCs w:val="16"/>
              <w:lang w:val="en-US"/>
            </w:rPr>
            <w:t>Multidiscip</w:t>
          </w:r>
          <w:proofErr w:type="spellEnd"/>
          <w:r w:rsidRPr="007409D7">
            <w:rPr>
              <w:rFonts w:asciiTheme="minorHAnsi" w:hAnsiTheme="minorHAnsi" w:cstheme="minorHAnsi"/>
              <w:color w:val="BFBFBF" w:themeColor="background1" w:themeShade="BF"/>
              <w:sz w:val="16"/>
              <w:szCs w:val="16"/>
              <w:lang w:val="en-US"/>
            </w:rPr>
            <w:t>. Sci. J. (202</w:t>
          </w:r>
          <w:r w:rsidR="004D3017">
            <w:rPr>
              <w:rFonts w:asciiTheme="minorHAnsi" w:hAnsiTheme="minorHAnsi" w:cstheme="minorHAnsi"/>
              <w:color w:val="BFBFBF" w:themeColor="background1" w:themeShade="BF"/>
              <w:sz w:val="16"/>
              <w:szCs w:val="16"/>
              <w:lang w:val="en-US"/>
            </w:rPr>
            <w:t>6</w:t>
          </w:r>
          <w:r w:rsidRPr="007409D7">
            <w:rPr>
              <w:rFonts w:asciiTheme="minorHAnsi" w:hAnsiTheme="minorHAnsi" w:cstheme="minorHAnsi"/>
              <w:color w:val="BFBFBF" w:themeColor="background1" w:themeShade="BF"/>
              <w:sz w:val="16"/>
              <w:szCs w:val="16"/>
              <w:lang w:val="en-US"/>
            </w:rPr>
            <w:t xml:space="preserve">) </w:t>
          </w:r>
          <w:proofErr w:type="gramStart"/>
          <w:r w:rsidR="004D3017">
            <w:rPr>
              <w:rFonts w:asciiTheme="minorHAnsi" w:hAnsiTheme="minorHAnsi" w:cstheme="minorHAnsi"/>
              <w:color w:val="BFBFBF" w:themeColor="background1" w:themeShade="BF"/>
              <w:sz w:val="16"/>
              <w:szCs w:val="16"/>
              <w:lang w:val="en-US"/>
            </w:rPr>
            <w:t>1</w:t>
          </w:r>
          <w:r w:rsidRPr="007409D7">
            <w:rPr>
              <w:rFonts w:asciiTheme="minorHAnsi" w:hAnsiTheme="minorHAnsi" w:cstheme="minorHAnsi"/>
              <w:color w:val="BFBFBF" w:themeColor="background1" w:themeShade="BF"/>
              <w:sz w:val="16"/>
              <w:szCs w:val="16"/>
              <w:lang w:val="en-US"/>
            </w:rPr>
            <w:t>:e</w:t>
          </w:r>
          <w:proofErr w:type="gramEnd"/>
          <w:r w:rsidRPr="007409D7">
            <w:rPr>
              <w:rFonts w:asciiTheme="minorHAnsi" w:hAnsiTheme="minorHAnsi" w:cstheme="minorHAnsi"/>
              <w:color w:val="BFBFBF" w:themeColor="background1" w:themeShade="BF"/>
              <w:sz w:val="16"/>
              <w:szCs w:val="16"/>
              <w:lang w:val="en-US"/>
            </w:rPr>
            <w:t>202</w:t>
          </w:r>
          <w:r w:rsidR="004D3017">
            <w:rPr>
              <w:rFonts w:asciiTheme="minorHAnsi" w:hAnsiTheme="minorHAnsi" w:cstheme="minorHAnsi"/>
              <w:color w:val="BFBFBF" w:themeColor="background1" w:themeShade="BF"/>
              <w:sz w:val="16"/>
              <w:szCs w:val="16"/>
              <w:lang w:val="en-US"/>
            </w:rPr>
            <w:t>6</w:t>
          </w:r>
          <w:r w:rsidR="00157323" w:rsidRPr="007409D7">
            <w:rPr>
              <w:rFonts w:asciiTheme="minorHAnsi" w:hAnsiTheme="minorHAnsi" w:cstheme="minorHAnsi"/>
              <w:color w:val="BFBFBF" w:themeColor="background1" w:themeShade="BF"/>
              <w:sz w:val="16"/>
              <w:szCs w:val="16"/>
              <w:lang w:val="en-US"/>
            </w:rPr>
            <w:t>xxx</w:t>
          </w:r>
        </w:p>
      </w:tc>
      <w:tc>
        <w:tcPr>
          <w:tcW w:w="4394" w:type="dxa"/>
        </w:tcPr>
        <w:p w14:paraId="29D72858" w14:textId="77777777" w:rsidR="00877B75" w:rsidRPr="007409D7" w:rsidRDefault="00877B75" w:rsidP="00877B75">
          <w:pPr>
            <w:spacing w:after="0" w:line="240" w:lineRule="auto"/>
            <w:jc w:val="center"/>
            <w:rPr>
              <w:rStyle w:val="Hyperlink"/>
              <w:rFonts w:cs="Calibri"/>
              <w:color w:val="BFBFBF" w:themeColor="background1" w:themeShade="BF"/>
              <w:sz w:val="8"/>
              <w:szCs w:val="8"/>
              <w:u w:val="none"/>
              <w:lang w:val="en-US"/>
            </w:rPr>
          </w:pPr>
        </w:p>
        <w:p w14:paraId="1C107E05" w14:textId="3B13B28D" w:rsidR="00877B75" w:rsidRPr="007409D7" w:rsidRDefault="00877B75" w:rsidP="00877B75">
          <w:pPr>
            <w:spacing w:after="0" w:line="240" w:lineRule="auto"/>
            <w:jc w:val="center"/>
            <w:rPr>
              <w:rFonts w:cs="Calibri"/>
              <w:color w:val="BFBFBF" w:themeColor="background1" w:themeShade="BF"/>
              <w:sz w:val="16"/>
              <w:szCs w:val="16"/>
              <w:lang w:val="en-US"/>
            </w:rPr>
          </w:pPr>
          <w:r w:rsidRPr="007409D7">
            <w:rPr>
              <w:rStyle w:val="Hyperlink"/>
              <w:rFonts w:cs="Calibri"/>
              <w:color w:val="BFBFBF" w:themeColor="background1" w:themeShade="BF"/>
              <w:sz w:val="16"/>
              <w:szCs w:val="16"/>
              <w:u w:val="none"/>
              <w:lang w:val="en-US"/>
            </w:rPr>
            <w:t xml:space="preserve">Received: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r w:rsidRPr="007409D7">
            <w:rPr>
              <w:rStyle w:val="Hyperlink"/>
              <w:rFonts w:cs="Calibri"/>
              <w:color w:val="BFBFBF" w:themeColor="background1" w:themeShade="BF"/>
              <w:sz w:val="16"/>
              <w:szCs w:val="16"/>
              <w:u w:val="none"/>
              <w:lang w:val="en-US"/>
            </w:rPr>
            <w:t xml:space="preserve"> | Accepted: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p>
      </w:tc>
      <w:tc>
        <w:tcPr>
          <w:tcW w:w="2747" w:type="dxa"/>
        </w:tcPr>
        <w:p w14:paraId="3FBF4581" w14:textId="54EE4520" w:rsidR="00877B75" w:rsidRPr="007409D7" w:rsidRDefault="006E7F0C" w:rsidP="00877B75">
          <w:pPr>
            <w:pStyle w:val="Rodap"/>
            <w:tabs>
              <w:tab w:val="clear" w:pos="4252"/>
              <w:tab w:val="clear" w:pos="8504"/>
              <w:tab w:val="right" w:pos="8941"/>
            </w:tabs>
            <w:jc w:val="right"/>
            <w:rPr>
              <w:color w:val="BFBFBF" w:themeColor="background1" w:themeShade="BF"/>
              <w:lang w:val="en-US"/>
            </w:rPr>
          </w:pPr>
          <w:r w:rsidRPr="007409D7">
            <w:rPr>
              <w:noProof/>
              <w:color w:val="BFBFBF" w:themeColor="background1" w:themeShade="BF"/>
              <w:sz w:val="20"/>
              <w:lang w:eastAsia="pt-BR"/>
            </w:rPr>
            <w:drawing>
              <wp:anchor distT="0" distB="0" distL="114300" distR="114300" simplePos="0" relativeHeight="251709440" behindDoc="1" locked="0" layoutInCell="1" allowOverlap="1" wp14:anchorId="53DEBCD5" wp14:editId="1B6B5AB5">
                <wp:simplePos x="0" y="0"/>
                <wp:positionH relativeFrom="column">
                  <wp:posOffset>1384604</wp:posOffset>
                </wp:positionH>
                <wp:positionV relativeFrom="paragraph">
                  <wp:posOffset>26670</wp:posOffset>
                </wp:positionV>
                <wp:extent cx="193040" cy="187325"/>
                <wp:effectExtent l="0" t="0" r="0" b="3175"/>
                <wp:wrapNone/>
                <wp:docPr id="1744181391" name="Imagem 174418139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BEBA8EAE-BF5A-486C-A8C5-ECC9F3942E4B}">
                              <a14:imgProps xmlns:a14="http://schemas.microsoft.com/office/drawing/2010/main">
                                <a14:imgLayer r:embed="rId3">
                                  <a14:imgEffect>
                                    <a14:colorTemperature colorTemp="11200"/>
                                  </a14:imgEffect>
                                </a14:imgLayer>
                              </a14:imgProps>
                            </a:ex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p>
      </w:tc>
    </w:tr>
  </w:tbl>
  <w:p w14:paraId="2162BF73" w14:textId="2B057C6E" w:rsidR="005705D6" w:rsidRPr="00F8581F" w:rsidRDefault="005705D6" w:rsidP="00877B75">
    <w:pPr>
      <w:pStyle w:val="Rodap"/>
      <w:tabs>
        <w:tab w:val="clear" w:pos="4252"/>
        <w:tab w:val="clear" w:pos="8504"/>
        <w:tab w:val="right" w:pos="8941"/>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37784" w14:textId="77777777" w:rsidR="00570226" w:rsidRDefault="00570226" w:rsidP="00201BED">
      <w:pPr>
        <w:spacing w:after="0" w:line="240" w:lineRule="auto"/>
      </w:pPr>
      <w:r>
        <w:separator/>
      </w:r>
    </w:p>
  </w:footnote>
  <w:footnote w:type="continuationSeparator" w:id="0">
    <w:p w14:paraId="7E6754FF" w14:textId="77777777" w:rsidR="00570226" w:rsidRDefault="00570226" w:rsidP="0020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D2B7B" w14:textId="49DB1785" w:rsidR="005705D6" w:rsidRDefault="005705D6" w:rsidP="00BB4D23">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705344" behindDoc="0" locked="0" layoutInCell="1" allowOverlap="1" wp14:anchorId="085E5375" wp14:editId="05034055">
              <wp:simplePos x="0" y="0"/>
              <wp:positionH relativeFrom="column">
                <wp:posOffset>-1080770</wp:posOffset>
              </wp:positionH>
              <wp:positionV relativeFrom="paragraph">
                <wp:posOffset>-1019649</wp:posOffset>
              </wp:positionV>
              <wp:extent cx="975360" cy="238760"/>
              <wp:effectExtent l="0" t="0" r="0" b="8890"/>
              <wp:wrapNone/>
              <wp:docPr id="2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23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8CAD5" w14:textId="77777777" w:rsidR="005705D6" w:rsidRPr="00A37526" w:rsidRDefault="00570226" w:rsidP="0040758B">
                          <w:pPr>
                            <w:rPr>
                              <w:rFonts w:cs="Calibri"/>
                              <w:color w:val="A6A6A6" w:themeColor="background1" w:themeShade="A6"/>
                              <w:sz w:val="16"/>
                              <w:szCs w:val="16"/>
                            </w:rPr>
                          </w:pPr>
                          <w:hyperlink r:id="rId1" w:history="1">
                            <w:r w:rsidR="005705D6" w:rsidRPr="00A37526">
                              <w:rPr>
                                <w:rStyle w:val="Hyperlink"/>
                                <w:rFonts w:cs="Calibri"/>
                                <w:color w:val="A6A6A6" w:themeColor="background1" w:themeShade="A6"/>
                                <w:sz w:val="16"/>
                                <w:szCs w:val="16"/>
                                <w:u w:val="none"/>
                              </w:rPr>
                              <w:t>www.jabbnet.com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085E5375" id="_x0000_t202" coordsize="21600,21600" o:spt="202" path="m,l,21600r21600,l21600,xe">
              <v:stroke joinstyle="miter"/>
              <v:path gradientshapeok="t" o:connecttype="rect"/>
            </v:shapetype>
            <v:shape id="Text Box 32" o:spid="_x0000_s1027" type="#_x0000_t202" style="position:absolute;margin-left:-85.1pt;margin-top:-80.3pt;width:76.8pt;height:18.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" stroked="f">
              <v:textbox>
                <w:txbxContent>
                  <w:p w14:paraId="2A28CAD5" w14:textId="77777777" w:rsidR="005705D6" w:rsidRPr="00A37526" w:rsidRDefault="00000000" w:rsidP="0040758B">
                    <w:pPr>
                      <w:rPr>
                        <w:rFonts w:cs="Calibri"/>
                        <w:color w:val="A6A6A6" w:themeColor="background1" w:themeShade="A6"/>
                        <w:sz w:val="16"/>
                        <w:szCs w:val="16"/>
                      </w:rPr>
                    </w:pPr>
                    <w:hyperlink r:id="rId2" w:history="1">
                      <w:r w:rsidR="005705D6" w:rsidRPr="00A37526">
                        <w:rPr>
                          <w:rStyle w:val="Hyperlink"/>
                          <w:rFonts w:cs="Calibri"/>
                          <w:color w:val="A6A6A6" w:themeColor="background1" w:themeShade="A6"/>
                          <w:sz w:val="16"/>
                          <w:szCs w:val="16"/>
                          <w:u w:val="none"/>
                        </w:rPr>
                        <w:t>www.jabbnet.com</w:t>
                      </w:r>
                    </w:hyperlink>
                  </w:p>
                </w:txbxContent>
              </v:textbox>
            </v:shape>
          </w:pict>
        </mc:Fallback>
      </mc:AlternateContent>
    </w:r>
    <w:r>
      <w:rPr>
        <w:noProof/>
        <w:lang w:eastAsia="pt-BR"/>
      </w:rPr>
      <mc:AlternateContent>
        <mc:Choice Requires="wps">
          <w:drawing>
            <wp:anchor distT="0" distB="0" distL="114300" distR="114300" simplePos="0" relativeHeight="251693056" behindDoc="0" locked="0" layoutInCell="1" allowOverlap="1" wp14:anchorId="073A3F6C" wp14:editId="609FD90A">
              <wp:simplePos x="0" y="0"/>
              <wp:positionH relativeFrom="column">
                <wp:posOffset>-80010</wp:posOffset>
              </wp:positionH>
              <wp:positionV relativeFrom="paragraph">
                <wp:posOffset>1270</wp:posOffset>
              </wp:positionV>
              <wp:extent cx="2216150" cy="367030"/>
              <wp:effectExtent l="3175" t="3810" r="0" b="635"/>
              <wp:wrapNone/>
              <wp:docPr id="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6150" cy="367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73A3F6C" id="Text Box 37" o:spid="_x0000_s1028" type="#_x0000_t202" style="position:absolute;margin-left:-6.3pt;margin-top:.1pt;width:174.5pt;height:2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" filled="f" stroked="f">
              <v:textbo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v:textbox>
            </v:shape>
          </w:pict>
        </mc:Fallback>
      </mc:AlternateContent>
    </w:r>
  </w:p>
  <w:p w14:paraId="5369CDAC" w14:textId="70E62EEA" w:rsidR="005705D6" w:rsidRPr="00885E53" w:rsidRDefault="005705D6" w:rsidP="00885E53">
    <w:pPr>
      <w:pStyle w:val="Cabealho"/>
      <w:jc w:val="right"/>
      <w:rPr>
        <w:rFonts w:asciiTheme="minorHAnsi" w:hAnsiTheme="minorHAnsi" w:cstheme="minorHAnsi"/>
        <w:color w:val="A6A6A6" w:themeColor="background1" w:themeShade="A6"/>
        <w:sz w:val="16"/>
        <w:szCs w:val="16"/>
      </w:rPr>
    </w:pPr>
    <w:r w:rsidRPr="00885E53">
      <w:rPr>
        <w:rFonts w:asciiTheme="minorHAnsi" w:hAnsiTheme="minorHAnsi" w:cstheme="minorHAnsi"/>
        <w:color w:val="A6A6A6" w:themeColor="background1" w:themeShade="A6"/>
        <w:sz w:val="16"/>
        <w:szCs w:val="16"/>
      </w:rPr>
      <w:fldChar w:fldCharType="begin"/>
    </w:r>
    <w:r w:rsidRPr="00885E53">
      <w:rPr>
        <w:rFonts w:asciiTheme="minorHAnsi" w:hAnsiTheme="minorHAnsi" w:cstheme="minorHAnsi"/>
        <w:color w:val="A6A6A6" w:themeColor="background1" w:themeShade="A6"/>
        <w:sz w:val="16"/>
        <w:szCs w:val="16"/>
      </w:rPr>
      <w:instrText>PAGE   \* MERGEFORMAT</w:instrText>
    </w:r>
    <w:r w:rsidRPr="00885E53">
      <w:rPr>
        <w:rFonts w:asciiTheme="minorHAnsi" w:hAnsiTheme="minorHAnsi" w:cstheme="minorHAnsi"/>
        <w:color w:val="A6A6A6" w:themeColor="background1" w:themeShade="A6"/>
        <w:sz w:val="16"/>
        <w:szCs w:val="16"/>
      </w:rPr>
      <w:fldChar w:fldCharType="separate"/>
    </w:r>
    <w:r w:rsidR="00563845">
      <w:rPr>
        <w:rFonts w:asciiTheme="minorHAnsi" w:hAnsiTheme="minorHAnsi" w:cstheme="minorHAnsi"/>
        <w:noProof/>
        <w:color w:val="A6A6A6" w:themeColor="background1" w:themeShade="A6"/>
        <w:sz w:val="16"/>
        <w:szCs w:val="16"/>
      </w:rPr>
      <w:t>7</w:t>
    </w:r>
    <w:r w:rsidRPr="00885E53">
      <w:rPr>
        <w:rFonts w:asciiTheme="minorHAnsi" w:hAnsiTheme="minorHAnsi" w:cstheme="minorHAnsi"/>
        <w:color w:val="A6A6A6" w:themeColor="background1" w:themeShade="A6"/>
        <w:sz w:val="16"/>
        <w:szCs w:val="16"/>
      </w:rPr>
      <w:fldChar w:fldCharType="end"/>
    </w:r>
  </w:p>
  <w:p w14:paraId="1D041DF9" w14:textId="41FA98C8" w:rsidR="005705D6" w:rsidRDefault="005705D6" w:rsidP="00416E53">
    <w:pPr>
      <w:pStyle w:val="Cabealho"/>
      <w:tabs>
        <w:tab w:val="clear" w:pos="4252"/>
        <w:tab w:val="clear" w:pos="8504"/>
        <w:tab w:val="left" w:pos="1425"/>
      </w:tabs>
    </w:pPr>
    <w:r>
      <w:rPr>
        <w:noProof/>
        <w:lang w:eastAsia="pt-BR"/>
      </w:rPr>
      <mc:AlternateContent>
        <mc:Choice Requires="wps">
          <w:drawing>
            <wp:anchor distT="4294967295" distB="4294967295" distL="114300" distR="114300" simplePos="0" relativeHeight="251686912" behindDoc="0" locked="0" layoutInCell="1" allowOverlap="1" wp14:anchorId="6F56476C" wp14:editId="06D1D022">
              <wp:simplePos x="0" y="0"/>
              <wp:positionH relativeFrom="column">
                <wp:posOffset>13970</wp:posOffset>
              </wp:positionH>
              <wp:positionV relativeFrom="paragraph">
                <wp:posOffset>20320</wp:posOffset>
              </wp:positionV>
              <wp:extent cx="6443980" cy="0"/>
              <wp:effectExtent l="0" t="0" r="7620" b="1270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3980"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57104E" id="_x0000_t32" coordsize="21600,21600" o:spt="32" o:oned="t" path="m,l21600,21600e" filled="f">
              <v:path arrowok="t" fillok="f" o:connecttype="none"/>
              <o:lock v:ext="edit" shapetype="t"/>
            </v:shapetype>
            <v:shape id="AutoShape 26" o:spid="_x0000_s1026" type="#_x0000_t32" style="position:absolute;margin-left:1.1pt;margin-top:1.6pt;width:507.4pt;height:0;z-index:251686912;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" strokecolor="#83150e"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8957" w14:textId="5FFC299D" w:rsidR="005705D6" w:rsidRDefault="005705D6" w:rsidP="004A7D25">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697152" behindDoc="0" locked="0" layoutInCell="1" allowOverlap="1" wp14:anchorId="258D89D1" wp14:editId="603D11BC">
              <wp:simplePos x="0" y="0"/>
              <wp:positionH relativeFrom="margin">
                <wp:posOffset>2696301</wp:posOffset>
              </wp:positionH>
              <wp:positionV relativeFrom="paragraph">
                <wp:posOffset>316865</wp:posOffset>
              </wp:positionV>
              <wp:extent cx="3834130" cy="496850"/>
              <wp:effectExtent l="0" t="0" r="0" b="0"/>
              <wp:wrapNone/>
              <wp:docPr id="1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4130" cy="4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1"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8D89D1" id="_x0000_t202" coordsize="21600,21600" o:spt="202" path="m,l,21600r21600,l21600,xe">
              <v:stroke joinstyle="miter"/>
              <v:path gradientshapeok="t" o:connecttype="rect"/>
            </v:shapetype>
            <v:shape id="_x0000_s1030" type="#_x0000_t202" style="position:absolute;margin-left:212.3pt;margin-top:24.95pt;width:301.9pt;height:39.1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" filled="f" stroked="f">
              <v:textbo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2"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v:textbox>
              <w10:wrap anchorx="margin"/>
            </v:shape>
          </w:pict>
        </mc:Fallback>
      </mc:AlternateContent>
    </w:r>
    <w:r w:rsidR="00A94872">
      <w:rPr>
        <w:noProof/>
      </w:rPr>
      <w:drawing>
        <wp:inline distT="0" distB="0" distL="0" distR="0" wp14:anchorId="67D55E13" wp14:editId="57142FE4">
          <wp:extent cx="2660015" cy="783569"/>
          <wp:effectExtent l="0" t="0" r="0" b="4445"/>
          <wp:docPr id="2" name="Imagem 2">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3"/>
                  </pic:cNvPr>
                  <pic:cNvPicPr/>
                </pic:nvPicPr>
                <pic:blipFill rotWithShape="1">
                  <a:blip r:embed="rId4">
                    <a:extLst>
                      <a:ext uri="{28A0092B-C50C-407E-A947-70E740481C1C}">
                        <a14:useLocalDpi xmlns:a14="http://schemas.microsoft.com/office/drawing/2010/main" val="0"/>
                      </a:ext>
                    </a:extLst>
                  </a:blip>
                  <a:srcRect t="14871" b="23077"/>
                  <a:stretch/>
                </pic:blipFill>
                <pic:spPr bwMode="auto">
                  <a:xfrm>
                    <a:off x="0" y="0"/>
                    <a:ext cx="2698928" cy="795032"/>
                  </a:xfrm>
                  <a:prstGeom prst="rect">
                    <a:avLst/>
                  </a:prstGeom>
                  <a:ln>
                    <a:noFill/>
                  </a:ln>
                  <a:extLst>
                    <a:ext uri="{53640926-AAD7-44D8-BBD7-CCE9431645EC}">
                      <a14:shadowObscured xmlns:a14="http://schemas.microsoft.com/office/drawing/2010/main"/>
                    </a:ext>
                  </a:extLst>
                </pic:spPr>
              </pic:pic>
            </a:graphicData>
          </a:graphic>
        </wp:inline>
      </w:drawing>
    </w:r>
  </w:p>
  <w:p w14:paraId="0EEE8F0C" w14:textId="150244FB" w:rsidR="005705D6" w:rsidRDefault="005705D6">
    <w:pPr>
      <w:pStyle w:val="Cabealho"/>
    </w:pPr>
    <w:r w:rsidRPr="00A94872">
      <w:rPr>
        <w:noProof/>
        <w:highlight w:val="darkRed"/>
        <w:lang w:eastAsia="pt-BR"/>
      </w:rPr>
      <mc:AlternateContent>
        <mc:Choice Requires="wps">
          <w:drawing>
            <wp:anchor distT="4294967295" distB="4294967295" distL="114300" distR="114300" simplePos="0" relativeHeight="251695104" behindDoc="0" locked="0" layoutInCell="1" allowOverlap="1" wp14:anchorId="650D6A51" wp14:editId="45D652DF">
              <wp:simplePos x="0" y="0"/>
              <wp:positionH relativeFrom="column">
                <wp:posOffset>23072</wp:posOffset>
              </wp:positionH>
              <wp:positionV relativeFrom="paragraph">
                <wp:posOffset>52070</wp:posOffset>
              </wp:positionV>
              <wp:extent cx="6417945" cy="0"/>
              <wp:effectExtent l="0" t="0" r="8255" b="12700"/>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B81E20" id="_x0000_t32" coordsize="21600,21600" o:spt="32" o:oned="t" path="m,l21600,21600e" filled="f">
              <v:path arrowok="t" fillok="f" o:connecttype="none"/>
              <o:lock v:ext="edit" shapetype="t"/>
            </v:shapetype>
            <v:shape id="AutoShape 29" o:spid="_x0000_s1026" type="#_x0000_t32" style="position:absolute;margin-left:1.8pt;margin-top:4.1pt;width:505.35pt;height:0;z-index:25169510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CBi+O4AAAAAsBAAAPAAAAZHJzL2Rv&#13;&#10;d25yZXYueG1sTE/JbsIwEL1X4h+sQeqlKk4IilCIg1CXA+0JupydeJpExOM0NpD26zv00l5Gmnlv&#13;&#10;3pKvR9uJEw6+daQgnkUgkCpnWqoVvL483i5B+KDJ6M4RKvhCD+ticpXrzLgz7fC0D7VgEfKZVtCE&#13;&#10;0GdS+qpBq/3M9UiMfbjB6sDrUEsz6DOL207OoyiVVrfEDo3u8a7B6rA/WgXPaRk+U/m+fYuf6ofv&#13;&#10;ZDFub3Cn1PV0vF/x2KxABBzD3wdcOnB+KDhY6Y5kvOgUJCkTFSznIC5oFC8SEOXvQRa5/N+h+AE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CBi+O4AAAAAsBAAAPAAAAAAAAAAAAAAAA&#13;&#10;ABcEAABkcnMvZG93bnJldi54bWxQSwUGAAAAAAQABADzAAAAJAUAAAAA&#13;&#10;" strokecolor="#83150e"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DDA8D8E"/>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13863477"/>
    <w:multiLevelType w:val="multilevel"/>
    <w:tmpl w:val="06788DA6"/>
    <w:lvl w:ilvl="0">
      <w:start w:val="3"/>
      <w:numFmt w:val="decimal"/>
      <w:lvlText w:val="%1."/>
      <w:lvlJc w:val="left"/>
      <w:pPr>
        <w:ind w:left="360" w:hanging="360"/>
      </w:pPr>
      <w:rPr>
        <w:rFonts w:hint="default"/>
        <w:sz w:val="20"/>
      </w:rPr>
    </w:lvl>
    <w:lvl w:ilvl="1">
      <w:start w:val="9"/>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2" w15:restartNumberingAfterBreak="0">
    <w:nsid w:val="22635DC2"/>
    <w:multiLevelType w:val="multilevel"/>
    <w:tmpl w:val="342627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6D278B4"/>
    <w:multiLevelType w:val="hybridMultilevel"/>
    <w:tmpl w:val="D274517A"/>
    <w:styleLink w:val="Nmero"/>
    <w:lvl w:ilvl="0" w:tplc="4D08BDBC">
      <w:start w:val="1"/>
      <w:numFmt w:val="decimal"/>
      <w:lvlText w:val="%1."/>
      <w:lvlJc w:val="left"/>
      <w:pPr>
        <w:ind w:left="327" w:hanging="327"/>
      </w:pPr>
      <w:rPr>
        <w:rFonts w:hAnsi="Arial Unicode MS"/>
        <w:caps w:val="0"/>
        <w:smallCaps w:val="0"/>
        <w:strike w:val="0"/>
        <w:dstrike w:val="0"/>
        <w:spacing w:val="0"/>
        <w:w w:val="100"/>
        <w:kern w:val="0"/>
        <w:position w:val="0"/>
        <w:highlight w:val="none"/>
        <w:vertAlign w:val="baseline"/>
      </w:rPr>
    </w:lvl>
    <w:lvl w:ilvl="1" w:tplc="5EEE58DA">
      <w:start w:val="1"/>
      <w:numFmt w:val="decimal"/>
      <w:lvlText w:val="%2."/>
      <w:lvlJc w:val="left"/>
      <w:pPr>
        <w:ind w:left="627" w:hanging="327"/>
      </w:pPr>
      <w:rPr>
        <w:rFonts w:hAnsi="Arial Unicode MS"/>
        <w:caps w:val="0"/>
        <w:smallCaps w:val="0"/>
        <w:strike w:val="0"/>
        <w:dstrike w:val="0"/>
        <w:spacing w:val="0"/>
        <w:w w:val="100"/>
        <w:kern w:val="0"/>
        <w:position w:val="0"/>
        <w:highlight w:val="none"/>
        <w:vertAlign w:val="baseline"/>
      </w:rPr>
    </w:lvl>
    <w:lvl w:ilvl="2" w:tplc="3CA02042">
      <w:start w:val="1"/>
      <w:numFmt w:val="decimal"/>
      <w:lvlText w:val="%3."/>
      <w:lvlJc w:val="left"/>
      <w:pPr>
        <w:ind w:left="898" w:hanging="298"/>
      </w:pPr>
      <w:rPr>
        <w:rFonts w:hAnsi="Arial Unicode MS"/>
        <w:caps w:val="0"/>
        <w:smallCaps w:val="0"/>
        <w:strike w:val="0"/>
        <w:dstrike w:val="0"/>
        <w:color w:val="000000"/>
        <w:spacing w:val="0"/>
        <w:w w:val="100"/>
        <w:kern w:val="0"/>
        <w:position w:val="0"/>
        <w:highlight w:val="none"/>
        <w:vertAlign w:val="baseline"/>
      </w:rPr>
    </w:lvl>
    <w:lvl w:ilvl="3" w:tplc="103874C6">
      <w:start w:val="1"/>
      <w:numFmt w:val="decimal"/>
      <w:lvlText w:val="%4."/>
      <w:lvlJc w:val="left"/>
      <w:pPr>
        <w:ind w:left="1227" w:hanging="327"/>
      </w:pPr>
      <w:rPr>
        <w:rFonts w:hAnsi="Arial Unicode MS"/>
        <w:caps w:val="0"/>
        <w:smallCaps w:val="0"/>
        <w:strike w:val="0"/>
        <w:dstrike w:val="0"/>
        <w:color w:val="000000"/>
        <w:spacing w:val="0"/>
        <w:w w:val="100"/>
        <w:kern w:val="0"/>
        <w:position w:val="0"/>
        <w:highlight w:val="none"/>
        <w:vertAlign w:val="baseline"/>
      </w:rPr>
    </w:lvl>
    <w:lvl w:ilvl="4" w:tplc="4D7616C0">
      <w:start w:val="1"/>
      <w:numFmt w:val="decimal"/>
      <w:lvlText w:val="%5."/>
      <w:lvlJc w:val="left"/>
      <w:pPr>
        <w:ind w:left="1527" w:hanging="327"/>
      </w:pPr>
      <w:rPr>
        <w:rFonts w:hAnsi="Arial Unicode MS"/>
        <w:caps w:val="0"/>
        <w:smallCaps w:val="0"/>
        <w:strike w:val="0"/>
        <w:dstrike w:val="0"/>
        <w:color w:val="000000"/>
        <w:spacing w:val="0"/>
        <w:w w:val="100"/>
        <w:kern w:val="0"/>
        <w:position w:val="0"/>
        <w:highlight w:val="none"/>
        <w:vertAlign w:val="baseline"/>
      </w:rPr>
    </w:lvl>
    <w:lvl w:ilvl="5" w:tplc="2E6C7344">
      <w:start w:val="1"/>
      <w:numFmt w:val="decimal"/>
      <w:lvlText w:val="%6."/>
      <w:lvlJc w:val="left"/>
      <w:pPr>
        <w:ind w:left="1827" w:hanging="327"/>
      </w:pPr>
      <w:rPr>
        <w:rFonts w:hAnsi="Arial Unicode MS"/>
        <w:caps w:val="0"/>
        <w:smallCaps w:val="0"/>
        <w:strike w:val="0"/>
        <w:dstrike w:val="0"/>
        <w:color w:val="000000"/>
        <w:spacing w:val="0"/>
        <w:w w:val="100"/>
        <w:kern w:val="0"/>
        <w:position w:val="0"/>
        <w:highlight w:val="none"/>
        <w:vertAlign w:val="baseline"/>
      </w:rPr>
    </w:lvl>
    <w:lvl w:ilvl="6" w:tplc="908E3280">
      <w:start w:val="1"/>
      <w:numFmt w:val="decimal"/>
      <w:lvlText w:val="%7."/>
      <w:lvlJc w:val="left"/>
      <w:pPr>
        <w:ind w:left="2127" w:hanging="327"/>
      </w:pPr>
      <w:rPr>
        <w:rFonts w:hAnsi="Arial Unicode MS"/>
        <w:caps w:val="0"/>
        <w:smallCaps w:val="0"/>
        <w:strike w:val="0"/>
        <w:dstrike w:val="0"/>
        <w:color w:val="000000"/>
        <w:spacing w:val="0"/>
        <w:w w:val="100"/>
        <w:kern w:val="0"/>
        <w:position w:val="0"/>
        <w:highlight w:val="none"/>
        <w:vertAlign w:val="baseline"/>
      </w:rPr>
    </w:lvl>
    <w:lvl w:ilvl="7" w:tplc="AC74834C">
      <w:start w:val="1"/>
      <w:numFmt w:val="decimal"/>
      <w:lvlText w:val="%8."/>
      <w:lvlJc w:val="left"/>
      <w:pPr>
        <w:ind w:left="2427" w:hanging="327"/>
      </w:pPr>
      <w:rPr>
        <w:rFonts w:hAnsi="Arial Unicode MS"/>
        <w:caps w:val="0"/>
        <w:smallCaps w:val="0"/>
        <w:strike w:val="0"/>
        <w:dstrike w:val="0"/>
        <w:color w:val="000000"/>
        <w:spacing w:val="0"/>
        <w:w w:val="100"/>
        <w:kern w:val="0"/>
        <w:position w:val="0"/>
        <w:highlight w:val="none"/>
        <w:vertAlign w:val="baseline"/>
      </w:rPr>
    </w:lvl>
    <w:lvl w:ilvl="8" w:tplc="A0D246A2">
      <w:start w:val="1"/>
      <w:numFmt w:val="decimal"/>
      <w:lvlText w:val="%9."/>
      <w:lvlJc w:val="left"/>
      <w:pPr>
        <w:ind w:left="2727" w:hanging="327"/>
      </w:pPr>
      <w:rPr>
        <w:rFonts w:hAnsi="Arial Unicode MS"/>
        <w:caps w:val="0"/>
        <w:smallCaps w:val="0"/>
        <w:strike w:val="0"/>
        <w:dstrike w:val="0"/>
        <w:color w:val="000000"/>
        <w:spacing w:val="0"/>
        <w:w w:val="100"/>
        <w:kern w:val="0"/>
        <w:position w:val="0"/>
        <w:highlight w:val="none"/>
        <w:vertAlign w:val="baseline"/>
      </w:rPr>
    </w:lvl>
  </w:abstractNum>
  <w:abstractNum w:abstractNumId="4" w15:restartNumberingAfterBreak="0">
    <w:nsid w:val="56E60C97"/>
    <w:multiLevelType w:val="multilevel"/>
    <w:tmpl w:val="5C7EA836"/>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5" w15:restartNumberingAfterBreak="0">
    <w:nsid w:val="63EC2FBB"/>
    <w:multiLevelType w:val="multilevel"/>
    <w:tmpl w:val="C2163D8A"/>
    <w:lvl w:ilvl="0">
      <w:start w:val="1"/>
      <w:numFmt w:val="decimal"/>
      <w:suff w:val="space"/>
      <w:lvlText w:val="%1."/>
      <w:lvlJc w:val="left"/>
      <w:pPr>
        <w:ind w:left="-247" w:firstLine="247"/>
      </w:pPr>
      <w:rPr>
        <w:rFonts w:hint="default"/>
        <w:b/>
      </w:rPr>
    </w:lvl>
    <w:lvl w:ilvl="1">
      <w:start w:val="1"/>
      <w:numFmt w:val="decimal"/>
      <w:isLgl/>
      <w:lvlText w:val="%1.%2."/>
      <w:lvlJc w:val="left"/>
      <w:pPr>
        <w:ind w:left="360" w:hanging="360"/>
      </w:pPr>
      <w:rPr>
        <w:rFonts w:hint="default"/>
        <w:sz w:val="20"/>
      </w:rPr>
    </w:lvl>
    <w:lvl w:ilvl="2">
      <w:start w:val="1"/>
      <w:numFmt w:val="decimal"/>
      <w:isLgl/>
      <w:lvlText w:val="%1.%2.%3."/>
      <w:lvlJc w:val="left"/>
      <w:pPr>
        <w:ind w:left="0" w:firstLine="0"/>
      </w:pPr>
      <w:rPr>
        <w:rFonts w:hint="default"/>
        <w:sz w:val="20"/>
      </w:rPr>
    </w:lvl>
    <w:lvl w:ilvl="3">
      <w:start w:val="1"/>
      <w:numFmt w:val="decimal"/>
      <w:isLgl/>
      <w:lvlText w:val="%1.%2.%3.%4."/>
      <w:lvlJc w:val="left"/>
      <w:pPr>
        <w:ind w:left="360" w:hanging="360"/>
      </w:pPr>
      <w:rPr>
        <w:rFonts w:hint="default"/>
        <w:sz w:val="20"/>
      </w:rPr>
    </w:lvl>
    <w:lvl w:ilvl="4">
      <w:start w:val="1"/>
      <w:numFmt w:val="decimal"/>
      <w:isLgl/>
      <w:lvlText w:val="%1.%2.%3.%4.%5."/>
      <w:lvlJc w:val="left"/>
      <w:pPr>
        <w:ind w:left="720" w:hanging="720"/>
      </w:pPr>
      <w:rPr>
        <w:rFonts w:hint="default"/>
        <w:sz w:val="20"/>
      </w:rPr>
    </w:lvl>
    <w:lvl w:ilvl="5">
      <w:start w:val="1"/>
      <w:numFmt w:val="decimal"/>
      <w:isLgl/>
      <w:lvlText w:val="%1.%2.%3.%4.%5.%6."/>
      <w:lvlJc w:val="left"/>
      <w:pPr>
        <w:ind w:left="720" w:hanging="720"/>
      </w:pPr>
      <w:rPr>
        <w:rFonts w:hint="default"/>
        <w:sz w:val="20"/>
      </w:rPr>
    </w:lvl>
    <w:lvl w:ilvl="6">
      <w:start w:val="1"/>
      <w:numFmt w:val="decimal"/>
      <w:isLgl/>
      <w:lvlText w:val="%1.%2.%3.%4.%5.%6.%7."/>
      <w:lvlJc w:val="left"/>
      <w:pPr>
        <w:ind w:left="720" w:hanging="720"/>
      </w:pPr>
      <w:rPr>
        <w:rFonts w:hint="default"/>
        <w:sz w:val="20"/>
      </w:rPr>
    </w:lvl>
    <w:lvl w:ilvl="7">
      <w:start w:val="1"/>
      <w:numFmt w:val="decimal"/>
      <w:isLgl/>
      <w:lvlText w:val="%1.%2.%3.%4.%5.%6.%7.%8."/>
      <w:lvlJc w:val="left"/>
      <w:pPr>
        <w:ind w:left="720" w:hanging="720"/>
      </w:pPr>
      <w:rPr>
        <w:rFonts w:hint="default"/>
        <w:sz w:val="20"/>
      </w:rPr>
    </w:lvl>
    <w:lvl w:ilvl="8">
      <w:start w:val="1"/>
      <w:numFmt w:val="decimal"/>
      <w:isLgl/>
      <w:lvlText w:val="%1.%2.%3.%4.%5.%6.%7.%8.%9."/>
      <w:lvlJc w:val="left"/>
      <w:pPr>
        <w:ind w:left="1080" w:hanging="1080"/>
      </w:pPr>
      <w:rPr>
        <w:rFonts w:hint="default"/>
        <w:sz w:val="20"/>
      </w:rPr>
    </w:lvl>
  </w:abstractNum>
  <w:abstractNum w:abstractNumId="6" w15:restartNumberingAfterBreak="0">
    <w:nsid w:val="7A2653C9"/>
    <w:multiLevelType w:val="multilevel"/>
    <w:tmpl w:val="04DAA218"/>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7" w15:restartNumberingAfterBreak="0">
    <w:nsid w:val="7D7F5595"/>
    <w:multiLevelType w:val="multilevel"/>
    <w:tmpl w:val="04DAA21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num w:numId="1">
    <w:abstractNumId w:val="0"/>
  </w:num>
  <w:num w:numId="2">
    <w:abstractNumId w:val="3"/>
  </w:num>
  <w:num w:numId="3">
    <w:abstractNumId w:val="5"/>
  </w:num>
  <w:num w:numId="4">
    <w:abstractNumId w:val="2"/>
  </w:num>
  <w:num w:numId="5">
    <w:abstractNumId w:val="6"/>
  </w:num>
  <w:num w:numId="6">
    <w:abstractNumId w:val="7"/>
  </w:num>
  <w:num w:numId="7">
    <w:abstractNumId w:val="1"/>
  </w:num>
  <w:num w:numId="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hideSpellingErrors/>
  <w:hideGrammaticalErrors/>
  <w:activeWritingStyle w:appName="MSWord" w:lang="pt-BR" w:vendorID="64" w:dllVersion="6" w:nlCheck="1" w:checkStyle="0"/>
  <w:activeWritingStyle w:appName="MSWord" w:lang="en-US" w:vendorID="64" w:dllVersion="6" w:nlCheck="1" w:checkStyle="0"/>
  <w:activeWritingStyle w:appName="MSWord" w:lang="es-MX" w:vendorID="64" w:dllVersion="6" w:nlCheck="1" w:checkStyle="1"/>
  <w:activeWritingStyle w:appName="MSWord" w:lang="en-GB" w:vendorID="64" w:dllVersion="6" w:nlCheck="1" w:checkStyle="1"/>
  <w:activeWritingStyle w:appName="MSWord" w:lang="es-ES_tradnl" w:vendorID="64" w:dllVersion="6" w:nlCheck="1" w:checkStyle="1"/>
  <w:activeWritingStyle w:appName="MSWord" w:lang="en-AU" w:vendorID="64" w:dllVersion="6" w:nlCheck="1" w:checkStyle="1"/>
  <w:activeWritingStyle w:appName="MSWord" w:lang="es-ES" w:vendorID="64" w:dllVersion="6" w:nlCheck="1" w:checkStyle="0"/>
  <w:activeWritingStyle w:appName="MSWord" w:lang="es-CO" w:vendorID="64" w:dllVersion="6" w:nlCheck="1" w:checkStyle="1"/>
  <w:activeWritingStyle w:appName="MSWord" w:lang="es-US" w:vendorID="64" w:dllVersion="6" w:nlCheck="1" w:checkStyle="1"/>
  <w:activeWritingStyle w:appName="MSWord" w:lang="en-US" w:vendorID="64" w:dllVersion="4096" w:nlCheck="1" w:checkStyle="0"/>
  <w:activeWritingStyle w:appName="MSWord" w:lang="pt-BR"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TI2s7Q0MDUyMLIwNjFS0lEKTi0uzszPAymwMKkFAOKdTBktAAAA"/>
  </w:docVars>
  <w:rsids>
    <w:rsidRoot w:val="00201BED"/>
    <w:rsid w:val="00001560"/>
    <w:rsid w:val="000031B2"/>
    <w:rsid w:val="0000330C"/>
    <w:rsid w:val="00005553"/>
    <w:rsid w:val="00005DA8"/>
    <w:rsid w:val="00010A33"/>
    <w:rsid w:val="000117F0"/>
    <w:rsid w:val="00014A0E"/>
    <w:rsid w:val="00020586"/>
    <w:rsid w:val="00021882"/>
    <w:rsid w:val="00021FFC"/>
    <w:rsid w:val="00022010"/>
    <w:rsid w:val="00024BF1"/>
    <w:rsid w:val="00026648"/>
    <w:rsid w:val="00026B8C"/>
    <w:rsid w:val="00026E37"/>
    <w:rsid w:val="00026EDA"/>
    <w:rsid w:val="0002797B"/>
    <w:rsid w:val="00027F65"/>
    <w:rsid w:val="00030052"/>
    <w:rsid w:val="00031152"/>
    <w:rsid w:val="000318AC"/>
    <w:rsid w:val="000331A8"/>
    <w:rsid w:val="00034898"/>
    <w:rsid w:val="00034F23"/>
    <w:rsid w:val="00036646"/>
    <w:rsid w:val="00036CAE"/>
    <w:rsid w:val="0003730A"/>
    <w:rsid w:val="00040216"/>
    <w:rsid w:val="00040996"/>
    <w:rsid w:val="00040B36"/>
    <w:rsid w:val="000422EC"/>
    <w:rsid w:val="00043F77"/>
    <w:rsid w:val="00044590"/>
    <w:rsid w:val="000459F8"/>
    <w:rsid w:val="00045B9B"/>
    <w:rsid w:val="00046EE9"/>
    <w:rsid w:val="00052EFC"/>
    <w:rsid w:val="0005471C"/>
    <w:rsid w:val="00056F4A"/>
    <w:rsid w:val="00057676"/>
    <w:rsid w:val="00057ABC"/>
    <w:rsid w:val="00066E3F"/>
    <w:rsid w:val="0007201D"/>
    <w:rsid w:val="000724C7"/>
    <w:rsid w:val="00075AF0"/>
    <w:rsid w:val="00076189"/>
    <w:rsid w:val="00076309"/>
    <w:rsid w:val="0007634A"/>
    <w:rsid w:val="000773D2"/>
    <w:rsid w:val="0008129C"/>
    <w:rsid w:val="0008314D"/>
    <w:rsid w:val="000842F8"/>
    <w:rsid w:val="00084A41"/>
    <w:rsid w:val="00085C92"/>
    <w:rsid w:val="00086464"/>
    <w:rsid w:val="000865E6"/>
    <w:rsid w:val="00086DAD"/>
    <w:rsid w:val="00090DCF"/>
    <w:rsid w:val="00090FD1"/>
    <w:rsid w:val="00091C2E"/>
    <w:rsid w:val="00094A4A"/>
    <w:rsid w:val="00096044"/>
    <w:rsid w:val="00097296"/>
    <w:rsid w:val="000A0D73"/>
    <w:rsid w:val="000A1FDE"/>
    <w:rsid w:val="000A25C2"/>
    <w:rsid w:val="000A2658"/>
    <w:rsid w:val="000A370F"/>
    <w:rsid w:val="000A4AED"/>
    <w:rsid w:val="000A72E4"/>
    <w:rsid w:val="000B02B8"/>
    <w:rsid w:val="000B1093"/>
    <w:rsid w:val="000B14C3"/>
    <w:rsid w:val="000B2C92"/>
    <w:rsid w:val="000B4572"/>
    <w:rsid w:val="000B4586"/>
    <w:rsid w:val="000B4CF7"/>
    <w:rsid w:val="000B5984"/>
    <w:rsid w:val="000B5C4C"/>
    <w:rsid w:val="000B6D88"/>
    <w:rsid w:val="000C050E"/>
    <w:rsid w:val="000C1A39"/>
    <w:rsid w:val="000C3046"/>
    <w:rsid w:val="000C310B"/>
    <w:rsid w:val="000C31E2"/>
    <w:rsid w:val="000C4809"/>
    <w:rsid w:val="000C4A0A"/>
    <w:rsid w:val="000C4FF5"/>
    <w:rsid w:val="000C70C9"/>
    <w:rsid w:val="000D04A1"/>
    <w:rsid w:val="000D0560"/>
    <w:rsid w:val="000D0E1F"/>
    <w:rsid w:val="000D1097"/>
    <w:rsid w:val="000D1B93"/>
    <w:rsid w:val="000D32FC"/>
    <w:rsid w:val="000D3709"/>
    <w:rsid w:val="000D582F"/>
    <w:rsid w:val="000D7827"/>
    <w:rsid w:val="000E05AF"/>
    <w:rsid w:val="000E11E1"/>
    <w:rsid w:val="000E19F6"/>
    <w:rsid w:val="000E2DDE"/>
    <w:rsid w:val="000F1A86"/>
    <w:rsid w:val="000F599B"/>
    <w:rsid w:val="000F602E"/>
    <w:rsid w:val="000F66D9"/>
    <w:rsid w:val="000F7387"/>
    <w:rsid w:val="00105426"/>
    <w:rsid w:val="001058F0"/>
    <w:rsid w:val="001062B5"/>
    <w:rsid w:val="00106CB7"/>
    <w:rsid w:val="00106E9F"/>
    <w:rsid w:val="00111FC2"/>
    <w:rsid w:val="001139E4"/>
    <w:rsid w:val="0011430C"/>
    <w:rsid w:val="00115EAE"/>
    <w:rsid w:val="001200F5"/>
    <w:rsid w:val="0012216C"/>
    <w:rsid w:val="00122B3A"/>
    <w:rsid w:val="00123610"/>
    <w:rsid w:val="00124C89"/>
    <w:rsid w:val="00125253"/>
    <w:rsid w:val="001307B0"/>
    <w:rsid w:val="00130C93"/>
    <w:rsid w:val="0013598B"/>
    <w:rsid w:val="0013727C"/>
    <w:rsid w:val="00137AF0"/>
    <w:rsid w:val="00140599"/>
    <w:rsid w:val="00141260"/>
    <w:rsid w:val="001422DC"/>
    <w:rsid w:val="001464A6"/>
    <w:rsid w:val="00146B0C"/>
    <w:rsid w:val="001473A2"/>
    <w:rsid w:val="00147EE2"/>
    <w:rsid w:val="001516A9"/>
    <w:rsid w:val="00151BEC"/>
    <w:rsid w:val="0015320F"/>
    <w:rsid w:val="001536C0"/>
    <w:rsid w:val="00153DFC"/>
    <w:rsid w:val="00154AB0"/>
    <w:rsid w:val="00156265"/>
    <w:rsid w:val="001564E1"/>
    <w:rsid w:val="0015723E"/>
    <w:rsid w:val="00157323"/>
    <w:rsid w:val="0016025A"/>
    <w:rsid w:val="001603A7"/>
    <w:rsid w:val="00160467"/>
    <w:rsid w:val="00160C29"/>
    <w:rsid w:val="001622C6"/>
    <w:rsid w:val="00164DFD"/>
    <w:rsid w:val="00165953"/>
    <w:rsid w:val="001675D4"/>
    <w:rsid w:val="00172135"/>
    <w:rsid w:val="001721C8"/>
    <w:rsid w:val="00173790"/>
    <w:rsid w:val="00174912"/>
    <w:rsid w:val="001808D1"/>
    <w:rsid w:val="00187BB4"/>
    <w:rsid w:val="001904AB"/>
    <w:rsid w:val="0019442B"/>
    <w:rsid w:val="0019449F"/>
    <w:rsid w:val="00195634"/>
    <w:rsid w:val="001A20AE"/>
    <w:rsid w:val="001A2274"/>
    <w:rsid w:val="001A23CB"/>
    <w:rsid w:val="001A3BA4"/>
    <w:rsid w:val="001B01F5"/>
    <w:rsid w:val="001B22B2"/>
    <w:rsid w:val="001B3901"/>
    <w:rsid w:val="001B64EC"/>
    <w:rsid w:val="001C0742"/>
    <w:rsid w:val="001C08CB"/>
    <w:rsid w:val="001C1191"/>
    <w:rsid w:val="001C2527"/>
    <w:rsid w:val="001C4C40"/>
    <w:rsid w:val="001C6A81"/>
    <w:rsid w:val="001D3457"/>
    <w:rsid w:val="001D429C"/>
    <w:rsid w:val="001D6C29"/>
    <w:rsid w:val="001D6FC9"/>
    <w:rsid w:val="001E0A20"/>
    <w:rsid w:val="001E3F3A"/>
    <w:rsid w:val="001E40BC"/>
    <w:rsid w:val="001E47C8"/>
    <w:rsid w:val="001E5327"/>
    <w:rsid w:val="001E535C"/>
    <w:rsid w:val="001E602A"/>
    <w:rsid w:val="001F0982"/>
    <w:rsid w:val="001F2033"/>
    <w:rsid w:val="001F29B6"/>
    <w:rsid w:val="001F6327"/>
    <w:rsid w:val="002017B1"/>
    <w:rsid w:val="00201BED"/>
    <w:rsid w:val="00201E24"/>
    <w:rsid w:val="002058EF"/>
    <w:rsid w:val="00206983"/>
    <w:rsid w:val="002077A5"/>
    <w:rsid w:val="002130F4"/>
    <w:rsid w:val="002148FB"/>
    <w:rsid w:val="002227DA"/>
    <w:rsid w:val="00223204"/>
    <w:rsid w:val="00224188"/>
    <w:rsid w:val="00224E59"/>
    <w:rsid w:val="00225D49"/>
    <w:rsid w:val="0023032D"/>
    <w:rsid w:val="002306EC"/>
    <w:rsid w:val="00231B7F"/>
    <w:rsid w:val="00232419"/>
    <w:rsid w:val="00236DA3"/>
    <w:rsid w:val="0024070C"/>
    <w:rsid w:val="002434F9"/>
    <w:rsid w:val="002453A7"/>
    <w:rsid w:val="00246349"/>
    <w:rsid w:val="00246C98"/>
    <w:rsid w:val="00247A1B"/>
    <w:rsid w:val="002504A6"/>
    <w:rsid w:val="0025078A"/>
    <w:rsid w:val="0025117E"/>
    <w:rsid w:val="002513C7"/>
    <w:rsid w:val="00251715"/>
    <w:rsid w:val="00251AD6"/>
    <w:rsid w:val="0025319F"/>
    <w:rsid w:val="00254538"/>
    <w:rsid w:val="002549E2"/>
    <w:rsid w:val="00257286"/>
    <w:rsid w:val="00257D49"/>
    <w:rsid w:val="00260F64"/>
    <w:rsid w:val="00261939"/>
    <w:rsid w:val="0026238E"/>
    <w:rsid w:val="00262BBA"/>
    <w:rsid w:val="00266105"/>
    <w:rsid w:val="002675E1"/>
    <w:rsid w:val="00270847"/>
    <w:rsid w:val="00271E2A"/>
    <w:rsid w:val="00272400"/>
    <w:rsid w:val="00273197"/>
    <w:rsid w:val="00273838"/>
    <w:rsid w:val="0027441B"/>
    <w:rsid w:val="00276E93"/>
    <w:rsid w:val="00286728"/>
    <w:rsid w:val="00294166"/>
    <w:rsid w:val="00295695"/>
    <w:rsid w:val="00297C80"/>
    <w:rsid w:val="00297FBB"/>
    <w:rsid w:val="002A0A1C"/>
    <w:rsid w:val="002A23DF"/>
    <w:rsid w:val="002A3A56"/>
    <w:rsid w:val="002A43B8"/>
    <w:rsid w:val="002A4644"/>
    <w:rsid w:val="002B1AB7"/>
    <w:rsid w:val="002B2670"/>
    <w:rsid w:val="002B3191"/>
    <w:rsid w:val="002B46D6"/>
    <w:rsid w:val="002B58D0"/>
    <w:rsid w:val="002B598F"/>
    <w:rsid w:val="002C0C53"/>
    <w:rsid w:val="002C15DB"/>
    <w:rsid w:val="002C1686"/>
    <w:rsid w:val="002C462E"/>
    <w:rsid w:val="002C5A9F"/>
    <w:rsid w:val="002C6973"/>
    <w:rsid w:val="002C701E"/>
    <w:rsid w:val="002C7621"/>
    <w:rsid w:val="002C7E10"/>
    <w:rsid w:val="002D0616"/>
    <w:rsid w:val="002D2143"/>
    <w:rsid w:val="002D4D69"/>
    <w:rsid w:val="002D4FB1"/>
    <w:rsid w:val="002E088C"/>
    <w:rsid w:val="002E1F2D"/>
    <w:rsid w:val="002E42A8"/>
    <w:rsid w:val="002E5740"/>
    <w:rsid w:val="002E7C58"/>
    <w:rsid w:val="002F104E"/>
    <w:rsid w:val="002F252D"/>
    <w:rsid w:val="002F29A3"/>
    <w:rsid w:val="002F4159"/>
    <w:rsid w:val="002F6369"/>
    <w:rsid w:val="002F7CC5"/>
    <w:rsid w:val="0030043E"/>
    <w:rsid w:val="003021F4"/>
    <w:rsid w:val="0030492B"/>
    <w:rsid w:val="003071C3"/>
    <w:rsid w:val="003072B1"/>
    <w:rsid w:val="0031040D"/>
    <w:rsid w:val="00311FD8"/>
    <w:rsid w:val="00312FEC"/>
    <w:rsid w:val="00313A36"/>
    <w:rsid w:val="003141A0"/>
    <w:rsid w:val="00314C3A"/>
    <w:rsid w:val="00317F0D"/>
    <w:rsid w:val="00321470"/>
    <w:rsid w:val="003226BB"/>
    <w:rsid w:val="00323949"/>
    <w:rsid w:val="00323BDE"/>
    <w:rsid w:val="003255FE"/>
    <w:rsid w:val="00326401"/>
    <w:rsid w:val="003273C7"/>
    <w:rsid w:val="00327DDC"/>
    <w:rsid w:val="0033075B"/>
    <w:rsid w:val="00331576"/>
    <w:rsid w:val="003318ED"/>
    <w:rsid w:val="003322B0"/>
    <w:rsid w:val="003335B4"/>
    <w:rsid w:val="00333F04"/>
    <w:rsid w:val="00334CAE"/>
    <w:rsid w:val="00340D90"/>
    <w:rsid w:val="00340FBB"/>
    <w:rsid w:val="00341EF1"/>
    <w:rsid w:val="00342013"/>
    <w:rsid w:val="00342ACC"/>
    <w:rsid w:val="0034322B"/>
    <w:rsid w:val="00343A8F"/>
    <w:rsid w:val="00343B16"/>
    <w:rsid w:val="00343C8A"/>
    <w:rsid w:val="00343D05"/>
    <w:rsid w:val="00344541"/>
    <w:rsid w:val="003458E8"/>
    <w:rsid w:val="0034715E"/>
    <w:rsid w:val="00347A8D"/>
    <w:rsid w:val="00350707"/>
    <w:rsid w:val="003513FB"/>
    <w:rsid w:val="00351673"/>
    <w:rsid w:val="0035281F"/>
    <w:rsid w:val="003529A3"/>
    <w:rsid w:val="00354B0D"/>
    <w:rsid w:val="003564AB"/>
    <w:rsid w:val="00365D50"/>
    <w:rsid w:val="003679F1"/>
    <w:rsid w:val="0037020D"/>
    <w:rsid w:val="00374E89"/>
    <w:rsid w:val="003750BA"/>
    <w:rsid w:val="003772B4"/>
    <w:rsid w:val="003778F5"/>
    <w:rsid w:val="00381E95"/>
    <w:rsid w:val="003836E4"/>
    <w:rsid w:val="00383DCE"/>
    <w:rsid w:val="00384B9E"/>
    <w:rsid w:val="0038517F"/>
    <w:rsid w:val="00387708"/>
    <w:rsid w:val="00390E03"/>
    <w:rsid w:val="00392B41"/>
    <w:rsid w:val="003948D7"/>
    <w:rsid w:val="00394A99"/>
    <w:rsid w:val="003952A7"/>
    <w:rsid w:val="00395A06"/>
    <w:rsid w:val="00396654"/>
    <w:rsid w:val="00396931"/>
    <w:rsid w:val="003A15A1"/>
    <w:rsid w:val="003A1A25"/>
    <w:rsid w:val="003A36D0"/>
    <w:rsid w:val="003A37C3"/>
    <w:rsid w:val="003A6601"/>
    <w:rsid w:val="003A6FF0"/>
    <w:rsid w:val="003A7B7D"/>
    <w:rsid w:val="003A7ECC"/>
    <w:rsid w:val="003B03EE"/>
    <w:rsid w:val="003B276E"/>
    <w:rsid w:val="003B2A8F"/>
    <w:rsid w:val="003B34DB"/>
    <w:rsid w:val="003B4AAA"/>
    <w:rsid w:val="003B5711"/>
    <w:rsid w:val="003B5FF7"/>
    <w:rsid w:val="003B61FD"/>
    <w:rsid w:val="003B6C63"/>
    <w:rsid w:val="003C08F8"/>
    <w:rsid w:val="003C1F77"/>
    <w:rsid w:val="003C3143"/>
    <w:rsid w:val="003C335F"/>
    <w:rsid w:val="003C6413"/>
    <w:rsid w:val="003D0F96"/>
    <w:rsid w:val="003D102A"/>
    <w:rsid w:val="003D1677"/>
    <w:rsid w:val="003D293B"/>
    <w:rsid w:val="003D632A"/>
    <w:rsid w:val="003E5316"/>
    <w:rsid w:val="003E7A47"/>
    <w:rsid w:val="003F0E67"/>
    <w:rsid w:val="003F252C"/>
    <w:rsid w:val="003F5102"/>
    <w:rsid w:val="003F7EC0"/>
    <w:rsid w:val="00400BCD"/>
    <w:rsid w:val="00403102"/>
    <w:rsid w:val="0040686F"/>
    <w:rsid w:val="0040758B"/>
    <w:rsid w:val="00407599"/>
    <w:rsid w:val="00413ED7"/>
    <w:rsid w:val="00414471"/>
    <w:rsid w:val="004151F9"/>
    <w:rsid w:val="00415B66"/>
    <w:rsid w:val="004166E6"/>
    <w:rsid w:val="00416E53"/>
    <w:rsid w:val="00420FB1"/>
    <w:rsid w:val="00426437"/>
    <w:rsid w:val="00426470"/>
    <w:rsid w:val="00431E93"/>
    <w:rsid w:val="004328C4"/>
    <w:rsid w:val="00433AFC"/>
    <w:rsid w:val="00435E56"/>
    <w:rsid w:val="00436532"/>
    <w:rsid w:val="00440ADD"/>
    <w:rsid w:val="00441C85"/>
    <w:rsid w:val="0044221A"/>
    <w:rsid w:val="00442F55"/>
    <w:rsid w:val="004446BC"/>
    <w:rsid w:val="00446251"/>
    <w:rsid w:val="0045185D"/>
    <w:rsid w:val="00451DD2"/>
    <w:rsid w:val="00452C3F"/>
    <w:rsid w:val="00454601"/>
    <w:rsid w:val="00454FE9"/>
    <w:rsid w:val="0045518C"/>
    <w:rsid w:val="00455AAF"/>
    <w:rsid w:val="0045666E"/>
    <w:rsid w:val="0045696C"/>
    <w:rsid w:val="004569DE"/>
    <w:rsid w:val="00460A84"/>
    <w:rsid w:val="00461012"/>
    <w:rsid w:val="004610AF"/>
    <w:rsid w:val="00463779"/>
    <w:rsid w:val="00463AEF"/>
    <w:rsid w:val="00465526"/>
    <w:rsid w:val="004660EB"/>
    <w:rsid w:val="0047022C"/>
    <w:rsid w:val="00473215"/>
    <w:rsid w:val="00474EF0"/>
    <w:rsid w:val="00477921"/>
    <w:rsid w:val="00481184"/>
    <w:rsid w:val="0048175C"/>
    <w:rsid w:val="0048208B"/>
    <w:rsid w:val="00486A0D"/>
    <w:rsid w:val="00486ED6"/>
    <w:rsid w:val="00487DCC"/>
    <w:rsid w:val="00487F9B"/>
    <w:rsid w:val="00491063"/>
    <w:rsid w:val="00491235"/>
    <w:rsid w:val="0049130D"/>
    <w:rsid w:val="00491A65"/>
    <w:rsid w:val="00494445"/>
    <w:rsid w:val="00494C20"/>
    <w:rsid w:val="00494EFA"/>
    <w:rsid w:val="00494F6B"/>
    <w:rsid w:val="00497946"/>
    <w:rsid w:val="004A1595"/>
    <w:rsid w:val="004A168B"/>
    <w:rsid w:val="004A18C1"/>
    <w:rsid w:val="004A2296"/>
    <w:rsid w:val="004A3672"/>
    <w:rsid w:val="004A3A64"/>
    <w:rsid w:val="004A7242"/>
    <w:rsid w:val="004A7D25"/>
    <w:rsid w:val="004B1CC9"/>
    <w:rsid w:val="004B25E9"/>
    <w:rsid w:val="004B28D9"/>
    <w:rsid w:val="004B35A5"/>
    <w:rsid w:val="004B4378"/>
    <w:rsid w:val="004B6B51"/>
    <w:rsid w:val="004C0CDA"/>
    <w:rsid w:val="004C1AEA"/>
    <w:rsid w:val="004C60A8"/>
    <w:rsid w:val="004C6C56"/>
    <w:rsid w:val="004C6D61"/>
    <w:rsid w:val="004C6E60"/>
    <w:rsid w:val="004C7747"/>
    <w:rsid w:val="004C7BE0"/>
    <w:rsid w:val="004D09E5"/>
    <w:rsid w:val="004D14C7"/>
    <w:rsid w:val="004D1886"/>
    <w:rsid w:val="004D266D"/>
    <w:rsid w:val="004D3017"/>
    <w:rsid w:val="004D3534"/>
    <w:rsid w:val="004D461E"/>
    <w:rsid w:val="004D5421"/>
    <w:rsid w:val="004D5493"/>
    <w:rsid w:val="004D5CB0"/>
    <w:rsid w:val="004D652E"/>
    <w:rsid w:val="004D6DB8"/>
    <w:rsid w:val="004D71AF"/>
    <w:rsid w:val="004E1ADA"/>
    <w:rsid w:val="004E3633"/>
    <w:rsid w:val="004E38D5"/>
    <w:rsid w:val="004E4F07"/>
    <w:rsid w:val="004F2754"/>
    <w:rsid w:val="004F6597"/>
    <w:rsid w:val="0050170C"/>
    <w:rsid w:val="005017C1"/>
    <w:rsid w:val="00502275"/>
    <w:rsid w:val="00507195"/>
    <w:rsid w:val="00507A6B"/>
    <w:rsid w:val="00511B45"/>
    <w:rsid w:val="0051326B"/>
    <w:rsid w:val="00513B4B"/>
    <w:rsid w:val="0051686F"/>
    <w:rsid w:val="00520E91"/>
    <w:rsid w:val="00520FFF"/>
    <w:rsid w:val="005260BB"/>
    <w:rsid w:val="005266D3"/>
    <w:rsid w:val="005273AE"/>
    <w:rsid w:val="00527C91"/>
    <w:rsid w:val="00530010"/>
    <w:rsid w:val="005313DE"/>
    <w:rsid w:val="00533721"/>
    <w:rsid w:val="005352B2"/>
    <w:rsid w:val="00536225"/>
    <w:rsid w:val="00536EC9"/>
    <w:rsid w:val="00537105"/>
    <w:rsid w:val="00540B05"/>
    <w:rsid w:val="00540D32"/>
    <w:rsid w:val="00541B5F"/>
    <w:rsid w:val="005420AA"/>
    <w:rsid w:val="00545EE0"/>
    <w:rsid w:val="0054658D"/>
    <w:rsid w:val="00546790"/>
    <w:rsid w:val="005478C0"/>
    <w:rsid w:val="0055021E"/>
    <w:rsid w:val="00551F03"/>
    <w:rsid w:val="00552359"/>
    <w:rsid w:val="00552DD5"/>
    <w:rsid w:val="005558B0"/>
    <w:rsid w:val="005576C6"/>
    <w:rsid w:val="005603B3"/>
    <w:rsid w:val="00561694"/>
    <w:rsid w:val="00563845"/>
    <w:rsid w:val="0056740C"/>
    <w:rsid w:val="00567A13"/>
    <w:rsid w:val="00570226"/>
    <w:rsid w:val="005705D6"/>
    <w:rsid w:val="00570666"/>
    <w:rsid w:val="00571157"/>
    <w:rsid w:val="005733CA"/>
    <w:rsid w:val="00576A78"/>
    <w:rsid w:val="0057746E"/>
    <w:rsid w:val="005807B3"/>
    <w:rsid w:val="00580C89"/>
    <w:rsid w:val="00580FF5"/>
    <w:rsid w:val="00582B2E"/>
    <w:rsid w:val="00582C07"/>
    <w:rsid w:val="005847DE"/>
    <w:rsid w:val="00587587"/>
    <w:rsid w:val="005929AB"/>
    <w:rsid w:val="00593776"/>
    <w:rsid w:val="00594A6D"/>
    <w:rsid w:val="0059649B"/>
    <w:rsid w:val="005A104D"/>
    <w:rsid w:val="005A315D"/>
    <w:rsid w:val="005A37C7"/>
    <w:rsid w:val="005B1A09"/>
    <w:rsid w:val="005B3FE5"/>
    <w:rsid w:val="005B527E"/>
    <w:rsid w:val="005B5C1C"/>
    <w:rsid w:val="005C0030"/>
    <w:rsid w:val="005C0E66"/>
    <w:rsid w:val="005C1450"/>
    <w:rsid w:val="005C4157"/>
    <w:rsid w:val="005C4DED"/>
    <w:rsid w:val="005C5430"/>
    <w:rsid w:val="005C58B6"/>
    <w:rsid w:val="005C5B23"/>
    <w:rsid w:val="005C6487"/>
    <w:rsid w:val="005D24D6"/>
    <w:rsid w:val="005D30CC"/>
    <w:rsid w:val="005D316D"/>
    <w:rsid w:val="005D3939"/>
    <w:rsid w:val="005D46A9"/>
    <w:rsid w:val="005D7A2B"/>
    <w:rsid w:val="005D7D44"/>
    <w:rsid w:val="005E2612"/>
    <w:rsid w:val="005E5697"/>
    <w:rsid w:val="005E6BFD"/>
    <w:rsid w:val="005E6FC1"/>
    <w:rsid w:val="005E7FDB"/>
    <w:rsid w:val="005E7FF5"/>
    <w:rsid w:val="005F22D9"/>
    <w:rsid w:val="005F28DE"/>
    <w:rsid w:val="005F4098"/>
    <w:rsid w:val="00600DBC"/>
    <w:rsid w:val="006019FE"/>
    <w:rsid w:val="00603406"/>
    <w:rsid w:val="00606AFE"/>
    <w:rsid w:val="00607033"/>
    <w:rsid w:val="00610694"/>
    <w:rsid w:val="00615B38"/>
    <w:rsid w:val="00616066"/>
    <w:rsid w:val="00617E5A"/>
    <w:rsid w:val="00621CD1"/>
    <w:rsid w:val="00622008"/>
    <w:rsid w:val="006221DF"/>
    <w:rsid w:val="006223B4"/>
    <w:rsid w:val="00623484"/>
    <w:rsid w:val="006237D2"/>
    <w:rsid w:val="00623C5E"/>
    <w:rsid w:val="00623C63"/>
    <w:rsid w:val="00624044"/>
    <w:rsid w:val="006338B5"/>
    <w:rsid w:val="006349EE"/>
    <w:rsid w:val="00635E33"/>
    <w:rsid w:val="00637E16"/>
    <w:rsid w:val="006440E7"/>
    <w:rsid w:val="00645136"/>
    <w:rsid w:val="006451A4"/>
    <w:rsid w:val="00646B5D"/>
    <w:rsid w:val="00652D22"/>
    <w:rsid w:val="0065474E"/>
    <w:rsid w:val="00654811"/>
    <w:rsid w:val="0065570C"/>
    <w:rsid w:val="006562C9"/>
    <w:rsid w:val="00657D6A"/>
    <w:rsid w:val="00664D06"/>
    <w:rsid w:val="00666189"/>
    <w:rsid w:val="00666195"/>
    <w:rsid w:val="00666777"/>
    <w:rsid w:val="00673128"/>
    <w:rsid w:val="0067457B"/>
    <w:rsid w:val="00674A42"/>
    <w:rsid w:val="00675F47"/>
    <w:rsid w:val="00680605"/>
    <w:rsid w:val="00680BF7"/>
    <w:rsid w:val="006834C1"/>
    <w:rsid w:val="00684194"/>
    <w:rsid w:val="00686248"/>
    <w:rsid w:val="00691210"/>
    <w:rsid w:val="006928DE"/>
    <w:rsid w:val="00693D55"/>
    <w:rsid w:val="00694C6E"/>
    <w:rsid w:val="00694DE0"/>
    <w:rsid w:val="00695A29"/>
    <w:rsid w:val="00695DA0"/>
    <w:rsid w:val="00695F1A"/>
    <w:rsid w:val="00697AF8"/>
    <w:rsid w:val="006A0DE2"/>
    <w:rsid w:val="006A124A"/>
    <w:rsid w:val="006A15D8"/>
    <w:rsid w:val="006A2322"/>
    <w:rsid w:val="006A3BB7"/>
    <w:rsid w:val="006A3BC3"/>
    <w:rsid w:val="006A74BA"/>
    <w:rsid w:val="006A781A"/>
    <w:rsid w:val="006B05B1"/>
    <w:rsid w:val="006B081F"/>
    <w:rsid w:val="006B09CB"/>
    <w:rsid w:val="006B102D"/>
    <w:rsid w:val="006B28BC"/>
    <w:rsid w:val="006B2FE6"/>
    <w:rsid w:val="006B48E1"/>
    <w:rsid w:val="006C0F7D"/>
    <w:rsid w:val="006C4C88"/>
    <w:rsid w:val="006C4CEB"/>
    <w:rsid w:val="006C51BF"/>
    <w:rsid w:val="006C7C79"/>
    <w:rsid w:val="006D071B"/>
    <w:rsid w:val="006D13CB"/>
    <w:rsid w:val="006D1C7B"/>
    <w:rsid w:val="006E1419"/>
    <w:rsid w:val="006E22ED"/>
    <w:rsid w:val="006E259D"/>
    <w:rsid w:val="006E41C0"/>
    <w:rsid w:val="006E52B5"/>
    <w:rsid w:val="006E6E0F"/>
    <w:rsid w:val="006E6F00"/>
    <w:rsid w:val="006E757F"/>
    <w:rsid w:val="006E7F0C"/>
    <w:rsid w:val="006F0CF9"/>
    <w:rsid w:val="006F1546"/>
    <w:rsid w:val="006F1C88"/>
    <w:rsid w:val="006F2D9E"/>
    <w:rsid w:val="006F496E"/>
    <w:rsid w:val="006F4BE3"/>
    <w:rsid w:val="006F4D83"/>
    <w:rsid w:val="006F5E66"/>
    <w:rsid w:val="007010C3"/>
    <w:rsid w:val="00703169"/>
    <w:rsid w:val="00704BCA"/>
    <w:rsid w:val="007105BE"/>
    <w:rsid w:val="00710831"/>
    <w:rsid w:val="00712C14"/>
    <w:rsid w:val="007139DC"/>
    <w:rsid w:val="0071521A"/>
    <w:rsid w:val="00715390"/>
    <w:rsid w:val="00716902"/>
    <w:rsid w:val="00720304"/>
    <w:rsid w:val="0072579B"/>
    <w:rsid w:val="007264B2"/>
    <w:rsid w:val="0072726C"/>
    <w:rsid w:val="00730B2F"/>
    <w:rsid w:val="00730C18"/>
    <w:rsid w:val="007324DF"/>
    <w:rsid w:val="00736B42"/>
    <w:rsid w:val="00737086"/>
    <w:rsid w:val="00737893"/>
    <w:rsid w:val="0074047C"/>
    <w:rsid w:val="00740672"/>
    <w:rsid w:val="007409D7"/>
    <w:rsid w:val="00740CB6"/>
    <w:rsid w:val="00741235"/>
    <w:rsid w:val="00741F59"/>
    <w:rsid w:val="00742D27"/>
    <w:rsid w:val="00743211"/>
    <w:rsid w:val="00747E88"/>
    <w:rsid w:val="00751C98"/>
    <w:rsid w:val="00752F7B"/>
    <w:rsid w:val="0075775E"/>
    <w:rsid w:val="0075785F"/>
    <w:rsid w:val="00760B12"/>
    <w:rsid w:val="00762627"/>
    <w:rsid w:val="0076541A"/>
    <w:rsid w:val="00765852"/>
    <w:rsid w:val="00770D50"/>
    <w:rsid w:val="00770DD9"/>
    <w:rsid w:val="00771F0C"/>
    <w:rsid w:val="00773245"/>
    <w:rsid w:val="007736B1"/>
    <w:rsid w:val="007749AA"/>
    <w:rsid w:val="007756A2"/>
    <w:rsid w:val="00775CDE"/>
    <w:rsid w:val="00776869"/>
    <w:rsid w:val="00776ED5"/>
    <w:rsid w:val="007773B3"/>
    <w:rsid w:val="0078120D"/>
    <w:rsid w:val="007822EB"/>
    <w:rsid w:val="00785D24"/>
    <w:rsid w:val="00786850"/>
    <w:rsid w:val="007869D7"/>
    <w:rsid w:val="007907C7"/>
    <w:rsid w:val="00791BC9"/>
    <w:rsid w:val="00791F5F"/>
    <w:rsid w:val="00793259"/>
    <w:rsid w:val="007934FD"/>
    <w:rsid w:val="0079538A"/>
    <w:rsid w:val="007973FF"/>
    <w:rsid w:val="00797C90"/>
    <w:rsid w:val="007A033C"/>
    <w:rsid w:val="007A36EE"/>
    <w:rsid w:val="007A4A2D"/>
    <w:rsid w:val="007A60A5"/>
    <w:rsid w:val="007B0C4D"/>
    <w:rsid w:val="007B16E1"/>
    <w:rsid w:val="007B1AAD"/>
    <w:rsid w:val="007B1F89"/>
    <w:rsid w:val="007B2E86"/>
    <w:rsid w:val="007B76F0"/>
    <w:rsid w:val="007C0999"/>
    <w:rsid w:val="007C29C8"/>
    <w:rsid w:val="007C39E5"/>
    <w:rsid w:val="007C47B1"/>
    <w:rsid w:val="007C4BCA"/>
    <w:rsid w:val="007C5533"/>
    <w:rsid w:val="007D0472"/>
    <w:rsid w:val="007D047C"/>
    <w:rsid w:val="007D0A02"/>
    <w:rsid w:val="007D1ED4"/>
    <w:rsid w:val="007D2E0A"/>
    <w:rsid w:val="007D326C"/>
    <w:rsid w:val="007D4D8F"/>
    <w:rsid w:val="007E052B"/>
    <w:rsid w:val="007E1190"/>
    <w:rsid w:val="007E1D4C"/>
    <w:rsid w:val="007E381C"/>
    <w:rsid w:val="007E4769"/>
    <w:rsid w:val="007E4900"/>
    <w:rsid w:val="007E5451"/>
    <w:rsid w:val="007E5B3E"/>
    <w:rsid w:val="007F0E83"/>
    <w:rsid w:val="007F14AD"/>
    <w:rsid w:val="007F2F6B"/>
    <w:rsid w:val="007F74A3"/>
    <w:rsid w:val="00800BC7"/>
    <w:rsid w:val="00800CA3"/>
    <w:rsid w:val="0080160A"/>
    <w:rsid w:val="00801FD4"/>
    <w:rsid w:val="00804323"/>
    <w:rsid w:val="00804AF4"/>
    <w:rsid w:val="00807405"/>
    <w:rsid w:val="00812951"/>
    <w:rsid w:val="00813332"/>
    <w:rsid w:val="0081531A"/>
    <w:rsid w:val="00815F9D"/>
    <w:rsid w:val="008162B4"/>
    <w:rsid w:val="00816C57"/>
    <w:rsid w:val="00817AE6"/>
    <w:rsid w:val="00820C36"/>
    <w:rsid w:val="00820D0E"/>
    <w:rsid w:val="00820EFC"/>
    <w:rsid w:val="008221F9"/>
    <w:rsid w:val="00822972"/>
    <w:rsid w:val="00823E90"/>
    <w:rsid w:val="00824612"/>
    <w:rsid w:val="0082635D"/>
    <w:rsid w:val="00830C34"/>
    <w:rsid w:val="00830DBD"/>
    <w:rsid w:val="008310C6"/>
    <w:rsid w:val="008313B0"/>
    <w:rsid w:val="00832151"/>
    <w:rsid w:val="00834DE9"/>
    <w:rsid w:val="008354D7"/>
    <w:rsid w:val="00840E53"/>
    <w:rsid w:val="0084203C"/>
    <w:rsid w:val="008433C8"/>
    <w:rsid w:val="00843909"/>
    <w:rsid w:val="00845110"/>
    <w:rsid w:val="00845181"/>
    <w:rsid w:val="008462D3"/>
    <w:rsid w:val="00846A41"/>
    <w:rsid w:val="0085047E"/>
    <w:rsid w:val="0085091F"/>
    <w:rsid w:val="00850CBE"/>
    <w:rsid w:val="008515BC"/>
    <w:rsid w:val="0085527A"/>
    <w:rsid w:val="008560A5"/>
    <w:rsid w:val="008578E4"/>
    <w:rsid w:val="00857F20"/>
    <w:rsid w:val="0086033F"/>
    <w:rsid w:val="00860B64"/>
    <w:rsid w:val="0086307F"/>
    <w:rsid w:val="00867574"/>
    <w:rsid w:val="00867B65"/>
    <w:rsid w:val="008707D6"/>
    <w:rsid w:val="00870D6E"/>
    <w:rsid w:val="00875425"/>
    <w:rsid w:val="00877AFE"/>
    <w:rsid w:val="00877B75"/>
    <w:rsid w:val="0088016B"/>
    <w:rsid w:val="00883B8A"/>
    <w:rsid w:val="00885210"/>
    <w:rsid w:val="00885E53"/>
    <w:rsid w:val="008863BB"/>
    <w:rsid w:val="00887ED8"/>
    <w:rsid w:val="008940F9"/>
    <w:rsid w:val="0089608C"/>
    <w:rsid w:val="00897F29"/>
    <w:rsid w:val="008A08FB"/>
    <w:rsid w:val="008A183C"/>
    <w:rsid w:val="008A1E0D"/>
    <w:rsid w:val="008A2AEF"/>
    <w:rsid w:val="008A2DDE"/>
    <w:rsid w:val="008A41C6"/>
    <w:rsid w:val="008A50DB"/>
    <w:rsid w:val="008A512B"/>
    <w:rsid w:val="008A5916"/>
    <w:rsid w:val="008A7D22"/>
    <w:rsid w:val="008B4D75"/>
    <w:rsid w:val="008B53D3"/>
    <w:rsid w:val="008C2C7D"/>
    <w:rsid w:val="008C4A7D"/>
    <w:rsid w:val="008D072A"/>
    <w:rsid w:val="008D49DA"/>
    <w:rsid w:val="008D4A28"/>
    <w:rsid w:val="008D5680"/>
    <w:rsid w:val="008D69A5"/>
    <w:rsid w:val="008E1154"/>
    <w:rsid w:val="008E3506"/>
    <w:rsid w:val="008E469B"/>
    <w:rsid w:val="008E6DF6"/>
    <w:rsid w:val="008E6E79"/>
    <w:rsid w:val="008F15F9"/>
    <w:rsid w:val="008F19E9"/>
    <w:rsid w:val="008F1C85"/>
    <w:rsid w:val="008F270B"/>
    <w:rsid w:val="008F69DC"/>
    <w:rsid w:val="008F6C23"/>
    <w:rsid w:val="00900FE8"/>
    <w:rsid w:val="00901610"/>
    <w:rsid w:val="00903F2E"/>
    <w:rsid w:val="009041C0"/>
    <w:rsid w:val="009054E1"/>
    <w:rsid w:val="00906DBA"/>
    <w:rsid w:val="0091039C"/>
    <w:rsid w:val="00912590"/>
    <w:rsid w:val="009125CB"/>
    <w:rsid w:val="00912628"/>
    <w:rsid w:val="00912AD6"/>
    <w:rsid w:val="00913E7A"/>
    <w:rsid w:val="009141F7"/>
    <w:rsid w:val="00914794"/>
    <w:rsid w:val="00914EC3"/>
    <w:rsid w:val="0091593E"/>
    <w:rsid w:val="009200DE"/>
    <w:rsid w:val="009233B4"/>
    <w:rsid w:val="0092535C"/>
    <w:rsid w:val="00926052"/>
    <w:rsid w:val="00927C43"/>
    <w:rsid w:val="009361C3"/>
    <w:rsid w:val="009426F5"/>
    <w:rsid w:val="009434C4"/>
    <w:rsid w:val="00943CF8"/>
    <w:rsid w:val="009452AB"/>
    <w:rsid w:val="00945FE2"/>
    <w:rsid w:val="009469C8"/>
    <w:rsid w:val="00946C4E"/>
    <w:rsid w:val="00947B8A"/>
    <w:rsid w:val="0095177A"/>
    <w:rsid w:val="0095249C"/>
    <w:rsid w:val="00952C65"/>
    <w:rsid w:val="00952CBD"/>
    <w:rsid w:val="009537B4"/>
    <w:rsid w:val="00953F54"/>
    <w:rsid w:val="009542B7"/>
    <w:rsid w:val="00954364"/>
    <w:rsid w:val="0095696E"/>
    <w:rsid w:val="00956DC3"/>
    <w:rsid w:val="0096196B"/>
    <w:rsid w:val="00962D8D"/>
    <w:rsid w:val="00963466"/>
    <w:rsid w:val="00963728"/>
    <w:rsid w:val="00963AC0"/>
    <w:rsid w:val="009643A9"/>
    <w:rsid w:val="00964ADC"/>
    <w:rsid w:val="009659FD"/>
    <w:rsid w:val="00965AAC"/>
    <w:rsid w:val="009712BD"/>
    <w:rsid w:val="0097270C"/>
    <w:rsid w:val="00972843"/>
    <w:rsid w:val="009744FE"/>
    <w:rsid w:val="009777F6"/>
    <w:rsid w:val="00980005"/>
    <w:rsid w:val="009802D6"/>
    <w:rsid w:val="009810E4"/>
    <w:rsid w:val="009817DD"/>
    <w:rsid w:val="00981AC9"/>
    <w:rsid w:val="0098464A"/>
    <w:rsid w:val="00984BB4"/>
    <w:rsid w:val="00986FD3"/>
    <w:rsid w:val="00987ADE"/>
    <w:rsid w:val="0099011E"/>
    <w:rsid w:val="009907E8"/>
    <w:rsid w:val="00991D0D"/>
    <w:rsid w:val="00995D1B"/>
    <w:rsid w:val="00996BC0"/>
    <w:rsid w:val="009A01F9"/>
    <w:rsid w:val="009A0343"/>
    <w:rsid w:val="009A55B5"/>
    <w:rsid w:val="009A566B"/>
    <w:rsid w:val="009A5FE9"/>
    <w:rsid w:val="009A60AE"/>
    <w:rsid w:val="009A7640"/>
    <w:rsid w:val="009B0500"/>
    <w:rsid w:val="009B0EA8"/>
    <w:rsid w:val="009B3448"/>
    <w:rsid w:val="009B35F6"/>
    <w:rsid w:val="009B4A86"/>
    <w:rsid w:val="009B5665"/>
    <w:rsid w:val="009B6195"/>
    <w:rsid w:val="009B6FA7"/>
    <w:rsid w:val="009C01D7"/>
    <w:rsid w:val="009C0C06"/>
    <w:rsid w:val="009C23B4"/>
    <w:rsid w:val="009C3E3C"/>
    <w:rsid w:val="009C4AC4"/>
    <w:rsid w:val="009C505A"/>
    <w:rsid w:val="009C5A48"/>
    <w:rsid w:val="009C6CCF"/>
    <w:rsid w:val="009C7A89"/>
    <w:rsid w:val="009C7D29"/>
    <w:rsid w:val="009D3450"/>
    <w:rsid w:val="009D369F"/>
    <w:rsid w:val="009D3A25"/>
    <w:rsid w:val="009D496C"/>
    <w:rsid w:val="009D4ED2"/>
    <w:rsid w:val="009D6B3C"/>
    <w:rsid w:val="009E0F4A"/>
    <w:rsid w:val="009E134E"/>
    <w:rsid w:val="009E24AE"/>
    <w:rsid w:val="009E6B60"/>
    <w:rsid w:val="009F1D75"/>
    <w:rsid w:val="009F22AC"/>
    <w:rsid w:val="009F4A85"/>
    <w:rsid w:val="009F4F03"/>
    <w:rsid w:val="009F618E"/>
    <w:rsid w:val="009F75C6"/>
    <w:rsid w:val="009F77BE"/>
    <w:rsid w:val="00A00F89"/>
    <w:rsid w:val="00A01104"/>
    <w:rsid w:val="00A029C8"/>
    <w:rsid w:val="00A0334E"/>
    <w:rsid w:val="00A0607A"/>
    <w:rsid w:val="00A0633A"/>
    <w:rsid w:val="00A12640"/>
    <w:rsid w:val="00A13492"/>
    <w:rsid w:val="00A15C25"/>
    <w:rsid w:val="00A17610"/>
    <w:rsid w:val="00A21D66"/>
    <w:rsid w:val="00A22186"/>
    <w:rsid w:val="00A225A7"/>
    <w:rsid w:val="00A22C7E"/>
    <w:rsid w:val="00A257DE"/>
    <w:rsid w:val="00A25DD4"/>
    <w:rsid w:val="00A27C93"/>
    <w:rsid w:val="00A305D9"/>
    <w:rsid w:val="00A321ED"/>
    <w:rsid w:val="00A32C6E"/>
    <w:rsid w:val="00A337E2"/>
    <w:rsid w:val="00A33EAB"/>
    <w:rsid w:val="00A3552C"/>
    <w:rsid w:val="00A36490"/>
    <w:rsid w:val="00A37526"/>
    <w:rsid w:val="00A37592"/>
    <w:rsid w:val="00A37E5D"/>
    <w:rsid w:val="00A40643"/>
    <w:rsid w:val="00A41291"/>
    <w:rsid w:val="00A41425"/>
    <w:rsid w:val="00A42680"/>
    <w:rsid w:val="00A431F4"/>
    <w:rsid w:val="00A432FF"/>
    <w:rsid w:val="00A43414"/>
    <w:rsid w:val="00A44083"/>
    <w:rsid w:val="00A4528D"/>
    <w:rsid w:val="00A454A2"/>
    <w:rsid w:val="00A46664"/>
    <w:rsid w:val="00A466BC"/>
    <w:rsid w:val="00A46FF3"/>
    <w:rsid w:val="00A506B1"/>
    <w:rsid w:val="00A52AEA"/>
    <w:rsid w:val="00A55084"/>
    <w:rsid w:val="00A57999"/>
    <w:rsid w:val="00A60119"/>
    <w:rsid w:val="00A60BBA"/>
    <w:rsid w:val="00A62538"/>
    <w:rsid w:val="00A633A5"/>
    <w:rsid w:val="00A63CAC"/>
    <w:rsid w:val="00A64412"/>
    <w:rsid w:val="00A65162"/>
    <w:rsid w:val="00A654B9"/>
    <w:rsid w:val="00A668B5"/>
    <w:rsid w:val="00A676CB"/>
    <w:rsid w:val="00A74120"/>
    <w:rsid w:val="00A7696F"/>
    <w:rsid w:val="00A76B4D"/>
    <w:rsid w:val="00A81358"/>
    <w:rsid w:val="00A81B67"/>
    <w:rsid w:val="00A83290"/>
    <w:rsid w:val="00A84985"/>
    <w:rsid w:val="00A86172"/>
    <w:rsid w:val="00A8626B"/>
    <w:rsid w:val="00A90F06"/>
    <w:rsid w:val="00A91394"/>
    <w:rsid w:val="00A94379"/>
    <w:rsid w:val="00A94872"/>
    <w:rsid w:val="00A955C6"/>
    <w:rsid w:val="00A97985"/>
    <w:rsid w:val="00AA07A7"/>
    <w:rsid w:val="00AA6342"/>
    <w:rsid w:val="00AA7136"/>
    <w:rsid w:val="00AA7E6A"/>
    <w:rsid w:val="00AB09E7"/>
    <w:rsid w:val="00AB23F0"/>
    <w:rsid w:val="00AB2691"/>
    <w:rsid w:val="00AB2E92"/>
    <w:rsid w:val="00AB3074"/>
    <w:rsid w:val="00AB64B7"/>
    <w:rsid w:val="00AB784D"/>
    <w:rsid w:val="00AC0232"/>
    <w:rsid w:val="00AC21B9"/>
    <w:rsid w:val="00AC3586"/>
    <w:rsid w:val="00AC37B4"/>
    <w:rsid w:val="00AC3A45"/>
    <w:rsid w:val="00AC665A"/>
    <w:rsid w:val="00AD1D95"/>
    <w:rsid w:val="00AD356D"/>
    <w:rsid w:val="00AE07E2"/>
    <w:rsid w:val="00AE75B0"/>
    <w:rsid w:val="00AF061A"/>
    <w:rsid w:val="00AF298A"/>
    <w:rsid w:val="00AF2DB9"/>
    <w:rsid w:val="00AF45B4"/>
    <w:rsid w:val="00AF4F97"/>
    <w:rsid w:val="00AF6C58"/>
    <w:rsid w:val="00AF726D"/>
    <w:rsid w:val="00B001EA"/>
    <w:rsid w:val="00B01A8C"/>
    <w:rsid w:val="00B01E1F"/>
    <w:rsid w:val="00B038DD"/>
    <w:rsid w:val="00B0445B"/>
    <w:rsid w:val="00B0680F"/>
    <w:rsid w:val="00B0682F"/>
    <w:rsid w:val="00B07535"/>
    <w:rsid w:val="00B07E26"/>
    <w:rsid w:val="00B10D62"/>
    <w:rsid w:val="00B13CBE"/>
    <w:rsid w:val="00B13FB1"/>
    <w:rsid w:val="00B14E0D"/>
    <w:rsid w:val="00B16CE1"/>
    <w:rsid w:val="00B1777B"/>
    <w:rsid w:val="00B17B29"/>
    <w:rsid w:val="00B21803"/>
    <w:rsid w:val="00B2664F"/>
    <w:rsid w:val="00B27145"/>
    <w:rsid w:val="00B27DE6"/>
    <w:rsid w:val="00B3385B"/>
    <w:rsid w:val="00B35A8D"/>
    <w:rsid w:val="00B36558"/>
    <w:rsid w:val="00B36BE4"/>
    <w:rsid w:val="00B37D28"/>
    <w:rsid w:val="00B42E5F"/>
    <w:rsid w:val="00B51BE1"/>
    <w:rsid w:val="00B5219C"/>
    <w:rsid w:val="00B529A0"/>
    <w:rsid w:val="00B52C7C"/>
    <w:rsid w:val="00B540CD"/>
    <w:rsid w:val="00B56126"/>
    <w:rsid w:val="00B57F6B"/>
    <w:rsid w:val="00B60E76"/>
    <w:rsid w:val="00B610B6"/>
    <w:rsid w:val="00B61AE8"/>
    <w:rsid w:val="00B62A63"/>
    <w:rsid w:val="00B634B0"/>
    <w:rsid w:val="00B6368C"/>
    <w:rsid w:val="00B65338"/>
    <w:rsid w:val="00B6689D"/>
    <w:rsid w:val="00B71B43"/>
    <w:rsid w:val="00B7201B"/>
    <w:rsid w:val="00B74F68"/>
    <w:rsid w:val="00B77B4F"/>
    <w:rsid w:val="00B80858"/>
    <w:rsid w:val="00B816F1"/>
    <w:rsid w:val="00B83478"/>
    <w:rsid w:val="00B874F8"/>
    <w:rsid w:val="00B87B86"/>
    <w:rsid w:val="00B915A2"/>
    <w:rsid w:val="00B91943"/>
    <w:rsid w:val="00B91DF8"/>
    <w:rsid w:val="00B92CA6"/>
    <w:rsid w:val="00B9303D"/>
    <w:rsid w:val="00B941E6"/>
    <w:rsid w:val="00B944F2"/>
    <w:rsid w:val="00B9460C"/>
    <w:rsid w:val="00B94BD6"/>
    <w:rsid w:val="00B965EE"/>
    <w:rsid w:val="00B96A05"/>
    <w:rsid w:val="00B97CB4"/>
    <w:rsid w:val="00BA0D26"/>
    <w:rsid w:val="00BA2306"/>
    <w:rsid w:val="00BA385E"/>
    <w:rsid w:val="00BA38A0"/>
    <w:rsid w:val="00BA6DE2"/>
    <w:rsid w:val="00BA7E8D"/>
    <w:rsid w:val="00BB2256"/>
    <w:rsid w:val="00BB346D"/>
    <w:rsid w:val="00BB4D23"/>
    <w:rsid w:val="00BB7FF5"/>
    <w:rsid w:val="00BC02D8"/>
    <w:rsid w:val="00BC0341"/>
    <w:rsid w:val="00BC1916"/>
    <w:rsid w:val="00BC25CC"/>
    <w:rsid w:val="00BC7322"/>
    <w:rsid w:val="00BD1F38"/>
    <w:rsid w:val="00BD3377"/>
    <w:rsid w:val="00BD4BDF"/>
    <w:rsid w:val="00BD7FDD"/>
    <w:rsid w:val="00BE26E9"/>
    <w:rsid w:val="00BE27C5"/>
    <w:rsid w:val="00BE5FA6"/>
    <w:rsid w:val="00BF27CD"/>
    <w:rsid w:val="00BF33DF"/>
    <w:rsid w:val="00BF4104"/>
    <w:rsid w:val="00BF55BC"/>
    <w:rsid w:val="00BF5C77"/>
    <w:rsid w:val="00BF63A9"/>
    <w:rsid w:val="00BF73AA"/>
    <w:rsid w:val="00C005E9"/>
    <w:rsid w:val="00C00D04"/>
    <w:rsid w:val="00C00F85"/>
    <w:rsid w:val="00C01721"/>
    <w:rsid w:val="00C01A3D"/>
    <w:rsid w:val="00C03870"/>
    <w:rsid w:val="00C04718"/>
    <w:rsid w:val="00C1236B"/>
    <w:rsid w:val="00C12A14"/>
    <w:rsid w:val="00C138F7"/>
    <w:rsid w:val="00C14F3C"/>
    <w:rsid w:val="00C169A2"/>
    <w:rsid w:val="00C16F30"/>
    <w:rsid w:val="00C17FF1"/>
    <w:rsid w:val="00C213E3"/>
    <w:rsid w:val="00C224B1"/>
    <w:rsid w:val="00C23B5D"/>
    <w:rsid w:val="00C24789"/>
    <w:rsid w:val="00C26843"/>
    <w:rsid w:val="00C26B71"/>
    <w:rsid w:val="00C30C3C"/>
    <w:rsid w:val="00C32DDB"/>
    <w:rsid w:val="00C37417"/>
    <w:rsid w:val="00C40859"/>
    <w:rsid w:val="00C41905"/>
    <w:rsid w:val="00C42D23"/>
    <w:rsid w:val="00C44AD3"/>
    <w:rsid w:val="00C45046"/>
    <w:rsid w:val="00C50D4F"/>
    <w:rsid w:val="00C538E4"/>
    <w:rsid w:val="00C53A47"/>
    <w:rsid w:val="00C561F1"/>
    <w:rsid w:val="00C57253"/>
    <w:rsid w:val="00C574FA"/>
    <w:rsid w:val="00C62A8F"/>
    <w:rsid w:val="00C62D98"/>
    <w:rsid w:val="00C6408D"/>
    <w:rsid w:val="00C6448B"/>
    <w:rsid w:val="00C646A4"/>
    <w:rsid w:val="00C650C1"/>
    <w:rsid w:val="00C66C1D"/>
    <w:rsid w:val="00C66FA1"/>
    <w:rsid w:val="00C711A5"/>
    <w:rsid w:val="00C7657D"/>
    <w:rsid w:val="00C80935"/>
    <w:rsid w:val="00C82504"/>
    <w:rsid w:val="00C82B3B"/>
    <w:rsid w:val="00C82BB1"/>
    <w:rsid w:val="00C8327D"/>
    <w:rsid w:val="00C83E31"/>
    <w:rsid w:val="00C85EFE"/>
    <w:rsid w:val="00C86194"/>
    <w:rsid w:val="00C8653C"/>
    <w:rsid w:val="00C86574"/>
    <w:rsid w:val="00C87DD3"/>
    <w:rsid w:val="00C9073E"/>
    <w:rsid w:val="00C91B50"/>
    <w:rsid w:val="00C94469"/>
    <w:rsid w:val="00C95828"/>
    <w:rsid w:val="00C97449"/>
    <w:rsid w:val="00C97C5E"/>
    <w:rsid w:val="00CA26B4"/>
    <w:rsid w:val="00CA2DBE"/>
    <w:rsid w:val="00CA3EB9"/>
    <w:rsid w:val="00CA52E8"/>
    <w:rsid w:val="00CA70DC"/>
    <w:rsid w:val="00CA72C8"/>
    <w:rsid w:val="00CA75BF"/>
    <w:rsid w:val="00CA765F"/>
    <w:rsid w:val="00CA7AF6"/>
    <w:rsid w:val="00CB01A8"/>
    <w:rsid w:val="00CB04B4"/>
    <w:rsid w:val="00CB0D84"/>
    <w:rsid w:val="00CB0FFC"/>
    <w:rsid w:val="00CB3DA9"/>
    <w:rsid w:val="00CB4907"/>
    <w:rsid w:val="00CB5F40"/>
    <w:rsid w:val="00CC00EC"/>
    <w:rsid w:val="00CC0D85"/>
    <w:rsid w:val="00CC3FF4"/>
    <w:rsid w:val="00CC4124"/>
    <w:rsid w:val="00CC4396"/>
    <w:rsid w:val="00CC4F39"/>
    <w:rsid w:val="00CC60A2"/>
    <w:rsid w:val="00CC793B"/>
    <w:rsid w:val="00CD1FC2"/>
    <w:rsid w:val="00CD3D3F"/>
    <w:rsid w:val="00CD525F"/>
    <w:rsid w:val="00CD5E6C"/>
    <w:rsid w:val="00CD6A04"/>
    <w:rsid w:val="00CD741E"/>
    <w:rsid w:val="00CE12CB"/>
    <w:rsid w:val="00CE24DC"/>
    <w:rsid w:val="00CE3AEA"/>
    <w:rsid w:val="00CE3D63"/>
    <w:rsid w:val="00CE463D"/>
    <w:rsid w:val="00CE7CAA"/>
    <w:rsid w:val="00CF276F"/>
    <w:rsid w:val="00CF27DB"/>
    <w:rsid w:val="00CF3535"/>
    <w:rsid w:val="00CF5B64"/>
    <w:rsid w:val="00CF6157"/>
    <w:rsid w:val="00CF6CE8"/>
    <w:rsid w:val="00CF7DCB"/>
    <w:rsid w:val="00D00D79"/>
    <w:rsid w:val="00D01EE6"/>
    <w:rsid w:val="00D0558A"/>
    <w:rsid w:val="00D05F7D"/>
    <w:rsid w:val="00D07672"/>
    <w:rsid w:val="00D07B69"/>
    <w:rsid w:val="00D1039A"/>
    <w:rsid w:val="00D10C6A"/>
    <w:rsid w:val="00D15571"/>
    <w:rsid w:val="00D15A8F"/>
    <w:rsid w:val="00D17E4E"/>
    <w:rsid w:val="00D22821"/>
    <w:rsid w:val="00D25121"/>
    <w:rsid w:val="00D301B6"/>
    <w:rsid w:val="00D32C12"/>
    <w:rsid w:val="00D340F2"/>
    <w:rsid w:val="00D34ED0"/>
    <w:rsid w:val="00D35310"/>
    <w:rsid w:val="00D35471"/>
    <w:rsid w:val="00D3684C"/>
    <w:rsid w:val="00D368C9"/>
    <w:rsid w:val="00D3721D"/>
    <w:rsid w:val="00D41007"/>
    <w:rsid w:val="00D42C05"/>
    <w:rsid w:val="00D43552"/>
    <w:rsid w:val="00D45835"/>
    <w:rsid w:val="00D471BB"/>
    <w:rsid w:val="00D50D88"/>
    <w:rsid w:val="00D530FC"/>
    <w:rsid w:val="00D537DB"/>
    <w:rsid w:val="00D54D03"/>
    <w:rsid w:val="00D54E47"/>
    <w:rsid w:val="00D6330F"/>
    <w:rsid w:val="00D63F5E"/>
    <w:rsid w:val="00D65560"/>
    <w:rsid w:val="00D65BB7"/>
    <w:rsid w:val="00D66D54"/>
    <w:rsid w:val="00D67367"/>
    <w:rsid w:val="00D677D8"/>
    <w:rsid w:val="00D748DE"/>
    <w:rsid w:val="00D74A6B"/>
    <w:rsid w:val="00D80DEE"/>
    <w:rsid w:val="00D82AC5"/>
    <w:rsid w:val="00D83714"/>
    <w:rsid w:val="00D8418F"/>
    <w:rsid w:val="00D85F88"/>
    <w:rsid w:val="00D8615A"/>
    <w:rsid w:val="00D86781"/>
    <w:rsid w:val="00D8683D"/>
    <w:rsid w:val="00D90441"/>
    <w:rsid w:val="00D906D3"/>
    <w:rsid w:val="00D94AE3"/>
    <w:rsid w:val="00D961A0"/>
    <w:rsid w:val="00D972FD"/>
    <w:rsid w:val="00D97B51"/>
    <w:rsid w:val="00DA32A6"/>
    <w:rsid w:val="00DA3F25"/>
    <w:rsid w:val="00DA6537"/>
    <w:rsid w:val="00DB07D2"/>
    <w:rsid w:val="00DB2A2C"/>
    <w:rsid w:val="00DB41DD"/>
    <w:rsid w:val="00DB58B4"/>
    <w:rsid w:val="00DB5B77"/>
    <w:rsid w:val="00DB6E1E"/>
    <w:rsid w:val="00DC01EE"/>
    <w:rsid w:val="00DC0E1D"/>
    <w:rsid w:val="00DC0F47"/>
    <w:rsid w:val="00DD23A6"/>
    <w:rsid w:val="00DD27B1"/>
    <w:rsid w:val="00DD28C8"/>
    <w:rsid w:val="00DD2D9C"/>
    <w:rsid w:val="00DE21FF"/>
    <w:rsid w:val="00DE4A36"/>
    <w:rsid w:val="00DF17ED"/>
    <w:rsid w:val="00DF4541"/>
    <w:rsid w:val="00E011B3"/>
    <w:rsid w:val="00E0389A"/>
    <w:rsid w:val="00E03ED5"/>
    <w:rsid w:val="00E04457"/>
    <w:rsid w:val="00E04665"/>
    <w:rsid w:val="00E0708B"/>
    <w:rsid w:val="00E125F6"/>
    <w:rsid w:val="00E13785"/>
    <w:rsid w:val="00E13976"/>
    <w:rsid w:val="00E1486E"/>
    <w:rsid w:val="00E14C5C"/>
    <w:rsid w:val="00E166E6"/>
    <w:rsid w:val="00E244D9"/>
    <w:rsid w:val="00E24763"/>
    <w:rsid w:val="00E25E27"/>
    <w:rsid w:val="00E265CD"/>
    <w:rsid w:val="00E26B23"/>
    <w:rsid w:val="00E318B5"/>
    <w:rsid w:val="00E328C3"/>
    <w:rsid w:val="00E332E5"/>
    <w:rsid w:val="00E33405"/>
    <w:rsid w:val="00E33B32"/>
    <w:rsid w:val="00E40D15"/>
    <w:rsid w:val="00E415E6"/>
    <w:rsid w:val="00E4169C"/>
    <w:rsid w:val="00E42C62"/>
    <w:rsid w:val="00E44E19"/>
    <w:rsid w:val="00E472FE"/>
    <w:rsid w:val="00E47794"/>
    <w:rsid w:val="00E47E9C"/>
    <w:rsid w:val="00E53FB8"/>
    <w:rsid w:val="00E54546"/>
    <w:rsid w:val="00E5632E"/>
    <w:rsid w:val="00E56E54"/>
    <w:rsid w:val="00E6054C"/>
    <w:rsid w:val="00E619B9"/>
    <w:rsid w:val="00E61FE7"/>
    <w:rsid w:val="00E62A46"/>
    <w:rsid w:val="00E62C08"/>
    <w:rsid w:val="00E63133"/>
    <w:rsid w:val="00E639CF"/>
    <w:rsid w:val="00E652BF"/>
    <w:rsid w:val="00E66416"/>
    <w:rsid w:val="00E70ECE"/>
    <w:rsid w:val="00E71B27"/>
    <w:rsid w:val="00E728EB"/>
    <w:rsid w:val="00E73C0C"/>
    <w:rsid w:val="00E77544"/>
    <w:rsid w:val="00E82674"/>
    <w:rsid w:val="00E85AD6"/>
    <w:rsid w:val="00E86EE8"/>
    <w:rsid w:val="00E90ED9"/>
    <w:rsid w:val="00E91CB1"/>
    <w:rsid w:val="00E951AD"/>
    <w:rsid w:val="00E957D5"/>
    <w:rsid w:val="00E95B29"/>
    <w:rsid w:val="00E967D4"/>
    <w:rsid w:val="00E97D55"/>
    <w:rsid w:val="00EA03CF"/>
    <w:rsid w:val="00EA066E"/>
    <w:rsid w:val="00EA1328"/>
    <w:rsid w:val="00EA1666"/>
    <w:rsid w:val="00EA2432"/>
    <w:rsid w:val="00EA2603"/>
    <w:rsid w:val="00EA2EE4"/>
    <w:rsid w:val="00EA4F84"/>
    <w:rsid w:val="00EA5BB4"/>
    <w:rsid w:val="00EA62E9"/>
    <w:rsid w:val="00EB2D85"/>
    <w:rsid w:val="00EB3367"/>
    <w:rsid w:val="00EB4B30"/>
    <w:rsid w:val="00EB4DDD"/>
    <w:rsid w:val="00EB65F8"/>
    <w:rsid w:val="00EB67CF"/>
    <w:rsid w:val="00EB69AC"/>
    <w:rsid w:val="00EB6B76"/>
    <w:rsid w:val="00EB74C3"/>
    <w:rsid w:val="00EC0FF1"/>
    <w:rsid w:val="00EC20A6"/>
    <w:rsid w:val="00EC2907"/>
    <w:rsid w:val="00EC3EA7"/>
    <w:rsid w:val="00EC416F"/>
    <w:rsid w:val="00EC5766"/>
    <w:rsid w:val="00EC5E42"/>
    <w:rsid w:val="00ED0DB7"/>
    <w:rsid w:val="00ED4D5C"/>
    <w:rsid w:val="00ED7E32"/>
    <w:rsid w:val="00EE0510"/>
    <w:rsid w:val="00EE28C4"/>
    <w:rsid w:val="00EE4925"/>
    <w:rsid w:val="00EE4C5C"/>
    <w:rsid w:val="00EE5A74"/>
    <w:rsid w:val="00EE6868"/>
    <w:rsid w:val="00EF1C43"/>
    <w:rsid w:val="00EF1C6D"/>
    <w:rsid w:val="00EF27DD"/>
    <w:rsid w:val="00EF2B15"/>
    <w:rsid w:val="00EF47C3"/>
    <w:rsid w:val="00EF4AB9"/>
    <w:rsid w:val="00EF4BB9"/>
    <w:rsid w:val="00EF6AF2"/>
    <w:rsid w:val="00F03660"/>
    <w:rsid w:val="00F036C7"/>
    <w:rsid w:val="00F03D7C"/>
    <w:rsid w:val="00F05D02"/>
    <w:rsid w:val="00F05F22"/>
    <w:rsid w:val="00F06337"/>
    <w:rsid w:val="00F0634F"/>
    <w:rsid w:val="00F06EE9"/>
    <w:rsid w:val="00F11973"/>
    <w:rsid w:val="00F12FEE"/>
    <w:rsid w:val="00F132EF"/>
    <w:rsid w:val="00F14E2F"/>
    <w:rsid w:val="00F15CEB"/>
    <w:rsid w:val="00F20A88"/>
    <w:rsid w:val="00F228F0"/>
    <w:rsid w:val="00F23C89"/>
    <w:rsid w:val="00F25316"/>
    <w:rsid w:val="00F26415"/>
    <w:rsid w:val="00F2735B"/>
    <w:rsid w:val="00F3056D"/>
    <w:rsid w:val="00F30F8C"/>
    <w:rsid w:val="00F3102B"/>
    <w:rsid w:val="00F34BCD"/>
    <w:rsid w:val="00F36A46"/>
    <w:rsid w:val="00F36C0D"/>
    <w:rsid w:val="00F36D0B"/>
    <w:rsid w:val="00F36EC8"/>
    <w:rsid w:val="00F37BCB"/>
    <w:rsid w:val="00F40561"/>
    <w:rsid w:val="00F405DF"/>
    <w:rsid w:val="00F409D7"/>
    <w:rsid w:val="00F425C5"/>
    <w:rsid w:val="00F42C5E"/>
    <w:rsid w:val="00F43E1A"/>
    <w:rsid w:val="00F43F3D"/>
    <w:rsid w:val="00F45298"/>
    <w:rsid w:val="00F456FB"/>
    <w:rsid w:val="00F4705C"/>
    <w:rsid w:val="00F47150"/>
    <w:rsid w:val="00F50CA7"/>
    <w:rsid w:val="00F5184A"/>
    <w:rsid w:val="00F54639"/>
    <w:rsid w:val="00F54721"/>
    <w:rsid w:val="00F570A5"/>
    <w:rsid w:val="00F60982"/>
    <w:rsid w:val="00F62AE5"/>
    <w:rsid w:val="00F62B49"/>
    <w:rsid w:val="00F66B6B"/>
    <w:rsid w:val="00F71C25"/>
    <w:rsid w:val="00F7379E"/>
    <w:rsid w:val="00F739DB"/>
    <w:rsid w:val="00F74D93"/>
    <w:rsid w:val="00F77B16"/>
    <w:rsid w:val="00F802DD"/>
    <w:rsid w:val="00F808EC"/>
    <w:rsid w:val="00F83242"/>
    <w:rsid w:val="00F839F9"/>
    <w:rsid w:val="00F85210"/>
    <w:rsid w:val="00F85283"/>
    <w:rsid w:val="00F8581F"/>
    <w:rsid w:val="00F85C13"/>
    <w:rsid w:val="00F86204"/>
    <w:rsid w:val="00F8785B"/>
    <w:rsid w:val="00F904E8"/>
    <w:rsid w:val="00F91980"/>
    <w:rsid w:val="00F92399"/>
    <w:rsid w:val="00F923DA"/>
    <w:rsid w:val="00F9267D"/>
    <w:rsid w:val="00F926CF"/>
    <w:rsid w:val="00FA020C"/>
    <w:rsid w:val="00FA1FD8"/>
    <w:rsid w:val="00FA363B"/>
    <w:rsid w:val="00FA38EA"/>
    <w:rsid w:val="00FA3D0F"/>
    <w:rsid w:val="00FA452D"/>
    <w:rsid w:val="00FA50E8"/>
    <w:rsid w:val="00FA5835"/>
    <w:rsid w:val="00FA59F5"/>
    <w:rsid w:val="00FA6B41"/>
    <w:rsid w:val="00FB2D34"/>
    <w:rsid w:val="00FB376B"/>
    <w:rsid w:val="00FB3B44"/>
    <w:rsid w:val="00FB3F5F"/>
    <w:rsid w:val="00FB585F"/>
    <w:rsid w:val="00FB5CF0"/>
    <w:rsid w:val="00FB6CC1"/>
    <w:rsid w:val="00FB75A1"/>
    <w:rsid w:val="00FB7B18"/>
    <w:rsid w:val="00FC0BF6"/>
    <w:rsid w:val="00FC10DA"/>
    <w:rsid w:val="00FC2403"/>
    <w:rsid w:val="00FC5346"/>
    <w:rsid w:val="00FC61E6"/>
    <w:rsid w:val="00FC77AA"/>
    <w:rsid w:val="00FD3BF7"/>
    <w:rsid w:val="00FD5604"/>
    <w:rsid w:val="00FE051B"/>
    <w:rsid w:val="00FE1DF3"/>
    <w:rsid w:val="00FE60CF"/>
    <w:rsid w:val="00FE664D"/>
    <w:rsid w:val="00FF0B6F"/>
    <w:rsid w:val="00FF0F96"/>
    <w:rsid w:val="00FF1520"/>
    <w:rsid w:val="00FF28DD"/>
    <w:rsid w:val="00FF3B30"/>
    <w:rsid w:val="00FF4193"/>
    <w:rsid w:val="00FF46DC"/>
    <w:rsid w:val="00FF5190"/>
    <w:rsid w:val="00FF613F"/>
    <w:rsid w:val="3313B0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CF81CD"/>
  <w15:docId w15:val="{C3E5D7ED-E198-4D72-B6E7-569D7E1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A2"/>
    <w:pPr>
      <w:spacing w:after="200" w:line="276" w:lineRule="auto"/>
    </w:pPr>
    <w:rPr>
      <w:sz w:val="22"/>
      <w:szCs w:val="22"/>
      <w:lang w:eastAsia="en-US"/>
    </w:rPr>
  </w:style>
  <w:style w:type="paragraph" w:styleId="Ttulo1">
    <w:name w:val="heading 1"/>
    <w:basedOn w:val="Normal"/>
    <w:link w:val="Ttulo1Char"/>
    <w:uiPriority w:val="9"/>
    <w:qFormat/>
    <w:rsid w:val="00CE463D"/>
    <w:pPr>
      <w:spacing w:before="100" w:beforeAutospacing="1" w:after="100" w:afterAutospacing="1" w:line="240" w:lineRule="auto"/>
      <w:outlineLvl w:val="0"/>
    </w:pPr>
    <w:rPr>
      <w:rFonts w:ascii="Times New Roman" w:eastAsia="Times New Roman" w:hAnsi="Times New Roman"/>
      <w:b/>
      <w:bCs/>
      <w:kern w:val="36"/>
      <w:sz w:val="48"/>
      <w:szCs w:val="48"/>
      <w:lang w:eastAsia="pt-BR"/>
    </w:rPr>
  </w:style>
  <w:style w:type="paragraph" w:styleId="Ttulo2">
    <w:name w:val="heading 2"/>
    <w:basedOn w:val="Normal"/>
    <w:next w:val="Normal"/>
    <w:link w:val="Ttulo2Char"/>
    <w:uiPriority w:val="9"/>
    <w:unhideWhenUsed/>
    <w:qFormat/>
    <w:rsid w:val="004C60A8"/>
    <w:pPr>
      <w:keepNext/>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har"/>
    <w:uiPriority w:val="9"/>
    <w:unhideWhenUsed/>
    <w:qFormat/>
    <w:rsid w:val="00F60982"/>
    <w:pPr>
      <w:keepNext/>
      <w:spacing w:before="240" w:after="60"/>
      <w:outlineLvl w:val="2"/>
    </w:pPr>
    <w:rPr>
      <w:rFonts w:ascii="Cambria" w:eastAsia="Times New Roman" w:hAnsi="Cambria"/>
      <w:b/>
      <w:bCs/>
      <w:sz w:val="26"/>
      <w:szCs w:val="26"/>
    </w:rPr>
  </w:style>
  <w:style w:type="paragraph" w:styleId="Ttulo4">
    <w:name w:val="heading 4"/>
    <w:basedOn w:val="Normal"/>
    <w:next w:val="Normal"/>
    <w:link w:val="Ttulo4Char"/>
    <w:uiPriority w:val="9"/>
    <w:unhideWhenUsed/>
    <w:qFormat/>
    <w:rsid w:val="00F60982"/>
    <w:pPr>
      <w:keepNext/>
      <w:keepLines/>
      <w:spacing w:before="200" w:after="0"/>
      <w:jc w:val="both"/>
      <w:outlineLvl w:val="3"/>
    </w:pPr>
    <w:rPr>
      <w:rFonts w:ascii="Cambria" w:eastAsia="Times New Roman" w:hAnsi="Cambria"/>
      <w:b/>
      <w:bCs/>
      <w:i/>
      <w:iCs/>
      <w:color w:val="4F81BD"/>
    </w:rPr>
  </w:style>
  <w:style w:type="paragraph" w:styleId="Ttulo5">
    <w:name w:val="heading 5"/>
    <w:basedOn w:val="Normal"/>
    <w:next w:val="Normal"/>
    <w:link w:val="Ttulo5Char"/>
    <w:semiHidden/>
    <w:unhideWhenUsed/>
    <w:qFormat/>
    <w:rsid w:val="002453A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01BE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01BED"/>
  </w:style>
  <w:style w:type="paragraph" w:styleId="Rodap">
    <w:name w:val="footer"/>
    <w:basedOn w:val="Normal"/>
    <w:link w:val="RodapChar"/>
    <w:uiPriority w:val="99"/>
    <w:unhideWhenUsed/>
    <w:rsid w:val="00201BED"/>
    <w:pPr>
      <w:tabs>
        <w:tab w:val="center" w:pos="4252"/>
        <w:tab w:val="right" w:pos="8504"/>
      </w:tabs>
      <w:spacing w:after="0" w:line="240" w:lineRule="auto"/>
    </w:pPr>
  </w:style>
  <w:style w:type="character" w:customStyle="1" w:styleId="RodapChar">
    <w:name w:val="Rodapé Char"/>
    <w:basedOn w:val="Fontepargpadro"/>
    <w:link w:val="Rodap"/>
    <w:uiPriority w:val="99"/>
    <w:rsid w:val="00201BED"/>
  </w:style>
  <w:style w:type="paragraph" w:styleId="Textodebalo">
    <w:name w:val="Balloon Text"/>
    <w:basedOn w:val="Normal"/>
    <w:link w:val="TextodebaloChar"/>
    <w:uiPriority w:val="99"/>
    <w:semiHidden/>
    <w:unhideWhenUsed/>
    <w:rsid w:val="00201BED"/>
    <w:pPr>
      <w:spacing w:after="0" w:line="240" w:lineRule="auto"/>
    </w:pPr>
    <w:rPr>
      <w:rFonts w:ascii="Tahoma" w:hAnsi="Tahoma"/>
      <w:sz w:val="16"/>
      <w:szCs w:val="16"/>
    </w:rPr>
  </w:style>
  <w:style w:type="character" w:customStyle="1" w:styleId="TextodebaloChar">
    <w:name w:val="Texto de balão Char"/>
    <w:link w:val="Textodebalo"/>
    <w:uiPriority w:val="99"/>
    <w:semiHidden/>
    <w:rsid w:val="00201BED"/>
    <w:rPr>
      <w:rFonts w:ascii="Tahoma" w:hAnsi="Tahoma" w:cs="Tahoma"/>
      <w:sz w:val="16"/>
      <w:szCs w:val="16"/>
    </w:rPr>
  </w:style>
  <w:style w:type="character" w:customStyle="1" w:styleId="hps">
    <w:name w:val="hps"/>
    <w:basedOn w:val="Fontepargpadro"/>
    <w:uiPriority w:val="99"/>
    <w:rsid w:val="00F30F8C"/>
  </w:style>
  <w:style w:type="character" w:customStyle="1" w:styleId="Ttulo1Char">
    <w:name w:val="Título 1 Char"/>
    <w:link w:val="Ttulo1"/>
    <w:uiPriority w:val="9"/>
    <w:rsid w:val="00CE463D"/>
    <w:rPr>
      <w:rFonts w:ascii="Times New Roman" w:eastAsia="Times New Roman" w:hAnsi="Times New Roman" w:cs="Times New Roman"/>
      <w:b/>
      <w:bCs/>
      <w:kern w:val="36"/>
      <w:sz w:val="48"/>
      <w:szCs w:val="48"/>
      <w:lang w:eastAsia="pt-BR"/>
    </w:rPr>
  </w:style>
  <w:style w:type="character" w:styleId="Hyperlink">
    <w:name w:val="Hyperlink"/>
    <w:uiPriority w:val="99"/>
    <w:unhideWhenUsed/>
    <w:rsid w:val="003A15A1"/>
    <w:rPr>
      <w:color w:val="0000FF"/>
      <w:u w:val="single"/>
    </w:rPr>
  </w:style>
  <w:style w:type="table" w:styleId="Tabelacomgrade">
    <w:name w:val="Table Grid"/>
    <w:basedOn w:val="Tabelanormal"/>
    <w:uiPriority w:val="39"/>
    <w:rsid w:val="00FF613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mentoClaro1">
    <w:name w:val="Sombreamento Claro1"/>
    <w:basedOn w:val="Tabelanormal"/>
    <w:uiPriority w:val="60"/>
    <w:rsid w:val="00FF61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Refdecomentrio">
    <w:name w:val="annotation reference"/>
    <w:uiPriority w:val="99"/>
    <w:semiHidden/>
    <w:unhideWhenUsed/>
    <w:rsid w:val="00DA3F25"/>
    <w:rPr>
      <w:sz w:val="16"/>
      <w:szCs w:val="16"/>
    </w:rPr>
  </w:style>
  <w:style w:type="paragraph" w:styleId="Textodecomentrio">
    <w:name w:val="annotation text"/>
    <w:basedOn w:val="Normal"/>
    <w:link w:val="TextodecomentrioChar"/>
    <w:uiPriority w:val="99"/>
    <w:unhideWhenUsed/>
    <w:rsid w:val="00DA3F25"/>
    <w:pPr>
      <w:spacing w:line="240" w:lineRule="auto"/>
    </w:pPr>
    <w:rPr>
      <w:sz w:val="20"/>
      <w:szCs w:val="20"/>
    </w:rPr>
  </w:style>
  <w:style w:type="character" w:customStyle="1" w:styleId="TextodecomentrioChar">
    <w:name w:val="Texto de comentário Char"/>
    <w:link w:val="Textodecomentrio"/>
    <w:uiPriority w:val="99"/>
    <w:rsid w:val="00DA3F25"/>
    <w:rPr>
      <w:sz w:val="20"/>
      <w:szCs w:val="20"/>
    </w:rPr>
  </w:style>
  <w:style w:type="paragraph" w:styleId="Assuntodocomentrio">
    <w:name w:val="annotation subject"/>
    <w:basedOn w:val="Textodecomentrio"/>
    <w:next w:val="Textodecomentrio"/>
    <w:link w:val="AssuntodocomentrioChar"/>
    <w:uiPriority w:val="99"/>
    <w:semiHidden/>
    <w:unhideWhenUsed/>
    <w:rsid w:val="00DA3F25"/>
    <w:rPr>
      <w:b/>
      <w:bCs/>
    </w:rPr>
  </w:style>
  <w:style w:type="character" w:customStyle="1" w:styleId="AssuntodocomentrioChar">
    <w:name w:val="Assunto do comentário Char"/>
    <w:link w:val="Assuntodocomentrio"/>
    <w:uiPriority w:val="99"/>
    <w:semiHidden/>
    <w:rsid w:val="00DA3F25"/>
    <w:rPr>
      <w:b/>
      <w:bCs/>
      <w:sz w:val="20"/>
      <w:szCs w:val="20"/>
    </w:rPr>
  </w:style>
  <w:style w:type="table" w:customStyle="1" w:styleId="SombreamentoClaro2">
    <w:name w:val="Sombreamento Claro2"/>
    <w:basedOn w:val="Tabelanormal"/>
    <w:uiPriority w:val="60"/>
    <w:rsid w:val="00A81358"/>
    <w:rPr>
      <w:rFonts w:ascii="Times New Roman" w:eastAsia="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uthors">
    <w:name w:val="authors"/>
    <w:basedOn w:val="Fontepargpadro"/>
    <w:rsid w:val="000C31E2"/>
  </w:style>
  <w:style w:type="paragraph" w:styleId="Legenda">
    <w:name w:val="caption"/>
    <w:basedOn w:val="Normal"/>
    <w:next w:val="Normal"/>
    <w:uiPriority w:val="35"/>
    <w:unhideWhenUsed/>
    <w:qFormat/>
    <w:rsid w:val="009141F7"/>
    <w:pPr>
      <w:spacing w:line="240" w:lineRule="auto"/>
    </w:pPr>
    <w:rPr>
      <w:rFonts w:eastAsia="Times New Roman"/>
      <w:b/>
      <w:bCs/>
      <w:color w:val="4F81BD"/>
      <w:sz w:val="18"/>
      <w:szCs w:val="18"/>
      <w:lang w:eastAsia="pt-BR"/>
    </w:rPr>
  </w:style>
  <w:style w:type="table" w:customStyle="1" w:styleId="SombreamentoClaro21">
    <w:name w:val="Sombreamento Claro21"/>
    <w:basedOn w:val="Tabelanormal"/>
    <w:uiPriority w:val="60"/>
    <w:rsid w:val="009141F7"/>
    <w:rPr>
      <w:rFonts w:eastAsia="Times New Roman"/>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PargrafodaLista">
    <w:name w:val="List Paragraph"/>
    <w:basedOn w:val="Normal"/>
    <w:link w:val="PargrafodaListaChar"/>
    <w:uiPriority w:val="34"/>
    <w:qFormat/>
    <w:rsid w:val="00FC5346"/>
    <w:pPr>
      <w:ind w:left="720"/>
      <w:contextualSpacing/>
    </w:pPr>
  </w:style>
  <w:style w:type="character" w:customStyle="1" w:styleId="A2">
    <w:name w:val="A2"/>
    <w:uiPriority w:val="99"/>
    <w:rsid w:val="00C8327D"/>
    <w:rPr>
      <w:color w:val="000000"/>
    </w:rPr>
  </w:style>
  <w:style w:type="paragraph" w:styleId="NormalWeb">
    <w:name w:val="Normal (Web)"/>
    <w:basedOn w:val="Normal"/>
    <w:uiPriority w:val="99"/>
    <w:rsid w:val="00C12A14"/>
    <w:pPr>
      <w:spacing w:before="100" w:beforeAutospacing="1" w:after="100" w:afterAutospacing="1" w:line="240" w:lineRule="auto"/>
    </w:pPr>
    <w:rPr>
      <w:rFonts w:ascii="Times New Roman" w:eastAsia="Times New Roman" w:hAnsi="Times New Roman"/>
      <w:sz w:val="24"/>
      <w:szCs w:val="24"/>
      <w:lang w:eastAsia="pt-BR"/>
    </w:rPr>
  </w:style>
  <w:style w:type="paragraph" w:styleId="Corpodetexto">
    <w:name w:val="Body Text"/>
    <w:basedOn w:val="Normal"/>
    <w:link w:val="CorpodetextoChar"/>
    <w:uiPriority w:val="99"/>
    <w:unhideWhenUsed/>
    <w:rsid w:val="001564E1"/>
    <w:pPr>
      <w:spacing w:after="120"/>
    </w:pPr>
    <w:rPr>
      <w:sz w:val="20"/>
      <w:szCs w:val="20"/>
    </w:rPr>
  </w:style>
  <w:style w:type="character" w:customStyle="1" w:styleId="CorpodetextoChar">
    <w:name w:val="Corpo de texto Char"/>
    <w:link w:val="Corpodetexto"/>
    <w:uiPriority w:val="99"/>
    <w:rsid w:val="001564E1"/>
  </w:style>
  <w:style w:type="paragraph" w:customStyle="1" w:styleId="Default">
    <w:name w:val="Default"/>
    <w:rsid w:val="00A8626B"/>
    <w:pPr>
      <w:autoSpaceDE w:val="0"/>
      <w:autoSpaceDN w:val="0"/>
      <w:adjustRightInd w:val="0"/>
    </w:pPr>
    <w:rPr>
      <w:rFonts w:ascii="Times New Roman" w:hAnsi="Times New Roman"/>
      <w:color w:val="000000"/>
      <w:sz w:val="24"/>
      <w:szCs w:val="24"/>
      <w:u w:val="single"/>
      <w:lang w:eastAsia="en-US"/>
    </w:rPr>
  </w:style>
  <w:style w:type="paragraph" w:customStyle="1" w:styleId="Anattexto">
    <w:name w:val="Anat texto"/>
    <w:rsid w:val="00A8626B"/>
    <w:pPr>
      <w:spacing w:before="120" w:after="120"/>
      <w:ind w:firstLine="709"/>
      <w:jc w:val="both"/>
    </w:pPr>
    <w:rPr>
      <w:rFonts w:ascii="Tahoma" w:eastAsia="Arial Unicode MS" w:hAnsi="Tahoma" w:cs="Arial Unicode MS"/>
      <w:sz w:val="24"/>
      <w:szCs w:val="24"/>
    </w:rPr>
  </w:style>
  <w:style w:type="character" w:customStyle="1" w:styleId="A5">
    <w:name w:val="A5"/>
    <w:uiPriority w:val="99"/>
    <w:rsid w:val="00A8626B"/>
    <w:rPr>
      <w:color w:val="000000"/>
      <w:sz w:val="20"/>
      <w:szCs w:val="20"/>
    </w:rPr>
  </w:style>
  <w:style w:type="character" w:customStyle="1" w:styleId="apple-converted-space">
    <w:name w:val="apple-converted-space"/>
    <w:basedOn w:val="Fontepargpadro"/>
    <w:rsid w:val="00FD3BF7"/>
  </w:style>
  <w:style w:type="character" w:styleId="Nmerodelinha">
    <w:name w:val="line number"/>
    <w:basedOn w:val="Fontepargpadro"/>
    <w:uiPriority w:val="99"/>
    <w:semiHidden/>
    <w:unhideWhenUsed/>
    <w:rsid w:val="0057746E"/>
  </w:style>
  <w:style w:type="paragraph" w:styleId="SemEspaamento">
    <w:name w:val="No Spacing"/>
    <w:link w:val="SemEspaamentoChar"/>
    <w:uiPriority w:val="1"/>
    <w:qFormat/>
    <w:rsid w:val="00E472FE"/>
    <w:rPr>
      <w:rFonts w:ascii="Arial" w:hAnsi="Arial"/>
      <w:sz w:val="24"/>
      <w:szCs w:val="22"/>
      <w:lang w:eastAsia="en-US"/>
    </w:rPr>
  </w:style>
  <w:style w:type="character" w:customStyle="1" w:styleId="apple-style-span">
    <w:name w:val="apple-style-span"/>
    <w:basedOn w:val="Fontepargpadro"/>
    <w:rsid w:val="00A668B5"/>
  </w:style>
  <w:style w:type="character" w:customStyle="1" w:styleId="A3">
    <w:name w:val="A3"/>
    <w:uiPriority w:val="99"/>
    <w:rsid w:val="00981AC9"/>
    <w:rPr>
      <w:color w:val="000000"/>
      <w:sz w:val="20"/>
      <w:szCs w:val="20"/>
    </w:rPr>
  </w:style>
  <w:style w:type="paragraph" w:styleId="Ttulo">
    <w:name w:val="Title"/>
    <w:basedOn w:val="Normal"/>
    <w:link w:val="TtuloChar"/>
    <w:qFormat/>
    <w:rsid w:val="00E244D9"/>
    <w:pPr>
      <w:tabs>
        <w:tab w:val="left" w:pos="720"/>
      </w:tabs>
      <w:spacing w:before="240" w:after="0" w:line="240" w:lineRule="auto"/>
      <w:ind w:firstLine="397"/>
      <w:jc w:val="center"/>
    </w:pPr>
    <w:rPr>
      <w:rFonts w:ascii="Times" w:eastAsia="Times New Roman" w:hAnsi="Times"/>
      <w:b/>
      <w:bCs/>
      <w:sz w:val="32"/>
      <w:szCs w:val="32"/>
      <w:lang w:val="en-US"/>
    </w:rPr>
  </w:style>
  <w:style w:type="character" w:customStyle="1" w:styleId="TtuloChar">
    <w:name w:val="Título Char"/>
    <w:link w:val="Ttulo"/>
    <w:rsid w:val="00E244D9"/>
    <w:rPr>
      <w:rFonts w:ascii="Times" w:eastAsia="Times New Roman" w:hAnsi="Times" w:cs="Arial"/>
      <w:b/>
      <w:bCs/>
      <w:sz w:val="32"/>
      <w:szCs w:val="32"/>
      <w:lang w:val="en-US"/>
    </w:rPr>
  </w:style>
  <w:style w:type="paragraph" w:customStyle="1" w:styleId="Figure">
    <w:name w:val="Figure"/>
    <w:basedOn w:val="Normal"/>
    <w:rsid w:val="00115EAE"/>
    <w:pPr>
      <w:tabs>
        <w:tab w:val="left" w:pos="720"/>
      </w:tabs>
      <w:spacing w:before="120" w:after="0" w:line="240" w:lineRule="auto"/>
      <w:jc w:val="center"/>
    </w:pPr>
    <w:rPr>
      <w:rFonts w:ascii="Times" w:eastAsia="Times New Roman" w:hAnsi="Times"/>
      <w:noProof/>
      <w:sz w:val="24"/>
      <w:szCs w:val="20"/>
      <w:lang w:val="en-US" w:eastAsia="pt-BR"/>
    </w:rPr>
  </w:style>
  <w:style w:type="paragraph" w:customStyle="1" w:styleId="Abstract">
    <w:name w:val="Abstract"/>
    <w:basedOn w:val="Normal"/>
    <w:rsid w:val="00537105"/>
    <w:pPr>
      <w:tabs>
        <w:tab w:val="left" w:pos="720"/>
      </w:tabs>
      <w:spacing w:before="120" w:after="120" w:line="240" w:lineRule="auto"/>
      <w:ind w:left="454" w:right="454"/>
      <w:jc w:val="both"/>
    </w:pPr>
    <w:rPr>
      <w:rFonts w:ascii="Times" w:eastAsia="Times New Roman" w:hAnsi="Times"/>
      <w:i/>
      <w:sz w:val="24"/>
      <w:szCs w:val="24"/>
      <w:lang w:eastAsia="pt-BR"/>
    </w:rPr>
  </w:style>
  <w:style w:type="paragraph" w:styleId="Corpodetexto2">
    <w:name w:val="Body Text 2"/>
    <w:basedOn w:val="Normal"/>
    <w:link w:val="Corpodetexto2Char"/>
    <w:uiPriority w:val="99"/>
    <w:unhideWhenUsed/>
    <w:rsid w:val="00201E24"/>
    <w:pPr>
      <w:spacing w:after="120" w:line="480" w:lineRule="auto"/>
    </w:pPr>
  </w:style>
  <w:style w:type="character" w:customStyle="1" w:styleId="Corpodetexto2Char">
    <w:name w:val="Corpo de texto 2 Char"/>
    <w:link w:val="Corpodetexto2"/>
    <w:uiPriority w:val="99"/>
    <w:rsid w:val="00201E24"/>
    <w:rPr>
      <w:sz w:val="22"/>
      <w:szCs w:val="22"/>
      <w:lang w:eastAsia="en-US"/>
    </w:rPr>
  </w:style>
  <w:style w:type="character" w:styleId="Forte">
    <w:name w:val="Strong"/>
    <w:uiPriority w:val="22"/>
    <w:qFormat/>
    <w:rsid w:val="0097270C"/>
    <w:rPr>
      <w:rFonts w:cs="Times New Roman"/>
      <w:b/>
      <w:bCs/>
    </w:rPr>
  </w:style>
  <w:style w:type="paragraph" w:styleId="Recuodecorpodetexto2">
    <w:name w:val="Body Text Indent 2"/>
    <w:basedOn w:val="Normal"/>
    <w:link w:val="Recuodecorpodetexto2Char"/>
    <w:uiPriority w:val="99"/>
    <w:unhideWhenUsed/>
    <w:rsid w:val="0097270C"/>
    <w:pPr>
      <w:spacing w:before="240" w:after="120" w:line="480" w:lineRule="auto"/>
      <w:ind w:left="283"/>
      <w:jc w:val="both"/>
    </w:pPr>
    <w:rPr>
      <w:rFonts w:eastAsia="Times New Roman"/>
    </w:rPr>
  </w:style>
  <w:style w:type="character" w:customStyle="1" w:styleId="Recuodecorpodetexto2Char">
    <w:name w:val="Recuo de corpo de texto 2 Char"/>
    <w:link w:val="Recuodecorpodetexto2"/>
    <w:uiPriority w:val="99"/>
    <w:rsid w:val="0097270C"/>
    <w:rPr>
      <w:rFonts w:ascii="Calibri" w:eastAsia="Times New Roman" w:hAnsi="Calibri" w:cs="Times New Roman"/>
      <w:sz w:val="22"/>
      <w:szCs w:val="22"/>
    </w:rPr>
  </w:style>
  <w:style w:type="paragraph" w:customStyle="1" w:styleId="Pa9">
    <w:name w:val="Pa9"/>
    <w:basedOn w:val="Default"/>
    <w:next w:val="Default"/>
    <w:uiPriority w:val="99"/>
    <w:rsid w:val="0097270C"/>
    <w:pPr>
      <w:spacing w:line="241" w:lineRule="atLeast"/>
    </w:pPr>
    <w:rPr>
      <w:rFonts w:eastAsia="Times New Roman"/>
      <w:color w:val="auto"/>
      <w:u w:val="none"/>
      <w:lang w:eastAsia="pt-BR"/>
    </w:rPr>
  </w:style>
  <w:style w:type="paragraph" w:styleId="Corpodetexto3">
    <w:name w:val="Body Text 3"/>
    <w:basedOn w:val="Normal"/>
    <w:link w:val="Corpodetexto3Char"/>
    <w:uiPriority w:val="99"/>
    <w:unhideWhenUsed/>
    <w:rsid w:val="00AC3A45"/>
    <w:pPr>
      <w:spacing w:before="240" w:after="120" w:line="480" w:lineRule="auto"/>
      <w:jc w:val="both"/>
    </w:pPr>
    <w:rPr>
      <w:rFonts w:ascii="Times New Roman" w:eastAsia="Times New Roman" w:hAnsi="Times New Roman"/>
      <w:sz w:val="16"/>
      <w:szCs w:val="16"/>
    </w:rPr>
  </w:style>
  <w:style w:type="character" w:customStyle="1" w:styleId="Corpodetexto3Char">
    <w:name w:val="Corpo de texto 3 Char"/>
    <w:link w:val="Corpodetexto3"/>
    <w:uiPriority w:val="99"/>
    <w:rsid w:val="00AC3A45"/>
    <w:rPr>
      <w:rFonts w:ascii="Times New Roman" w:eastAsia="Times New Roman" w:hAnsi="Times New Roman"/>
      <w:sz w:val="16"/>
      <w:szCs w:val="16"/>
    </w:rPr>
  </w:style>
  <w:style w:type="character" w:customStyle="1" w:styleId="Ttulo2Char">
    <w:name w:val="Título 2 Char"/>
    <w:link w:val="Ttulo2"/>
    <w:uiPriority w:val="9"/>
    <w:rsid w:val="004C60A8"/>
    <w:rPr>
      <w:rFonts w:ascii="Cambria" w:eastAsia="Times New Roman" w:hAnsi="Cambria" w:cs="Times New Roman"/>
      <w:b/>
      <w:bCs/>
      <w:i/>
      <w:iCs/>
      <w:sz w:val="28"/>
      <w:szCs w:val="28"/>
      <w:lang w:eastAsia="en-US"/>
    </w:rPr>
  </w:style>
  <w:style w:type="character" w:customStyle="1" w:styleId="Ttulo3Char">
    <w:name w:val="Título 3 Char"/>
    <w:link w:val="Ttulo3"/>
    <w:uiPriority w:val="9"/>
    <w:rsid w:val="00F60982"/>
    <w:rPr>
      <w:rFonts w:ascii="Cambria" w:eastAsia="Times New Roman" w:hAnsi="Cambria" w:cs="Times New Roman"/>
      <w:b/>
      <w:bCs/>
      <w:sz w:val="26"/>
      <w:szCs w:val="26"/>
      <w:lang w:eastAsia="en-US"/>
    </w:rPr>
  </w:style>
  <w:style w:type="character" w:customStyle="1" w:styleId="Ttulo4Char">
    <w:name w:val="Título 4 Char"/>
    <w:link w:val="Ttulo4"/>
    <w:uiPriority w:val="9"/>
    <w:rsid w:val="00F60982"/>
    <w:rPr>
      <w:rFonts w:ascii="Cambria" w:eastAsia="Times New Roman" w:hAnsi="Cambria" w:cs="Times New Roman"/>
      <w:b/>
      <w:bCs/>
      <w:i/>
      <w:iCs/>
      <w:color w:val="4F81BD"/>
      <w:sz w:val="22"/>
      <w:szCs w:val="22"/>
    </w:rPr>
  </w:style>
  <w:style w:type="paragraph" w:customStyle="1" w:styleId="Padro">
    <w:name w:val="Padrão"/>
    <w:rsid w:val="00DF17ED"/>
    <w:pPr>
      <w:tabs>
        <w:tab w:val="left" w:pos="708"/>
      </w:tabs>
      <w:suppressAutoHyphens/>
      <w:spacing w:line="100" w:lineRule="atLeast"/>
    </w:pPr>
    <w:rPr>
      <w:rFonts w:ascii="Times New Roman" w:eastAsia="Times New Roman" w:hAnsi="Times New Roman"/>
      <w:sz w:val="24"/>
      <w:szCs w:val="24"/>
    </w:rPr>
  </w:style>
  <w:style w:type="paragraph" w:styleId="Commarcadores">
    <w:name w:val="List Bullet"/>
    <w:basedOn w:val="Normal"/>
    <w:uiPriority w:val="99"/>
    <w:unhideWhenUsed/>
    <w:rsid w:val="00E61FE7"/>
    <w:pPr>
      <w:numPr>
        <w:numId w:val="1"/>
      </w:numPr>
      <w:spacing w:after="160" w:line="259" w:lineRule="auto"/>
      <w:contextualSpacing/>
    </w:pPr>
  </w:style>
  <w:style w:type="paragraph" w:styleId="Pr-formataoHTML">
    <w:name w:val="HTML Preformatted"/>
    <w:basedOn w:val="Normal"/>
    <w:link w:val="Pr-formataoHTMLChar"/>
    <w:uiPriority w:val="99"/>
    <w:unhideWhenUsed/>
    <w:rsid w:val="000D3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rsid w:val="000D32FC"/>
    <w:rPr>
      <w:rFonts w:ascii="Courier New" w:eastAsia="Times New Roman" w:hAnsi="Courier New"/>
    </w:rPr>
  </w:style>
  <w:style w:type="paragraph" w:customStyle="1" w:styleId="normal-revista">
    <w:name w:val="normal-revista"/>
    <w:basedOn w:val="Normal"/>
    <w:qFormat/>
    <w:rsid w:val="00224188"/>
    <w:pPr>
      <w:spacing w:after="0" w:line="360" w:lineRule="auto"/>
      <w:ind w:firstLine="284"/>
      <w:jc w:val="both"/>
    </w:pPr>
    <w:rPr>
      <w:rFonts w:ascii="Times New Roman" w:eastAsia="Arial Unicode MS" w:hAnsi="Times New Roman"/>
      <w:sz w:val="24"/>
      <w:szCs w:val="24"/>
    </w:rPr>
  </w:style>
  <w:style w:type="character" w:styleId="nfase">
    <w:name w:val="Emphasis"/>
    <w:uiPriority w:val="20"/>
    <w:qFormat/>
    <w:rsid w:val="00CD6A04"/>
    <w:rPr>
      <w:i/>
      <w:iCs/>
    </w:rPr>
  </w:style>
  <w:style w:type="character" w:customStyle="1" w:styleId="shorttext">
    <w:name w:val="short_text"/>
    <w:basedOn w:val="Fontepargpadro"/>
    <w:rsid w:val="00343D05"/>
  </w:style>
  <w:style w:type="paragraph" w:customStyle="1" w:styleId="Pa7">
    <w:name w:val="Pa7"/>
    <w:basedOn w:val="Normal"/>
    <w:next w:val="Normal"/>
    <w:uiPriority w:val="99"/>
    <w:rsid w:val="00343D05"/>
    <w:pPr>
      <w:autoSpaceDE w:val="0"/>
      <w:autoSpaceDN w:val="0"/>
      <w:adjustRightInd w:val="0"/>
      <w:spacing w:after="0" w:line="211" w:lineRule="atLeast"/>
    </w:pPr>
    <w:rPr>
      <w:rFonts w:ascii="RSKHIL+WarnockPro-Regular" w:hAnsi="RSKHIL+WarnockPro-Regular"/>
      <w:sz w:val="24"/>
      <w:szCs w:val="24"/>
      <w:lang w:val="sk-SK" w:eastAsia="sk-SK"/>
    </w:rPr>
  </w:style>
  <w:style w:type="character" w:customStyle="1" w:styleId="longtext">
    <w:name w:val="long_text"/>
    <w:basedOn w:val="Fontepargpadro"/>
    <w:rsid w:val="005C0030"/>
  </w:style>
  <w:style w:type="paragraph" w:customStyle="1" w:styleId="Diplnormlntext">
    <w:name w:val="Dipl normální text"/>
    <w:qFormat/>
    <w:rsid w:val="005C0030"/>
    <w:pPr>
      <w:spacing w:line="360" w:lineRule="auto"/>
      <w:ind w:firstLine="709"/>
      <w:jc w:val="both"/>
    </w:pPr>
    <w:rPr>
      <w:rFonts w:ascii="Times New Roman" w:eastAsia="Times New Roman" w:hAnsi="Times New Roman"/>
      <w:sz w:val="24"/>
      <w:szCs w:val="24"/>
      <w:lang w:val="cs-CZ" w:eastAsia="cs-CZ"/>
    </w:rPr>
  </w:style>
  <w:style w:type="paragraph" w:customStyle="1" w:styleId="Zkladntext31">
    <w:name w:val="Základný text 31"/>
    <w:basedOn w:val="Normal"/>
    <w:rsid w:val="005C0030"/>
    <w:pPr>
      <w:widowControl w:val="0"/>
      <w:spacing w:after="0" w:line="240" w:lineRule="auto"/>
      <w:jc w:val="both"/>
    </w:pPr>
    <w:rPr>
      <w:rFonts w:ascii="Times New Roman" w:eastAsia="Times New Roman" w:hAnsi="Times New Roman"/>
      <w:sz w:val="24"/>
      <w:szCs w:val="24"/>
      <w:lang w:val="cs-CZ" w:eastAsia="cs-CZ"/>
    </w:rPr>
  </w:style>
  <w:style w:type="character" w:customStyle="1" w:styleId="looklikelinkauthornameaqslistener">
    <w:name w:val="looklikelink authorname aqslistener"/>
    <w:rsid w:val="005C0030"/>
  </w:style>
  <w:style w:type="paragraph" w:styleId="Recuodecorpodetexto">
    <w:name w:val="Body Text Indent"/>
    <w:basedOn w:val="Normal"/>
    <w:link w:val="RecuodecorpodetextoChar"/>
    <w:uiPriority w:val="99"/>
    <w:semiHidden/>
    <w:unhideWhenUsed/>
    <w:rsid w:val="005C0030"/>
    <w:pPr>
      <w:spacing w:after="120"/>
      <w:ind w:left="283"/>
    </w:pPr>
  </w:style>
  <w:style w:type="character" w:customStyle="1" w:styleId="RecuodecorpodetextoChar">
    <w:name w:val="Recuo de corpo de texto Char"/>
    <w:link w:val="Recuodecorpodetexto"/>
    <w:uiPriority w:val="99"/>
    <w:semiHidden/>
    <w:rsid w:val="005C0030"/>
    <w:rPr>
      <w:sz w:val="22"/>
      <w:szCs w:val="22"/>
      <w:lang w:eastAsia="en-US"/>
    </w:rPr>
  </w:style>
  <w:style w:type="paragraph" w:customStyle="1" w:styleId="Index">
    <w:name w:val="Index"/>
    <w:basedOn w:val="Normal"/>
    <w:rsid w:val="005C0030"/>
    <w:pPr>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sz w:val="24"/>
      <w:szCs w:val="20"/>
      <w:lang w:val="sk-SK"/>
    </w:rPr>
  </w:style>
  <w:style w:type="character" w:customStyle="1" w:styleId="smalltext">
    <w:name w:val="smalltext"/>
    <w:basedOn w:val="Fontepargpadro"/>
    <w:rsid w:val="00C95828"/>
  </w:style>
  <w:style w:type="table" w:customStyle="1" w:styleId="SombreamentoClaro3">
    <w:name w:val="Sombreamento Claro3"/>
    <w:basedOn w:val="Tabelanormal"/>
    <w:uiPriority w:val="60"/>
    <w:rsid w:val="00C95828"/>
    <w:rPr>
      <w:color w:val="000000"/>
      <w:lang w:val="tr-TR" w:eastAsia="tr-T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font8">
    <w:name w:val="font_8"/>
    <w:basedOn w:val="Normal"/>
    <w:rsid w:val="00E70ECE"/>
    <w:pPr>
      <w:spacing w:before="100" w:beforeAutospacing="1" w:after="100" w:afterAutospacing="1" w:line="240" w:lineRule="auto"/>
    </w:pPr>
    <w:rPr>
      <w:rFonts w:ascii="Times New Roman" w:eastAsia="Times New Roman" w:hAnsi="Times New Roman"/>
      <w:sz w:val="24"/>
      <w:szCs w:val="24"/>
      <w:lang w:eastAsia="pt-BR"/>
    </w:rPr>
  </w:style>
  <w:style w:type="table" w:customStyle="1" w:styleId="ListaClara1">
    <w:name w:val="Lista Clara1"/>
    <w:basedOn w:val="Tabelanormal"/>
    <w:uiPriority w:val="61"/>
    <w:rsid w:val="00C66FA1"/>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Standard">
    <w:name w:val="Standard"/>
    <w:rsid w:val="00AB23F0"/>
    <w:pPr>
      <w:suppressAutoHyphens/>
      <w:autoSpaceDN w:val="0"/>
      <w:spacing w:after="200" w:line="276" w:lineRule="auto"/>
      <w:textAlignment w:val="baseline"/>
    </w:pPr>
    <w:rPr>
      <w:rFonts w:eastAsia="DejaVu Sans" w:cs="DejaVu Sans"/>
      <w:kern w:val="3"/>
      <w:sz w:val="22"/>
      <w:szCs w:val="22"/>
    </w:rPr>
  </w:style>
  <w:style w:type="character" w:customStyle="1" w:styleId="fontstyle01">
    <w:name w:val="fontstyle01"/>
    <w:basedOn w:val="Fontepargpadro"/>
    <w:rsid w:val="004D5493"/>
    <w:rPr>
      <w:rFonts w:ascii="TimesNewRomanPSMT" w:hAnsi="TimesNewRomanPSMT" w:hint="default"/>
      <w:b w:val="0"/>
      <w:bCs w:val="0"/>
      <w:i w:val="0"/>
      <w:iCs w:val="0"/>
      <w:color w:val="231F20"/>
      <w:sz w:val="22"/>
      <w:szCs w:val="22"/>
    </w:rPr>
  </w:style>
  <w:style w:type="character" w:customStyle="1" w:styleId="name">
    <w:name w:val="name"/>
    <w:rsid w:val="00C646A4"/>
  </w:style>
  <w:style w:type="character" w:customStyle="1" w:styleId="Partesuperior-zdoformulrioChar">
    <w:name w:val="Parte superior-z do formulário Char"/>
    <w:link w:val="Partesuperior-zdoformulrio"/>
    <w:uiPriority w:val="99"/>
    <w:semiHidden/>
    <w:rsid w:val="00C646A4"/>
    <w:rPr>
      <w:rFonts w:ascii="Arial" w:eastAsia="Times New Roman" w:hAnsi="Arial" w:cs="Arial"/>
      <w:vanish/>
      <w:sz w:val="16"/>
      <w:szCs w:val="16"/>
    </w:rPr>
  </w:style>
  <w:style w:type="paragraph" w:styleId="Partesuperior-zdoformulrio">
    <w:name w:val="HTML Top of Form"/>
    <w:basedOn w:val="Normal"/>
    <w:next w:val="Normal"/>
    <w:link w:val="Partesuperior-zdoformulrioChar"/>
    <w:hidden/>
    <w:uiPriority w:val="99"/>
    <w:semiHidden/>
    <w:unhideWhenUsed/>
    <w:rsid w:val="00C646A4"/>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1">
    <w:name w:val="Parte superior-z do formulário Char1"/>
    <w:basedOn w:val="Fontepargpadro"/>
    <w:uiPriority w:val="99"/>
    <w:semiHidden/>
    <w:rsid w:val="00C646A4"/>
    <w:rPr>
      <w:rFonts w:ascii="Arial" w:hAnsi="Arial" w:cs="Arial"/>
      <w:vanish/>
      <w:sz w:val="16"/>
      <w:szCs w:val="16"/>
      <w:lang w:eastAsia="en-US"/>
    </w:rPr>
  </w:style>
  <w:style w:type="character" w:customStyle="1" w:styleId="ParteinferiordoformulrioChar">
    <w:name w:val="Parte inferior do formulário Char"/>
    <w:link w:val="Parteinferiordoformulrio"/>
    <w:uiPriority w:val="99"/>
    <w:semiHidden/>
    <w:rsid w:val="00C646A4"/>
    <w:rPr>
      <w:rFonts w:ascii="Arial" w:eastAsia="Times New Roman" w:hAnsi="Arial" w:cs="Arial"/>
      <w:vanish/>
      <w:sz w:val="16"/>
      <w:szCs w:val="16"/>
    </w:rPr>
  </w:style>
  <w:style w:type="paragraph" w:styleId="Parteinferiordoformulrio">
    <w:name w:val="HTML Bottom of Form"/>
    <w:basedOn w:val="Normal"/>
    <w:next w:val="Normal"/>
    <w:link w:val="ParteinferiordoformulrioChar"/>
    <w:hidden/>
    <w:uiPriority w:val="99"/>
    <w:semiHidden/>
    <w:unhideWhenUsed/>
    <w:rsid w:val="00C646A4"/>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1">
    <w:name w:val="Parte inferior do formulário Char1"/>
    <w:basedOn w:val="Fontepargpadro"/>
    <w:uiPriority w:val="99"/>
    <w:semiHidden/>
    <w:rsid w:val="00C646A4"/>
    <w:rPr>
      <w:rFonts w:ascii="Arial" w:hAnsi="Arial" w:cs="Arial"/>
      <w:vanish/>
      <w:sz w:val="16"/>
      <w:szCs w:val="16"/>
      <w:lang w:eastAsia="en-US"/>
    </w:rPr>
  </w:style>
  <w:style w:type="table" w:customStyle="1" w:styleId="Tabelacomgrade1">
    <w:name w:val="Tabela com grade1"/>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uttext">
    <w:name w:val="outtext"/>
    <w:rsid w:val="00C646A4"/>
  </w:style>
  <w:style w:type="character" w:customStyle="1" w:styleId="MenoPendente1">
    <w:name w:val="Menção Pendente1"/>
    <w:basedOn w:val="Fontepargpadro"/>
    <w:uiPriority w:val="99"/>
    <w:semiHidden/>
    <w:unhideWhenUsed/>
    <w:rsid w:val="00C646A4"/>
    <w:rPr>
      <w:color w:val="808080"/>
      <w:shd w:val="clear" w:color="auto" w:fill="E6E6E6"/>
    </w:rPr>
  </w:style>
  <w:style w:type="paragraph" w:customStyle="1" w:styleId="Paragraf">
    <w:name w:val="Paragraf"/>
    <w:basedOn w:val="Normal"/>
    <w:qFormat/>
    <w:rsid w:val="00AC0232"/>
    <w:pPr>
      <w:spacing w:after="0" w:line="360" w:lineRule="auto"/>
      <w:ind w:firstLine="454"/>
      <w:jc w:val="both"/>
    </w:pPr>
    <w:rPr>
      <w:rFonts w:ascii="Arial" w:eastAsiaTheme="minorHAnsi" w:hAnsi="Arial" w:cstheme="minorBidi"/>
      <w:lang w:val="id-ID"/>
    </w:rPr>
  </w:style>
  <w:style w:type="paragraph" w:customStyle="1" w:styleId="MS">
    <w:name w:val="MS바탕글"/>
    <w:basedOn w:val="Normal"/>
    <w:rsid w:val="00B2664F"/>
    <w:pPr>
      <w:snapToGrid w:val="0"/>
      <w:spacing w:after="0" w:line="384" w:lineRule="auto"/>
      <w:jc w:val="both"/>
      <w:textAlignment w:val="baseline"/>
    </w:pPr>
    <w:rPr>
      <w:rFonts w:ascii="Gulim" w:eastAsia="Gulim" w:hAnsi="Gulim" w:cs="Gulim"/>
      <w:color w:val="000000"/>
      <w:sz w:val="20"/>
      <w:szCs w:val="20"/>
      <w:lang w:val="en-US" w:eastAsia="ko-KR"/>
    </w:rPr>
  </w:style>
  <w:style w:type="paragraph" w:customStyle="1" w:styleId="a">
    <w:name w:val="바탕글"/>
    <w:basedOn w:val="Normal"/>
    <w:rsid w:val="00343C8A"/>
    <w:pPr>
      <w:snapToGrid w:val="0"/>
      <w:spacing w:after="0" w:line="384" w:lineRule="auto"/>
      <w:jc w:val="both"/>
      <w:textAlignment w:val="baseline"/>
    </w:pPr>
    <w:rPr>
      <w:rFonts w:ascii="Batang" w:eastAsia="Times New Roman" w:hAnsi="Times New Roman"/>
      <w:color w:val="000000"/>
      <w:sz w:val="20"/>
      <w:szCs w:val="20"/>
      <w:lang w:val="en-US" w:eastAsia="ja-JP"/>
    </w:rPr>
  </w:style>
  <w:style w:type="character" w:styleId="nfaseSutil">
    <w:name w:val="Subtle Emphasis"/>
    <w:basedOn w:val="Fontepargpadro"/>
    <w:uiPriority w:val="19"/>
    <w:qFormat/>
    <w:rsid w:val="009B0500"/>
    <w:rPr>
      <w:i/>
      <w:iCs/>
      <w:color w:val="404040" w:themeColor="text1" w:themeTint="BF"/>
    </w:rPr>
  </w:style>
  <w:style w:type="paragraph" w:customStyle="1" w:styleId="Acknowledgements">
    <w:name w:val="Acknowledgements"/>
    <w:basedOn w:val="Normal"/>
    <w:next w:val="Normal"/>
    <w:qFormat/>
    <w:rsid w:val="0092535C"/>
    <w:pPr>
      <w:spacing w:before="120" w:after="0" w:line="360" w:lineRule="auto"/>
    </w:pPr>
    <w:rPr>
      <w:rFonts w:ascii="Times New Roman" w:eastAsia="Times New Roman" w:hAnsi="Times New Roman"/>
      <w:szCs w:val="24"/>
      <w:lang w:val="en-GB" w:eastAsia="en-GB"/>
    </w:rPr>
  </w:style>
  <w:style w:type="paragraph" w:customStyle="1" w:styleId="a0">
    <w:name w:val="서론"/>
    <w:basedOn w:val="Normal"/>
    <w:rsid w:val="0092535C"/>
    <w:pPr>
      <w:snapToGrid w:val="0"/>
      <w:spacing w:after="0" w:line="600" w:lineRule="auto"/>
      <w:jc w:val="center"/>
      <w:textAlignment w:val="baseline"/>
    </w:pPr>
    <w:rPr>
      <w:rFonts w:ascii="Gulim" w:eastAsia="Gulim" w:hAnsi="Gulim" w:cs="Gulim"/>
      <w:color w:val="000000"/>
      <w:lang w:val="en-US" w:eastAsia="ko-KR"/>
    </w:rPr>
  </w:style>
  <w:style w:type="paragraph" w:customStyle="1" w:styleId="a1">
    <w:name w:val="참고문헌"/>
    <w:basedOn w:val="Normal"/>
    <w:rsid w:val="0092535C"/>
    <w:pPr>
      <w:spacing w:after="0" w:line="372" w:lineRule="auto"/>
      <w:ind w:left="612" w:hanging="306"/>
      <w:jc w:val="both"/>
      <w:textAlignment w:val="baseline"/>
    </w:pPr>
    <w:rPr>
      <w:rFonts w:ascii="Gulim" w:eastAsia="Gulim" w:hAnsi="Gulim" w:cs="Gulim"/>
      <w:color w:val="000000"/>
      <w:sz w:val="16"/>
      <w:szCs w:val="16"/>
      <w:lang w:val="en-US" w:eastAsia="ko-KR"/>
    </w:rPr>
  </w:style>
  <w:style w:type="character" w:customStyle="1" w:styleId="SemEspaamentoChar">
    <w:name w:val="Sem Espaçamento Char"/>
    <w:link w:val="SemEspaamento"/>
    <w:uiPriority w:val="1"/>
    <w:locked/>
    <w:rsid w:val="00D8683D"/>
    <w:rPr>
      <w:rFonts w:ascii="Arial" w:hAnsi="Arial"/>
      <w:sz w:val="24"/>
      <w:szCs w:val="22"/>
      <w:lang w:eastAsia="en-US"/>
    </w:rPr>
  </w:style>
  <w:style w:type="character" w:customStyle="1" w:styleId="Ttulo5Char">
    <w:name w:val="Título 5 Char"/>
    <w:basedOn w:val="Fontepargpadro"/>
    <w:link w:val="Ttulo5"/>
    <w:semiHidden/>
    <w:rsid w:val="002453A7"/>
    <w:rPr>
      <w:rFonts w:asciiTheme="majorHAnsi" w:eastAsiaTheme="majorEastAsia" w:hAnsiTheme="majorHAnsi" w:cstheme="majorBidi"/>
      <w:color w:val="365F91" w:themeColor="accent1" w:themeShade="BF"/>
      <w:sz w:val="22"/>
      <w:szCs w:val="22"/>
      <w:lang w:eastAsia="en-US"/>
    </w:rPr>
  </w:style>
  <w:style w:type="table" w:customStyle="1" w:styleId="TabeladeLista6Colorida1">
    <w:name w:val="Tabela de Lista 6 Colorida1"/>
    <w:basedOn w:val="Tabelanormal"/>
    <w:uiPriority w:val="51"/>
    <w:rsid w:val="002453A7"/>
    <w:rPr>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
    <w:name w:val="List Table 6 Colorful"/>
    <w:basedOn w:val="Tabelanormal"/>
    <w:uiPriority w:val="51"/>
    <w:rsid w:val="00D05F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grafodaTese">
    <w:name w:val="Parágrafo_da_Tese"/>
    <w:basedOn w:val="Normal"/>
    <w:rsid w:val="007D326C"/>
    <w:pPr>
      <w:spacing w:after="0" w:line="360" w:lineRule="auto"/>
      <w:ind w:firstLine="851"/>
      <w:jc w:val="both"/>
    </w:pPr>
    <w:rPr>
      <w:rFonts w:ascii="Garamond" w:eastAsia="Times New Roman" w:hAnsi="Garamond" w:cs="Arial"/>
      <w:sz w:val="20"/>
      <w:szCs w:val="24"/>
      <w:lang w:eastAsia="pt-BR"/>
    </w:rPr>
  </w:style>
  <w:style w:type="paragraph" w:customStyle="1" w:styleId="Paragraph">
    <w:name w:val="Paragraph"/>
    <w:basedOn w:val="Normal"/>
    <w:next w:val="Normal"/>
    <w:qFormat/>
    <w:rsid w:val="00A41425"/>
    <w:pPr>
      <w:widowControl w:val="0"/>
      <w:spacing w:before="240" w:after="0" w:line="480" w:lineRule="auto"/>
    </w:pPr>
    <w:rPr>
      <w:rFonts w:ascii="Times New Roman" w:eastAsia="Times New Roman" w:hAnsi="Times New Roman"/>
      <w:sz w:val="24"/>
      <w:szCs w:val="24"/>
      <w:lang w:val="en-GB" w:eastAsia="en-GB"/>
    </w:rPr>
  </w:style>
  <w:style w:type="paragraph" w:customStyle="1" w:styleId="MDPI16affiliation">
    <w:name w:val="MDPI_1.6_affiliation"/>
    <w:basedOn w:val="Normal"/>
    <w:qFormat/>
    <w:rsid w:val="00F05D02"/>
    <w:pPr>
      <w:adjustRightInd w:val="0"/>
      <w:snapToGrid w:val="0"/>
      <w:spacing w:after="0" w:line="200" w:lineRule="atLeast"/>
      <w:ind w:left="311" w:hanging="198"/>
    </w:pPr>
    <w:rPr>
      <w:rFonts w:ascii="Palatino Linotype" w:eastAsia="Times New Roman" w:hAnsi="Palatino Linotype"/>
      <w:color w:val="000000"/>
      <w:sz w:val="18"/>
      <w:szCs w:val="18"/>
      <w:lang w:val="en-US" w:eastAsia="de-DE" w:bidi="en-US"/>
    </w:rPr>
  </w:style>
  <w:style w:type="paragraph" w:styleId="Reviso">
    <w:name w:val="Revision"/>
    <w:hidden/>
    <w:uiPriority w:val="99"/>
    <w:semiHidden/>
    <w:rsid w:val="00494445"/>
    <w:rPr>
      <w:rFonts w:asciiTheme="minorHAnsi" w:eastAsiaTheme="minorEastAsia" w:hAnsiTheme="minorHAnsi" w:cstheme="minorBidi"/>
      <w:sz w:val="22"/>
      <w:szCs w:val="22"/>
      <w:lang w:val="es-MX" w:eastAsia="es-MX"/>
    </w:rPr>
  </w:style>
  <w:style w:type="character" w:customStyle="1" w:styleId="Ninguno">
    <w:name w:val="Ninguno"/>
    <w:rsid w:val="00494445"/>
  </w:style>
  <w:style w:type="paragraph" w:customStyle="1" w:styleId="CuerpoA">
    <w:name w:val="Cuerpo A"/>
    <w:rsid w:val="00494445"/>
    <w:pPr>
      <w:pBdr>
        <w:top w:val="nil"/>
        <w:left w:val="nil"/>
        <w:bottom w:val="nil"/>
        <w:right w:val="nil"/>
        <w:between w:val="nil"/>
        <w:bar w:val="nil"/>
      </w:pBdr>
      <w:spacing w:before="80" w:after="180" w:line="288" w:lineRule="auto"/>
    </w:pPr>
    <w:rPr>
      <w:rFonts w:ascii="Georgia" w:eastAsia="Georgia" w:hAnsi="Georgia" w:cs="Georgia"/>
      <w:color w:val="000000"/>
      <w:sz w:val="24"/>
      <w:szCs w:val="24"/>
      <w:u w:color="000000"/>
      <w:bdr w:val="nil"/>
      <w:lang w:val="es-ES_tradnl" w:eastAsia="es-MX"/>
    </w:rPr>
  </w:style>
  <w:style w:type="numbering" w:customStyle="1" w:styleId="Nmero">
    <w:name w:val="Número"/>
    <w:rsid w:val="00494445"/>
    <w:pPr>
      <w:numPr>
        <w:numId w:val="2"/>
      </w:numPr>
    </w:pPr>
  </w:style>
  <w:style w:type="character" w:customStyle="1" w:styleId="Mencinsinresolver1">
    <w:name w:val="Mención sin resolver1"/>
    <w:basedOn w:val="Fontepargpadro"/>
    <w:uiPriority w:val="99"/>
    <w:semiHidden/>
    <w:unhideWhenUsed/>
    <w:rsid w:val="00494445"/>
    <w:rPr>
      <w:color w:val="605E5C"/>
      <w:shd w:val="clear" w:color="auto" w:fill="E1DFDD"/>
    </w:rPr>
  </w:style>
  <w:style w:type="character" w:customStyle="1" w:styleId="Mencinsinresolver2">
    <w:name w:val="Mención sin resolver2"/>
    <w:basedOn w:val="Fontepargpadro"/>
    <w:uiPriority w:val="99"/>
    <w:semiHidden/>
    <w:unhideWhenUsed/>
    <w:rsid w:val="00494445"/>
    <w:rPr>
      <w:color w:val="605E5C"/>
      <w:shd w:val="clear" w:color="auto" w:fill="E1DFDD"/>
    </w:rPr>
  </w:style>
  <w:style w:type="character" w:customStyle="1" w:styleId="PargrafodaListaChar">
    <w:name w:val="Parágrafo da Lista Char"/>
    <w:basedOn w:val="Fontepargpadro"/>
    <w:link w:val="PargrafodaLista"/>
    <w:uiPriority w:val="34"/>
    <w:rsid w:val="00D35310"/>
    <w:rPr>
      <w:sz w:val="22"/>
      <w:szCs w:val="22"/>
      <w:lang w:eastAsia="en-US"/>
    </w:rPr>
  </w:style>
  <w:style w:type="paragraph" w:customStyle="1" w:styleId="EndNoteBibliography">
    <w:name w:val="EndNote Bibliography"/>
    <w:basedOn w:val="Normal"/>
    <w:rsid w:val="00D35310"/>
    <w:pPr>
      <w:spacing w:after="0" w:line="240" w:lineRule="auto"/>
    </w:pPr>
    <w:rPr>
      <w:rFonts w:ascii="Times New Roman" w:eastAsiaTheme="minorHAnsi" w:hAnsi="Times New Roman"/>
      <w:sz w:val="24"/>
      <w:szCs w:val="24"/>
      <w:lang w:val="es-ES_tradnl" w:eastAsia="es-ES_tradnl"/>
    </w:rPr>
  </w:style>
  <w:style w:type="paragraph" w:customStyle="1" w:styleId="Affiliation">
    <w:name w:val="Affiliation"/>
    <w:basedOn w:val="Normal"/>
    <w:qFormat/>
    <w:rsid w:val="00D35310"/>
    <w:pPr>
      <w:spacing w:before="240" w:after="0" w:line="360" w:lineRule="auto"/>
    </w:pPr>
    <w:rPr>
      <w:rFonts w:ascii="Times New Roman" w:eastAsia="Times New Roman" w:hAnsi="Times New Roman"/>
      <w:i/>
      <w:sz w:val="24"/>
      <w:szCs w:val="24"/>
      <w:lang w:val="en-GB" w:eastAsia="en-GB"/>
    </w:rPr>
  </w:style>
  <w:style w:type="character" w:customStyle="1" w:styleId="hithilite">
    <w:name w:val="hithilite"/>
    <w:basedOn w:val="Fontepargpadro"/>
    <w:rsid w:val="00D35310"/>
  </w:style>
  <w:style w:type="character" w:customStyle="1" w:styleId="label">
    <w:name w:val="label"/>
    <w:basedOn w:val="Fontepargpadro"/>
    <w:rsid w:val="00D35310"/>
  </w:style>
  <w:style w:type="character" w:customStyle="1" w:styleId="databold">
    <w:name w:val="data_bold"/>
    <w:basedOn w:val="Fontepargpadro"/>
    <w:rsid w:val="00D35310"/>
  </w:style>
  <w:style w:type="character" w:styleId="HiperlinkVisitado">
    <w:name w:val="FollowedHyperlink"/>
    <w:basedOn w:val="Fontepargpadro"/>
    <w:uiPriority w:val="99"/>
    <w:semiHidden/>
    <w:unhideWhenUsed/>
    <w:rsid w:val="00D35310"/>
    <w:rPr>
      <w:color w:val="800080" w:themeColor="followedHyperlink"/>
      <w:u w:val="single"/>
    </w:rPr>
  </w:style>
  <w:style w:type="paragraph" w:customStyle="1" w:styleId="Normal1">
    <w:name w:val="Normal1"/>
    <w:rsid w:val="00D35310"/>
    <w:pPr>
      <w:spacing w:line="276" w:lineRule="auto"/>
    </w:pPr>
    <w:rPr>
      <w:rFonts w:ascii="Arial" w:eastAsia="Arial" w:hAnsi="Arial" w:cs="Arial"/>
      <w:sz w:val="22"/>
      <w:szCs w:val="22"/>
      <w:lang w:val="es-MX" w:eastAsia="es-MX"/>
    </w:rPr>
  </w:style>
  <w:style w:type="character" w:customStyle="1" w:styleId="tlid-translation">
    <w:name w:val="tlid-translation"/>
    <w:basedOn w:val="Fontepargpadro"/>
    <w:rsid w:val="00D35310"/>
  </w:style>
  <w:style w:type="paragraph" w:customStyle="1" w:styleId="Normal2">
    <w:name w:val="Normal2"/>
    <w:rsid w:val="00D35310"/>
    <w:pPr>
      <w:spacing w:line="276" w:lineRule="auto"/>
    </w:pPr>
    <w:rPr>
      <w:rFonts w:ascii="Arial" w:eastAsia="Arial" w:hAnsi="Arial" w:cs="Arial"/>
      <w:sz w:val="22"/>
      <w:szCs w:val="22"/>
      <w:lang w:val="es-MX" w:eastAsia="es-MX"/>
    </w:rPr>
  </w:style>
  <w:style w:type="paragraph" w:customStyle="1" w:styleId="CuerpoB">
    <w:name w:val="Cuerpo B"/>
    <w:rsid w:val="0095249C"/>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es-ES_tradnl" w:eastAsia="es-MX"/>
    </w:rPr>
  </w:style>
  <w:style w:type="paragraph" w:customStyle="1" w:styleId="CuerpoAA">
    <w:name w:val="Cuerpo A A"/>
    <w:rsid w:val="00C16F30"/>
    <w:pPr>
      <w:pBdr>
        <w:top w:val="nil"/>
        <w:left w:val="nil"/>
        <w:bottom w:val="nil"/>
        <w:right w:val="nil"/>
        <w:between w:val="nil"/>
        <w:bar w:val="nil"/>
      </w:pBdr>
      <w:spacing w:after="160" w:line="256" w:lineRule="auto"/>
    </w:pPr>
    <w:rPr>
      <w:rFonts w:cs="Calibri"/>
      <w:color w:val="000000"/>
      <w:sz w:val="22"/>
      <w:szCs w:val="22"/>
      <w:u w:color="000000"/>
      <w:bdr w:val="nil"/>
      <w:lang w:val="en-US" w:eastAsia="es-MX"/>
    </w:rPr>
  </w:style>
  <w:style w:type="character" w:customStyle="1" w:styleId="author">
    <w:name w:val="author"/>
    <w:basedOn w:val="Fontepargpadro"/>
    <w:rsid w:val="00740CB6"/>
  </w:style>
  <w:style w:type="character" w:customStyle="1" w:styleId="ilfuvd">
    <w:name w:val="ilfuvd"/>
    <w:basedOn w:val="Fontepargpadro"/>
    <w:rsid w:val="00740CB6"/>
  </w:style>
  <w:style w:type="paragraph" w:customStyle="1" w:styleId="Cuerpo">
    <w:name w:val="Cuerpo"/>
    <w:rsid w:val="00740CB6"/>
    <w:pPr>
      <w:pBdr>
        <w:top w:val="nil"/>
        <w:left w:val="nil"/>
        <w:bottom w:val="nil"/>
        <w:right w:val="nil"/>
        <w:between w:val="nil"/>
        <w:bar w:val="nil"/>
      </w:pBdr>
    </w:pPr>
    <w:rPr>
      <w:rFonts w:cs="Calibri"/>
      <w:color w:val="000000"/>
      <w:sz w:val="24"/>
      <w:szCs w:val="24"/>
      <w:u w:color="000000"/>
      <w:bdr w:val="nil"/>
      <w:lang w:val="pt-PT" w:eastAsia="es-MX"/>
    </w:rPr>
  </w:style>
  <w:style w:type="paragraph" w:styleId="Bibliografia">
    <w:name w:val="Bibliography"/>
    <w:basedOn w:val="Normal"/>
    <w:next w:val="Normal"/>
    <w:uiPriority w:val="37"/>
    <w:semiHidden/>
    <w:unhideWhenUsed/>
    <w:rsid w:val="007D0472"/>
  </w:style>
  <w:style w:type="table" w:customStyle="1" w:styleId="Tablaconcuadrcula3">
    <w:name w:val="Tabla con cuadrícula3"/>
    <w:basedOn w:val="Tabelanormal"/>
    <w:next w:val="Tabelacomgrade"/>
    <w:uiPriority w:val="39"/>
    <w:rsid w:val="00F3102B"/>
    <w:rPr>
      <w:rFonts w:cs="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2">
    <w:name w:val="List Table 2"/>
    <w:basedOn w:val="Tabelanormal"/>
    <w:uiPriority w:val="47"/>
    <w:rsid w:val="0020698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oPendente">
    <w:name w:val="Unresolved Mention"/>
    <w:basedOn w:val="Fontepargpadro"/>
    <w:uiPriority w:val="99"/>
    <w:semiHidden/>
    <w:unhideWhenUsed/>
    <w:rsid w:val="00EB4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4829">
      <w:bodyDiv w:val="1"/>
      <w:marLeft w:val="0"/>
      <w:marRight w:val="0"/>
      <w:marTop w:val="0"/>
      <w:marBottom w:val="0"/>
      <w:divBdr>
        <w:top w:val="none" w:sz="0" w:space="0" w:color="auto"/>
        <w:left w:val="none" w:sz="0" w:space="0" w:color="auto"/>
        <w:bottom w:val="none" w:sz="0" w:space="0" w:color="auto"/>
        <w:right w:val="none" w:sz="0" w:space="0" w:color="auto"/>
      </w:divBdr>
    </w:div>
    <w:div w:id="103883730">
      <w:bodyDiv w:val="1"/>
      <w:marLeft w:val="0"/>
      <w:marRight w:val="0"/>
      <w:marTop w:val="0"/>
      <w:marBottom w:val="0"/>
      <w:divBdr>
        <w:top w:val="none" w:sz="0" w:space="0" w:color="auto"/>
        <w:left w:val="none" w:sz="0" w:space="0" w:color="auto"/>
        <w:bottom w:val="none" w:sz="0" w:space="0" w:color="auto"/>
        <w:right w:val="none" w:sz="0" w:space="0" w:color="auto"/>
      </w:divBdr>
    </w:div>
    <w:div w:id="106775455">
      <w:bodyDiv w:val="1"/>
      <w:marLeft w:val="0"/>
      <w:marRight w:val="0"/>
      <w:marTop w:val="0"/>
      <w:marBottom w:val="0"/>
      <w:divBdr>
        <w:top w:val="none" w:sz="0" w:space="0" w:color="auto"/>
        <w:left w:val="none" w:sz="0" w:space="0" w:color="auto"/>
        <w:bottom w:val="none" w:sz="0" w:space="0" w:color="auto"/>
        <w:right w:val="none" w:sz="0" w:space="0" w:color="auto"/>
      </w:divBdr>
    </w:div>
    <w:div w:id="122311826">
      <w:bodyDiv w:val="1"/>
      <w:marLeft w:val="0"/>
      <w:marRight w:val="0"/>
      <w:marTop w:val="0"/>
      <w:marBottom w:val="0"/>
      <w:divBdr>
        <w:top w:val="none" w:sz="0" w:space="0" w:color="auto"/>
        <w:left w:val="none" w:sz="0" w:space="0" w:color="auto"/>
        <w:bottom w:val="none" w:sz="0" w:space="0" w:color="auto"/>
        <w:right w:val="none" w:sz="0" w:space="0" w:color="auto"/>
      </w:divBdr>
    </w:div>
    <w:div w:id="146938198">
      <w:bodyDiv w:val="1"/>
      <w:marLeft w:val="0"/>
      <w:marRight w:val="0"/>
      <w:marTop w:val="0"/>
      <w:marBottom w:val="0"/>
      <w:divBdr>
        <w:top w:val="none" w:sz="0" w:space="0" w:color="auto"/>
        <w:left w:val="none" w:sz="0" w:space="0" w:color="auto"/>
        <w:bottom w:val="none" w:sz="0" w:space="0" w:color="auto"/>
        <w:right w:val="none" w:sz="0" w:space="0" w:color="auto"/>
      </w:divBdr>
    </w:div>
    <w:div w:id="261957753">
      <w:bodyDiv w:val="1"/>
      <w:marLeft w:val="0"/>
      <w:marRight w:val="0"/>
      <w:marTop w:val="0"/>
      <w:marBottom w:val="0"/>
      <w:divBdr>
        <w:top w:val="none" w:sz="0" w:space="0" w:color="auto"/>
        <w:left w:val="none" w:sz="0" w:space="0" w:color="auto"/>
        <w:bottom w:val="none" w:sz="0" w:space="0" w:color="auto"/>
        <w:right w:val="none" w:sz="0" w:space="0" w:color="auto"/>
      </w:divBdr>
    </w:div>
    <w:div w:id="282731338">
      <w:bodyDiv w:val="1"/>
      <w:marLeft w:val="0"/>
      <w:marRight w:val="0"/>
      <w:marTop w:val="0"/>
      <w:marBottom w:val="0"/>
      <w:divBdr>
        <w:top w:val="none" w:sz="0" w:space="0" w:color="auto"/>
        <w:left w:val="none" w:sz="0" w:space="0" w:color="auto"/>
        <w:bottom w:val="none" w:sz="0" w:space="0" w:color="auto"/>
        <w:right w:val="none" w:sz="0" w:space="0" w:color="auto"/>
      </w:divBdr>
    </w:div>
    <w:div w:id="723529093">
      <w:bodyDiv w:val="1"/>
      <w:marLeft w:val="0"/>
      <w:marRight w:val="0"/>
      <w:marTop w:val="0"/>
      <w:marBottom w:val="0"/>
      <w:divBdr>
        <w:top w:val="none" w:sz="0" w:space="0" w:color="auto"/>
        <w:left w:val="none" w:sz="0" w:space="0" w:color="auto"/>
        <w:bottom w:val="none" w:sz="0" w:space="0" w:color="auto"/>
        <w:right w:val="none" w:sz="0" w:space="0" w:color="auto"/>
      </w:divBdr>
    </w:div>
    <w:div w:id="758912403">
      <w:bodyDiv w:val="1"/>
      <w:marLeft w:val="0"/>
      <w:marRight w:val="0"/>
      <w:marTop w:val="0"/>
      <w:marBottom w:val="0"/>
      <w:divBdr>
        <w:top w:val="none" w:sz="0" w:space="0" w:color="auto"/>
        <w:left w:val="none" w:sz="0" w:space="0" w:color="auto"/>
        <w:bottom w:val="none" w:sz="0" w:space="0" w:color="auto"/>
        <w:right w:val="none" w:sz="0" w:space="0" w:color="auto"/>
      </w:divBdr>
    </w:div>
    <w:div w:id="765544199">
      <w:bodyDiv w:val="1"/>
      <w:marLeft w:val="0"/>
      <w:marRight w:val="0"/>
      <w:marTop w:val="0"/>
      <w:marBottom w:val="0"/>
      <w:divBdr>
        <w:top w:val="none" w:sz="0" w:space="0" w:color="auto"/>
        <w:left w:val="none" w:sz="0" w:space="0" w:color="auto"/>
        <w:bottom w:val="none" w:sz="0" w:space="0" w:color="auto"/>
        <w:right w:val="none" w:sz="0" w:space="0" w:color="auto"/>
      </w:divBdr>
    </w:div>
    <w:div w:id="793523496">
      <w:bodyDiv w:val="1"/>
      <w:marLeft w:val="0"/>
      <w:marRight w:val="0"/>
      <w:marTop w:val="0"/>
      <w:marBottom w:val="0"/>
      <w:divBdr>
        <w:top w:val="none" w:sz="0" w:space="0" w:color="auto"/>
        <w:left w:val="none" w:sz="0" w:space="0" w:color="auto"/>
        <w:bottom w:val="none" w:sz="0" w:space="0" w:color="auto"/>
        <w:right w:val="none" w:sz="0" w:space="0" w:color="auto"/>
      </w:divBdr>
    </w:div>
    <w:div w:id="1182891146">
      <w:bodyDiv w:val="1"/>
      <w:marLeft w:val="0"/>
      <w:marRight w:val="0"/>
      <w:marTop w:val="0"/>
      <w:marBottom w:val="0"/>
      <w:divBdr>
        <w:top w:val="none" w:sz="0" w:space="0" w:color="auto"/>
        <w:left w:val="none" w:sz="0" w:space="0" w:color="auto"/>
        <w:bottom w:val="none" w:sz="0" w:space="0" w:color="auto"/>
        <w:right w:val="none" w:sz="0" w:space="0" w:color="auto"/>
      </w:divBdr>
    </w:div>
    <w:div w:id="1191187429">
      <w:bodyDiv w:val="1"/>
      <w:marLeft w:val="0"/>
      <w:marRight w:val="0"/>
      <w:marTop w:val="0"/>
      <w:marBottom w:val="0"/>
      <w:divBdr>
        <w:top w:val="none" w:sz="0" w:space="0" w:color="auto"/>
        <w:left w:val="none" w:sz="0" w:space="0" w:color="auto"/>
        <w:bottom w:val="none" w:sz="0" w:space="0" w:color="auto"/>
        <w:right w:val="none" w:sz="0" w:space="0" w:color="auto"/>
      </w:divBdr>
    </w:div>
    <w:div w:id="1219367399">
      <w:bodyDiv w:val="1"/>
      <w:marLeft w:val="0"/>
      <w:marRight w:val="0"/>
      <w:marTop w:val="0"/>
      <w:marBottom w:val="0"/>
      <w:divBdr>
        <w:top w:val="none" w:sz="0" w:space="0" w:color="auto"/>
        <w:left w:val="none" w:sz="0" w:space="0" w:color="auto"/>
        <w:bottom w:val="none" w:sz="0" w:space="0" w:color="auto"/>
        <w:right w:val="none" w:sz="0" w:space="0" w:color="auto"/>
      </w:divBdr>
    </w:div>
    <w:div w:id="1364210938">
      <w:bodyDiv w:val="1"/>
      <w:marLeft w:val="0"/>
      <w:marRight w:val="0"/>
      <w:marTop w:val="0"/>
      <w:marBottom w:val="0"/>
      <w:divBdr>
        <w:top w:val="none" w:sz="0" w:space="0" w:color="auto"/>
        <w:left w:val="none" w:sz="0" w:space="0" w:color="auto"/>
        <w:bottom w:val="none" w:sz="0" w:space="0" w:color="auto"/>
        <w:right w:val="none" w:sz="0" w:space="0" w:color="auto"/>
      </w:divBdr>
    </w:div>
    <w:div w:id="1370574054">
      <w:bodyDiv w:val="1"/>
      <w:marLeft w:val="0"/>
      <w:marRight w:val="0"/>
      <w:marTop w:val="0"/>
      <w:marBottom w:val="0"/>
      <w:divBdr>
        <w:top w:val="none" w:sz="0" w:space="0" w:color="auto"/>
        <w:left w:val="none" w:sz="0" w:space="0" w:color="auto"/>
        <w:bottom w:val="none" w:sz="0" w:space="0" w:color="auto"/>
        <w:right w:val="none" w:sz="0" w:space="0" w:color="auto"/>
      </w:divBdr>
    </w:div>
    <w:div w:id="1385518340">
      <w:bodyDiv w:val="1"/>
      <w:marLeft w:val="0"/>
      <w:marRight w:val="0"/>
      <w:marTop w:val="0"/>
      <w:marBottom w:val="0"/>
      <w:divBdr>
        <w:top w:val="none" w:sz="0" w:space="0" w:color="auto"/>
        <w:left w:val="none" w:sz="0" w:space="0" w:color="auto"/>
        <w:bottom w:val="none" w:sz="0" w:space="0" w:color="auto"/>
        <w:right w:val="none" w:sz="0" w:space="0" w:color="auto"/>
      </w:divBdr>
    </w:div>
    <w:div w:id="1447851245">
      <w:bodyDiv w:val="1"/>
      <w:marLeft w:val="0"/>
      <w:marRight w:val="0"/>
      <w:marTop w:val="0"/>
      <w:marBottom w:val="0"/>
      <w:divBdr>
        <w:top w:val="none" w:sz="0" w:space="0" w:color="auto"/>
        <w:left w:val="none" w:sz="0" w:space="0" w:color="auto"/>
        <w:bottom w:val="none" w:sz="0" w:space="0" w:color="auto"/>
        <w:right w:val="none" w:sz="0" w:space="0" w:color="auto"/>
      </w:divBdr>
    </w:div>
    <w:div w:id="1460032562">
      <w:bodyDiv w:val="1"/>
      <w:marLeft w:val="0"/>
      <w:marRight w:val="0"/>
      <w:marTop w:val="0"/>
      <w:marBottom w:val="0"/>
      <w:divBdr>
        <w:top w:val="none" w:sz="0" w:space="0" w:color="auto"/>
        <w:left w:val="none" w:sz="0" w:space="0" w:color="auto"/>
        <w:bottom w:val="none" w:sz="0" w:space="0" w:color="auto"/>
        <w:right w:val="none" w:sz="0" w:space="0" w:color="auto"/>
      </w:divBdr>
    </w:div>
    <w:div w:id="1468550854">
      <w:bodyDiv w:val="1"/>
      <w:marLeft w:val="0"/>
      <w:marRight w:val="0"/>
      <w:marTop w:val="0"/>
      <w:marBottom w:val="0"/>
      <w:divBdr>
        <w:top w:val="none" w:sz="0" w:space="0" w:color="auto"/>
        <w:left w:val="none" w:sz="0" w:space="0" w:color="auto"/>
        <w:bottom w:val="none" w:sz="0" w:space="0" w:color="auto"/>
        <w:right w:val="none" w:sz="0" w:space="0" w:color="auto"/>
      </w:divBdr>
    </w:div>
    <w:div w:id="1509245970">
      <w:bodyDiv w:val="1"/>
      <w:marLeft w:val="0"/>
      <w:marRight w:val="0"/>
      <w:marTop w:val="0"/>
      <w:marBottom w:val="0"/>
      <w:divBdr>
        <w:top w:val="none" w:sz="0" w:space="0" w:color="auto"/>
        <w:left w:val="none" w:sz="0" w:space="0" w:color="auto"/>
        <w:bottom w:val="none" w:sz="0" w:space="0" w:color="auto"/>
        <w:right w:val="none" w:sz="0" w:space="0" w:color="auto"/>
      </w:divBdr>
    </w:div>
    <w:div w:id="1552811998">
      <w:bodyDiv w:val="1"/>
      <w:marLeft w:val="0"/>
      <w:marRight w:val="0"/>
      <w:marTop w:val="0"/>
      <w:marBottom w:val="0"/>
      <w:divBdr>
        <w:top w:val="none" w:sz="0" w:space="0" w:color="auto"/>
        <w:left w:val="none" w:sz="0" w:space="0" w:color="auto"/>
        <w:bottom w:val="none" w:sz="0" w:space="0" w:color="auto"/>
        <w:right w:val="none" w:sz="0" w:space="0" w:color="auto"/>
      </w:divBdr>
    </w:div>
    <w:div w:id="1594775445">
      <w:bodyDiv w:val="1"/>
      <w:marLeft w:val="0"/>
      <w:marRight w:val="0"/>
      <w:marTop w:val="0"/>
      <w:marBottom w:val="0"/>
      <w:divBdr>
        <w:top w:val="none" w:sz="0" w:space="0" w:color="auto"/>
        <w:left w:val="none" w:sz="0" w:space="0" w:color="auto"/>
        <w:bottom w:val="none" w:sz="0" w:space="0" w:color="auto"/>
        <w:right w:val="none" w:sz="0" w:space="0" w:color="auto"/>
      </w:divBdr>
    </w:div>
    <w:div w:id="1692145263">
      <w:bodyDiv w:val="1"/>
      <w:marLeft w:val="0"/>
      <w:marRight w:val="0"/>
      <w:marTop w:val="0"/>
      <w:marBottom w:val="0"/>
      <w:divBdr>
        <w:top w:val="none" w:sz="0" w:space="0" w:color="auto"/>
        <w:left w:val="none" w:sz="0" w:space="0" w:color="auto"/>
        <w:bottom w:val="none" w:sz="0" w:space="0" w:color="auto"/>
        <w:right w:val="none" w:sz="0" w:space="0" w:color="auto"/>
      </w:divBdr>
      <w:divsChild>
        <w:div w:id="628970938">
          <w:marLeft w:val="0"/>
          <w:marRight w:val="0"/>
          <w:marTop w:val="90"/>
          <w:marBottom w:val="0"/>
          <w:divBdr>
            <w:top w:val="none" w:sz="0" w:space="0" w:color="auto"/>
            <w:left w:val="none" w:sz="0" w:space="0" w:color="auto"/>
            <w:bottom w:val="none" w:sz="0" w:space="0" w:color="auto"/>
            <w:right w:val="none" w:sz="0" w:space="0" w:color="auto"/>
          </w:divBdr>
          <w:divsChild>
            <w:div w:id="527447658">
              <w:marLeft w:val="0"/>
              <w:marRight w:val="0"/>
              <w:marTop w:val="0"/>
              <w:marBottom w:val="420"/>
              <w:divBdr>
                <w:top w:val="none" w:sz="0" w:space="0" w:color="auto"/>
                <w:left w:val="none" w:sz="0" w:space="0" w:color="auto"/>
                <w:bottom w:val="none" w:sz="0" w:space="0" w:color="auto"/>
                <w:right w:val="none" w:sz="0" w:space="0" w:color="auto"/>
              </w:divBdr>
              <w:divsChild>
                <w:div w:id="2134203636">
                  <w:marLeft w:val="0"/>
                  <w:marRight w:val="0"/>
                  <w:marTop w:val="0"/>
                  <w:marBottom w:val="0"/>
                  <w:divBdr>
                    <w:top w:val="none" w:sz="0" w:space="0" w:color="auto"/>
                    <w:left w:val="none" w:sz="0" w:space="0" w:color="auto"/>
                    <w:bottom w:val="none" w:sz="0" w:space="0" w:color="auto"/>
                    <w:right w:val="none" w:sz="0" w:space="0" w:color="auto"/>
                  </w:divBdr>
                  <w:divsChild>
                    <w:div w:id="192882547">
                      <w:marLeft w:val="0"/>
                      <w:marRight w:val="0"/>
                      <w:marTop w:val="0"/>
                      <w:marBottom w:val="0"/>
                      <w:divBdr>
                        <w:top w:val="none" w:sz="0" w:space="0" w:color="auto"/>
                        <w:left w:val="none" w:sz="0" w:space="0" w:color="auto"/>
                        <w:bottom w:val="none" w:sz="0" w:space="0" w:color="auto"/>
                        <w:right w:val="none" w:sz="0" w:space="0" w:color="auto"/>
                      </w:divBdr>
                      <w:divsChild>
                        <w:div w:id="6112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3000">
      <w:bodyDiv w:val="1"/>
      <w:marLeft w:val="0"/>
      <w:marRight w:val="0"/>
      <w:marTop w:val="0"/>
      <w:marBottom w:val="0"/>
      <w:divBdr>
        <w:top w:val="none" w:sz="0" w:space="0" w:color="auto"/>
        <w:left w:val="none" w:sz="0" w:space="0" w:color="auto"/>
        <w:bottom w:val="none" w:sz="0" w:space="0" w:color="auto"/>
        <w:right w:val="none" w:sz="0" w:space="0" w:color="auto"/>
      </w:divBdr>
    </w:div>
    <w:div w:id="1894267683">
      <w:bodyDiv w:val="1"/>
      <w:marLeft w:val="0"/>
      <w:marRight w:val="0"/>
      <w:marTop w:val="0"/>
      <w:marBottom w:val="0"/>
      <w:divBdr>
        <w:top w:val="none" w:sz="0" w:space="0" w:color="auto"/>
        <w:left w:val="none" w:sz="0" w:space="0" w:color="auto"/>
        <w:bottom w:val="none" w:sz="0" w:space="0" w:color="auto"/>
        <w:right w:val="none" w:sz="0" w:space="0" w:color="auto"/>
      </w:divBdr>
    </w:div>
    <w:div w:id="1908106239">
      <w:bodyDiv w:val="1"/>
      <w:marLeft w:val="0"/>
      <w:marRight w:val="0"/>
      <w:marTop w:val="0"/>
      <w:marBottom w:val="0"/>
      <w:divBdr>
        <w:top w:val="none" w:sz="0" w:space="0" w:color="auto"/>
        <w:left w:val="none" w:sz="0" w:space="0" w:color="auto"/>
        <w:bottom w:val="none" w:sz="0" w:space="0" w:color="auto"/>
        <w:right w:val="none" w:sz="0" w:space="0" w:color="auto"/>
      </w:divBdr>
    </w:div>
    <w:div w:id="1962761252">
      <w:bodyDiv w:val="1"/>
      <w:marLeft w:val="0"/>
      <w:marRight w:val="0"/>
      <w:marTop w:val="0"/>
      <w:marBottom w:val="0"/>
      <w:divBdr>
        <w:top w:val="none" w:sz="0" w:space="0" w:color="auto"/>
        <w:left w:val="none" w:sz="0" w:space="0" w:color="auto"/>
        <w:bottom w:val="none" w:sz="0" w:space="0" w:color="auto"/>
        <w:right w:val="none" w:sz="0" w:space="0" w:color="auto"/>
      </w:divBdr>
    </w:div>
    <w:div w:id="2036760507">
      <w:bodyDiv w:val="1"/>
      <w:marLeft w:val="0"/>
      <w:marRight w:val="0"/>
      <w:marTop w:val="0"/>
      <w:marBottom w:val="0"/>
      <w:divBdr>
        <w:top w:val="none" w:sz="0" w:space="0" w:color="auto"/>
        <w:left w:val="none" w:sz="0" w:space="0" w:color="auto"/>
        <w:bottom w:val="none" w:sz="0" w:space="0" w:color="auto"/>
        <w:right w:val="none" w:sz="0" w:space="0" w:color="auto"/>
      </w:divBdr>
    </w:div>
    <w:div w:id="2043020706">
      <w:bodyDiv w:val="1"/>
      <w:marLeft w:val="0"/>
      <w:marRight w:val="0"/>
      <w:marTop w:val="0"/>
      <w:marBottom w:val="0"/>
      <w:divBdr>
        <w:top w:val="none" w:sz="0" w:space="0" w:color="auto"/>
        <w:left w:val="none" w:sz="0" w:space="0" w:color="auto"/>
        <w:bottom w:val="none" w:sz="0" w:space="0" w:color="auto"/>
        <w:right w:val="none" w:sz="0" w:space="0" w:color="auto"/>
      </w:divBdr>
    </w:div>
    <w:div w:id="2064938720">
      <w:bodyDiv w:val="1"/>
      <w:marLeft w:val="0"/>
      <w:marRight w:val="0"/>
      <w:marTop w:val="0"/>
      <w:marBottom w:val="0"/>
      <w:divBdr>
        <w:top w:val="none" w:sz="0" w:space="0" w:color="auto"/>
        <w:left w:val="none" w:sz="0" w:space="0" w:color="auto"/>
        <w:bottom w:val="none" w:sz="0" w:space="0" w:color="auto"/>
        <w:right w:val="none" w:sz="0" w:space="0" w:color="auto"/>
      </w:divBdr>
    </w:div>
    <w:div w:id="213243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ossmark.crossref.org/dialog/?doi=10.31893/multiscience.2024xxx&amp;domain=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malque.pub/ojs/index.php/msj/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https://orcid.org/" TargetMode="External"/><Relationship Id="rId19" Type="http://schemas.openxmlformats.org/officeDocument/2006/relationships/hyperlink" Target="https://www.malque.pub/ojs/index.php/msj/guid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svg"/><Relationship Id="rId22" Type="http://schemas.openxmlformats.org/officeDocument/2006/relationships/hyperlink" Target="https://malque.pub/ojs/index.php/msj/ethics" TargetMode="External"/><Relationship Id="rId25" Type="http://schemas.openxmlformats.org/officeDocument/2006/relationships/hyperlink" Target="https://orcid.org/0009-0007-0042-2835" TargetMode="External"/><Relationship Id="rId26" Type="http://schemas.openxmlformats.org/officeDocument/2006/relationships/hyperlink" Target="https://orcid.org/0009-0008-3307-6569" TargetMode="External"/><Relationship Id="rId27" Type="http://schemas.openxmlformats.org/officeDocument/2006/relationships/hyperlink" Target="mailto:kontrungcany@gmail.com" TargetMode="External"/><Relationship Id="rId28" Type="http://schemas.openxmlformats.org/officeDocument/2006/relationships/hyperlink" Target="https://orcid.org/0000-0003-3581-6571" TargetMode="External"/><Relationship Id="rId29" Type="http://schemas.openxmlformats.org/officeDocument/2006/relationships/hyperlink" Target="https://orcid.org/0009-0003-0967-7528" TargetMode="External"/><Relationship Id="rId30" Type="http://schemas.openxmlformats.org/officeDocument/2006/relationships/image" Target="media/image9.png"/><Relationship Id="rId31" Type="http://schemas.openxmlformats.org/officeDocument/2006/relationships/image" Target="media/image10.png"/></Relationships>
</file>

<file path=word/_rels/footer1.xml.rels><?xml version='1.0' encoding='UTF-8' standalone='yes'?>
<Relationships xmlns="http://schemas.openxmlformats.org/package/2006/relationships"><Relationship Id="rId3" Type="http://schemas.openxmlformats.org/officeDocument/2006/relationships/hyperlink" Target="https://www.malque.pub/ojs/index.php/msj" TargetMode="External"/><Relationship Id="rId2" Type="http://schemas.openxmlformats.org/officeDocument/2006/relationships/image" Target="media/image5.png"/><Relationship Id="rId1" Type="http://schemas.openxmlformats.org/officeDocument/2006/relationships/hyperlink" Target="https://www.malque.pub" TargetMode="External"/><Relationship Id="rId4" Type="http://schemas.openxmlformats.org/officeDocument/2006/relationships/hyperlink" Target="https://www.malque.pub/ojs/index.php/msj" TargetMode="External"/></Relationships>
</file>

<file path=word/_rels/foot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hyperlink" Target="https://www.malque.p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doi.org/10.31893/jabb.21001" TargetMode="External"/><Relationship Id="rId1" Type="http://schemas.openxmlformats.org/officeDocument/2006/relationships/hyperlink" Target="https://doi.org/10.31893/jabb.21001" TargetMode="External"/></Relationships>
</file>

<file path=word/_rels/header2.xml.rels><?xml version='1.0' encoding='UTF-8' standalone='yes'?>
<Relationships xmlns="http://schemas.openxmlformats.org/package/2006/relationships"><Relationship Id="rId3" Type="http://schemas.openxmlformats.org/officeDocument/2006/relationships/hyperlink" Target="https://malque.pub/ojs/index.php/msj/index" TargetMode="External"/><Relationship Id="rId2" Type="http://schemas.openxmlformats.org/officeDocument/2006/relationships/hyperlink" Target="https://doi.org/10.31893/multiscience.2026xxx" TargetMode="External"/><Relationship Id="rId1" Type="http://schemas.openxmlformats.org/officeDocument/2006/relationships/hyperlink" Target="https://doi.org/10.31893/multiscience.2026xxx" TargetMode="External"/><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3C1F50-F304-414B-B3CA-890330C5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2950</Words>
  <Characters>15935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Dayanne</dc:creator>
  <cp:lastModifiedBy>Microsoft Office User</cp:lastModifiedBy>
  <cp:revision>16</cp:revision>
  <cp:lastPrinted>2021-04-25T14:28:00Z</cp:lastPrinted>
  <dcterms:created xsi:type="dcterms:W3CDTF">2023-10-20T18:19:00Z</dcterms:created>
  <dcterms:modified xsi:type="dcterms:W3CDTF">2026-09-22T19:30:00Z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0ba2c21447cd7cd887107512ab0bf1c224e9f18955b8338954429a6a53db44a1</vt:lpwstr>
  </property>
</Properties>
</file>