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pPr>
      <w:r>
        <w:t xml:space="preserve">6 October 2026</w:t>
      </w:r>
    </w:p>
    <w:p>
      <w:pPr>
        <w:pStyle w:val="BodyText"/>
        <w:jc w:val="both"/>
      </w:pPr>
      <w:r>
        <w:t xml:space="preserve">The Editors,</w:t>
      </w:r>
      <w:r>
        <w:t xml:space="preserve"> </w:t>
      </w:r>
      <w:r>
        <w:rPr>
          <w:iCs/>
          <w:i/>
        </w:rPr>
        <w:t xml:space="preserve">PLOS One</w:t>
      </w:r>
    </w:p>
    <w:p>
      <w:pPr>
        <w:pStyle w:val="BodyText"/>
        <w:jc w:val="both"/>
      </w:pPr>
      <w:r>
        <w:rPr>
          <w:bCs/>
          <w:b/>
        </w:rPr>
        <w:t xml:space="preserve">Submission of a Research Article:</w:t>
      </w:r>
      <w:r>
        <w:rPr>
          <w:bCs/>
          <w:b/>
        </w:rPr>
        <w:t xml:space="preserve"> </w:t>
      </w:r>
      <w:r>
        <w:rPr>
          <w:bCs/>
          <w:b/>
        </w:rPr>
        <w:t xml:space="preserve">“</w:t>
      </w:r>
      <w:r>
        <w:rPr>
          <w:bCs/>
          <w:b/>
        </w:rPr>
        <w:t xml:space="preserve">Closing at the limit: Price limits, overnight gaps, and next-day returns on the Ho Chi Minh Stock Exchange</w:t>
      </w:r>
      <w:r>
        <w:rPr>
          <w:bCs/>
          <w:b/>
        </w:rPr>
        <w:t xml:space="preserve">”</w:t>
      </w:r>
    </w:p>
    <w:p>
      <w:pPr>
        <w:pStyle w:val="BodyText"/>
        <w:jc w:val="both"/>
      </w:pPr>
      <w:r>
        <w:t xml:space="preserve">Dear Editors,</w:t>
      </w:r>
    </w:p>
    <w:p>
      <w:pPr>
        <w:pStyle w:val="BodyText"/>
        <w:jc w:val="both"/>
      </w:pPr>
      <w:r>
        <w:t xml:space="preserve">We submit the above manuscript for consideration as a Research Article in</w:t>
      </w:r>
      <w:r>
        <w:t xml:space="preserve"> </w:t>
      </w:r>
      <w:r>
        <w:rPr>
          <w:iCs/>
          <w:i/>
        </w:rPr>
        <w:t xml:space="preserve">PLOS One</w:t>
      </w:r>
      <w:r>
        <w:t xml:space="preserve">.</w:t>
      </w:r>
    </w:p>
    <w:p>
      <w:pPr>
        <w:pStyle w:val="BodyText"/>
        <w:jc w:val="both"/>
      </w:pPr>
      <w:r>
        <w:rPr>
          <w:bCs/>
          <w:b/>
        </w:rPr>
        <w:t xml:space="preserve">Contribution.</w:t>
      </w:r>
      <w:r>
        <w:t xml:space="preserve"> </w:t>
      </w:r>
      <w:r>
        <w:t xml:space="preserve">Daily price limits are common in Asian stock markets, yet little is known about what happens to prices after a stock closes at its limit in a retail-heavy market with call auctions. Using 347 stocks on the Ho Chi Minh Stock Exchange (August 2024 to September 2026), we split the next-day return after limit closes into an overnight gap and an intraday return. After a ceiling close the overnight gap is 2.2%, of which the following session reverses about 24%, and the gap is 2.7 percentage points larger than after rises that stop short of the limit. The four limit tests are placed in one family of 26 tests with 22 price- and volume-based characteristics under false discovery rate control; all four limit tests survive and no characteristic does. We report the results as associations consistent with several mechanisms and do not claim to identify one.</w:t>
      </w:r>
    </w:p>
    <w:p>
      <w:pPr>
        <w:pStyle w:val="BodyText"/>
        <w:jc w:val="both"/>
      </w:pPr>
      <w:r>
        <w:rPr>
          <w:bCs/>
          <w:b/>
        </w:rPr>
        <w:t xml:space="preserve">Relation to published work.</w:t>
      </w:r>
      <w:r>
        <w:t xml:space="preserve"> </w:t>
      </w:r>
      <w:r>
        <w:t xml:space="preserve">The study builds on evidence that price limits delay price discovery (Kim and Rhee, 1997; Qi, 2023, published in</w:t>
      </w:r>
      <w:r>
        <w:t xml:space="preserve"> </w:t>
      </w:r>
      <w:r>
        <w:rPr>
          <w:iCs/>
          <w:i/>
        </w:rPr>
        <w:t xml:space="preserve">PLOS One</w:t>
      </w:r>
      <w:r>
        <w:t xml:space="preserve">), on the overnight-intraday return literature (Berkman et al., 2012; Lou et al., 2019), and on multiple-testing standards in asset pricing (Harvey et al., 2016). It adds the overnight-intraday decomposition after limit closes, a comparison with near-limit moves, and a family-wide multiplicity control for an emerging market that has not been studied in this way.</w:t>
      </w:r>
    </w:p>
    <w:p>
      <w:pPr>
        <w:pStyle w:val="BodyText"/>
        <w:jc w:val="both"/>
      </w:pPr>
      <w:r>
        <w:rPr>
          <w:bCs/>
          <w:b/>
        </w:rPr>
        <w:t xml:space="preserve">Fit with the journal’s criteria.</w:t>
      </w:r>
      <w:r>
        <w:t xml:space="preserve"> </w:t>
      </w:r>
      <w:r>
        <w:t xml:space="preserve">The analysis is fully reproducible: one R script regenerates every number, table, and figure, and the code, data-retrieval steps, and output tables are publicly available. The manuscript reports its analysis plan, its deviations from that plan, alternative clustering schemes, placebo tests, and a detailed list of limitations.</w:t>
      </w:r>
    </w:p>
    <w:p>
      <w:pPr>
        <w:pStyle w:val="BodyText"/>
        <w:jc w:val="both"/>
      </w:pPr>
      <w:r>
        <w:rPr>
          <w:bCs/>
          <w:b/>
        </w:rPr>
        <w:t xml:space="preserve">Article type and prior interactions.</w:t>
      </w:r>
      <w:r>
        <w:t xml:space="preserve"> </w:t>
      </w:r>
      <w:r>
        <w:t xml:space="preserve">The manuscript is a Research Article. It has not been published and is not under consideration elsewhere, and we have had no prior interactions with</w:t>
      </w:r>
      <w:r>
        <w:t xml:space="preserve"> </w:t>
      </w:r>
      <w:r>
        <w:rPr>
          <w:iCs/>
          <w:i/>
        </w:rPr>
        <w:t xml:space="preserve">PLOS One</w:t>
      </w:r>
      <w:r>
        <w:t xml:space="preserve"> </w:t>
      </w:r>
      <w:r>
        <w:t xml:space="preserve">about it.</w:t>
      </w:r>
    </w:p>
    <w:p>
      <w:pPr>
        <w:pStyle w:val="BodyText"/>
        <w:jc w:val="both"/>
      </w:pPr>
      <w:r>
        <w:rPr>
          <w:bCs/>
          <w:b/>
        </w:rPr>
        <w:t xml:space="preserve">Editors and reviewers.</w:t>
      </w:r>
      <w:r>
        <w:t xml:space="preserve"> </w:t>
      </w:r>
      <w:r>
        <w:t xml:space="preserve">We would welcome an Academic Editor with expertise in empirical finance, market microstructure, or emerging-market asset pricing. We have no opposed reviewers.</w:t>
      </w:r>
    </w:p>
    <w:p>
      <w:pPr>
        <w:pStyle w:val="BodyText"/>
        <w:jc w:val="both"/>
      </w:pPr>
      <w:r>
        <w:t xml:space="preserve">Sincerely,</w:t>
      </w:r>
    </w:p>
    <w:p>
      <w:pPr>
        <w:pStyle w:val="BodyText"/>
        <w:jc w:val="both"/>
      </w:pPr>
      <w:r>
        <w:t xml:space="preserve">Nguyen Van Trung (corresponding author), on behalf of all authors</w:t>
      </w:r>
      <w:r>
        <w:br/>
      </w:r>
      <w:r>
        <w:t xml:space="preserve">Academy of Policy and Development, Hanoi, Vietnam</w:t>
      </w:r>
      <w:r>
        <w:br/>
      </w:r>
      <w:r>
        <w:t xml:space="preserve">Email:</w:t>
      </w:r>
      <w:r>
        <w:t xml:space="preserve"> </w:t>
      </w:r>
      <w:hyperlink r:id="rId20">
        <w:r>
          <w:rPr>
            <w:rStyle w:val="Hyperlink"/>
          </w:rPr>
          <w:t xml:space="preserve">kontrungcany@gmail.com</w:t>
        </w:r>
      </w:hyperlink>
      <w:r>
        <w:t xml:space="preserve">; Tel: +84 355 347 831</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color w:val="000000"/>
      <w:sz w:val="22"/>
    </w:rPr>
  </w:style>
  <w:style w:styleId="BodyText" w:type="paragraph">
    <w:name w:val="Body Text"/>
    <w:basedOn w:val="Normal"/>
    <w:link w:val="BodyTextChar"/>
    <w:pPr>
      <w:spacing w:after="120" w:before="0" w:line="276" w:lineRule="auto"/>
    </w:pPr>
    <w:qFormat/>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before="0" w:line="276" w:lineRule="auto"/>
    </w:pPr>
    <w:rPr>
      <w:rFonts w:ascii="Times New Roman" w:cs="Times New Roman" w:eastAsia="Times New Roman" w:hAnsi="Times New Roman"/>
      <w:color w:val="000000"/>
      <w:sz w:val="22"/>
    </w:rPr>
  </w:style>
  <w:style w:customStyle="1" w:styleId="Compact" w:type="paragraph">
    <w:name w:val="Compact"/>
    <w:basedOn w:val="BodyText"/>
    <w:qFormat/>
    <w:pPr>
      <w:spacing w:after="120" w:before="0" w:line="276" w:lineRule="auto"/>
    </w:pPr>
    <w:rPr>
      <w:rFonts w:ascii="Times New Roman" w:cs="Times New Roman" w:eastAsia="Times New Roman" w:hAnsi="Times New Roman"/>
      <w:color w:val="000000"/>
      <w:sz w:val="22"/>
    </w:rPr>
  </w:style>
  <w:style w:styleId="Title" w:type="paragraph">
    <w:name w:val="Title"/>
    <w:basedOn w:val="Normal"/>
    <w:next w:val="BodyText"/>
    <w:qFormat/>
    <w:pPr>
      <w:keepNext/>
      <w:keepLines/>
      <w:spacing w:after="80" w:before="24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Times New Roman" w:cs="Times New Roman" w:eastAsia="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80" w:before="240"/>
      <w:outlineLvl w:val="1"/>
    </w:pPr>
    <w:rPr>
      <w:rFonts w:ascii="Times New Roman" w:cs="Times New Roman" w:eastAsia="Times New Roman" w:hAnsi="Times New Roman"/>
      <w:b/>
      <w:bCs/>
      <w:color w:val="000000"/>
      <w:sz w:val="23"/>
      <w:szCs w:val="28"/>
    </w:rPr>
  </w:style>
  <w:style w:styleId="Heading3" w:type="paragraph">
    <w:name w:val="Heading 3"/>
    <w:basedOn w:val="Normal"/>
    <w:next w:val="BodyText"/>
    <w:uiPriority w:val="9"/>
    <w:unhideWhenUsed/>
    <w:qFormat/>
    <w:pPr>
      <w:keepNext/>
      <w:keepLines/>
      <w:spacing w:after="80" w:before="240"/>
      <w:outlineLvl w:val="2"/>
    </w:pPr>
    <w:rPr>
      <w:rFonts w:ascii="Times New Roman" w:cs="Times New Roman" w:eastAsia="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0" w:line="276" w:lineRule="auto"/>
    </w:pPr>
    <w:rPr>
      <w:rFonts w:ascii="Times New Roman" w:cs="Times New Roman" w:eastAsia="Times New Roman" w:hAnsi="Times New Roman"/>
      <w:color w:val="000000"/>
      <w:sz w:val="22"/>
    </w:rPr>
  </w:style>
  <w:style w:customStyle="1" w:styleId="ImageCaption" w:type="paragraph">
    <w:name w:val="Image Caption"/>
    <w:basedOn w:val="Caption"/>
    <w:pPr>
      <w:spacing w:after="120" w:before="0" w:line="276" w:lineRule="auto"/>
    </w:pPr>
    <w:rPr>
      <w:rFonts w:ascii="Times New Roman" w:cs="Times New Roman" w:eastAsia="Times New Roman" w:hAnsi="Times New Roman"/>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mailto:kontrungcany@gmail.com"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mailto:kontrungcan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2026-10-06T02:35:52Z</dcterms:created>
  <dcterms:modified xsi:type="dcterms:W3CDTF">2026-10-06T02:35:52Z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