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Closing at the limit: Price limits, overnight gaps, and next-day returns on the Ho Chi Minh Stock Exchange</w:t>
      </w:r>
    </w:p>
    <w:p>
      <w:pPr>
        <w:pStyle w:val="BodyText"/>
      </w:pPr>
      <w:r>
        <w:t xml:space="preserve">Short title: Price limit closes and next-day returns in Vietnam</w:t>
      </w:r>
    </w:p>
    <w:p>
      <w:pPr>
        <w:pStyle w:val="BodyText"/>
      </w:pPr>
      <w:r>
        <w:t xml:space="preserve">Nguyen Thanh Binh</w:t>
      </w:r>
      <w:r>
        <w:rPr>
          <w:vertAlign w:val="superscript"/>
        </w:rPr>
        <w:t xml:space="preserve">a</w:t>
      </w:r>
      <w:r>
        <w:t xml:space="preserve">, Nguyen Van Trung</w:t>
      </w:r>
      <w:r>
        <w:rPr>
          <w:vertAlign w:val="superscript"/>
        </w:rPr>
        <w:t xml:space="preserve">a,*</w:t>
      </w:r>
      <w:r>
        <w:t xml:space="preserve">, Ha Hong Hanh</w:t>
      </w:r>
      <w:r>
        <w:rPr>
          <w:vertAlign w:val="superscript"/>
        </w:rPr>
        <w:t xml:space="preserve">b</w:t>
      </w:r>
      <w:r>
        <w:t xml:space="preserve">, Nguyen Bach Diep</w:t>
      </w:r>
      <w:r>
        <w:rPr>
          <w:vertAlign w:val="superscript"/>
        </w:rPr>
        <w:t xml:space="preserve">a</w:t>
      </w:r>
    </w:p>
    <w:p>
      <w:pPr>
        <w:pStyle w:val="BodyText"/>
      </w:pPr>
      <w:r>
        <w:rPr>
          <w:vertAlign w:val="superscript"/>
        </w:rPr>
        <w:t xml:space="preserve">a</w:t>
      </w:r>
      <w:r>
        <w:t xml:space="preserve"> </w:t>
      </w:r>
      <w:r>
        <w:t xml:space="preserve">Academy of Policy and Development, Nam An Khanh Urban Area, Hoai Duc District, Hanoi, Vietnam</w:t>
      </w:r>
    </w:p>
    <w:p>
      <w:pPr>
        <w:pStyle w:val="BodyText"/>
      </w:pPr>
      <w:r>
        <w:rPr>
          <w:vertAlign w:val="superscript"/>
        </w:rPr>
        <w:t xml:space="preserve">b</w:t>
      </w:r>
      <w:r>
        <w:t xml:space="preserve"> </w:t>
      </w:r>
      <w:r>
        <w:t xml:space="preserve">School of Accounting and Auditing, National Economics University, Hanoi, Vietnam</w:t>
      </w:r>
    </w:p>
    <w:p>
      <w:pPr>
        <w:pStyle w:val="BodyText"/>
      </w:pPr>
      <w:r>
        <w:t xml:space="preserve">* Corresponding author: Nguyen Van Trung, Academy of Policy and Development, Nam An Khanh Urban Area, Hoai Duc District, Hanoi, Vietnam. Email:</w:t>
      </w:r>
      <w:r>
        <w:t xml:space="preserve"> </w:t>
      </w:r>
      <w:hyperlink r:id="rId20">
        <w:r>
          <w:rPr>
            <w:rStyle w:val="Hyperlink"/>
          </w:rPr>
          <w:t xml:space="preserve">kontrungcany@gmail.com</w:t>
        </w:r>
      </w:hyperlink>
      <w:r>
        <w:t xml:space="preserve">. Tel: +84 355 347 831.</w:t>
      </w:r>
    </w:p>
    <w:p>
      <w:pPr>
        <w:pStyle w:val="BodyText"/>
      </w:pPr>
      <w:r>
        <w:rPr>
          <w:bCs/>
          <w:b/>
        </w:rPr>
        <w:t xml:space="preserve">Author details</w:t>
      </w:r>
    </w:p>
    <w:p>
      <w:pPr>
        <w:pStyle w:val="BodyText"/>
      </w:pPr>
      <w:r>
        <w:t xml:space="preserve">Nguyen Thanh Binh:</w:t>
      </w:r>
      <w:r>
        <w:t xml:space="preserve"> </w:t>
      </w:r>
      <w:hyperlink r:id="rId21">
        <w:r>
          <w:rPr>
            <w:rStyle w:val="Hyperlink"/>
          </w:rPr>
          <w:t xml:space="preserve">nguyenthanhbinhapd@apd.edu.vn</w:t>
        </w:r>
      </w:hyperlink>
      <w:r>
        <w:t xml:space="preserve">; ORCID 0009-0007-0042-2835</w:t>
      </w:r>
    </w:p>
    <w:p>
      <w:pPr>
        <w:pStyle w:val="BodyText"/>
      </w:pPr>
      <w:r>
        <w:t xml:space="preserve">Nguyen Van Trung:</w:t>
      </w:r>
      <w:r>
        <w:t xml:space="preserve"> </w:t>
      </w:r>
      <w:hyperlink r:id="rId20">
        <w:r>
          <w:rPr>
            <w:rStyle w:val="Hyperlink"/>
          </w:rPr>
          <w:t xml:space="preserve">kontrungcany@gmail.com</w:t>
        </w:r>
      </w:hyperlink>
      <w:r>
        <w:t xml:space="preserve">; ORCID 0009-0008-3307-6569</w:t>
      </w:r>
    </w:p>
    <w:p>
      <w:pPr>
        <w:pStyle w:val="BodyText"/>
      </w:pPr>
      <w:r>
        <w:t xml:space="preserve">Ha Hong Hanh:</w:t>
      </w:r>
      <w:r>
        <w:t xml:space="preserve"> </w:t>
      </w:r>
      <w:hyperlink r:id="rId22">
        <w:r>
          <w:rPr>
            <w:rStyle w:val="Hyperlink"/>
          </w:rPr>
          <w:t xml:space="preserve">hanhhh@neu.edu.vn</w:t>
        </w:r>
      </w:hyperlink>
      <w:r>
        <w:t xml:space="preserve">; ORCID 0000-0003-3581-6571</w:t>
      </w:r>
    </w:p>
    <w:p>
      <w:pPr>
        <w:pStyle w:val="BodyText"/>
      </w:pPr>
      <w:r>
        <w:t xml:space="preserve">Nguyen Bach Diep:</w:t>
      </w:r>
      <w:r>
        <w:t xml:space="preserve"> </w:t>
      </w:r>
      <w:hyperlink r:id="rId23">
        <w:r>
          <w:rPr>
            <w:rStyle w:val="Hyperlink"/>
          </w:rPr>
          <w:t xml:space="preserve">diepnb@apd.edu.vn</w:t>
        </w:r>
      </w:hyperlink>
      <w:r>
        <w:t xml:space="preserve">; ORCID 0009-0003-0967-7528</w:t>
      </w:r>
    </w:p>
    <w:p>
      <w:r>
        <w:br w:type="page"/>
      </w:r>
    </w:p>
    <w:bookmarkStart w:id="24" w:name="abstract"/>
    <w:p>
      <w:pPr>
        <w:pStyle w:val="Heading1"/>
      </w:pPr>
      <w:r>
        <w:t xml:space="preserve">Abstract</w:t>
      </w:r>
    </w:p>
    <w:p>
      <w:pPr>
        <w:pStyle w:val="FirstParagraph"/>
      </w:pPr>
      <w:r>
        <w:t xml:space="preserve">Daily price limits aim to cool markets but can delay price discovery. Few studies trace prices after limit closes in emerging markets, and among the studies identified by our search, none tests the limit against other candidate signals. For 347 stocks on the Ho Chi Minh Stock Exchange from August 2024 to September 2026, we run 26 tests under false discovery rate control: four price limit event tests and 22 price- and volume-based characteristics. All four limit tests survived; none of the 22 lower-powered characteristic tests survived. After a ceiling close, the next-day abnormal return of 1.7% is an overnight gap of 2.2% less an intraday reversal of 0.5%, and the gap exceeds that after rises of 5% to 6.5% by 2.7 percentage points. A buyer at the next opening loses 0.7% against the market by the fifth closing. The pattern is consistent with delayed price discovery, but also with news, attention, and opening-auction overshooting; without news or order-book data, we cannot separate them.</w:t>
      </w:r>
    </w:p>
    <w:bookmarkEnd w:id="24"/>
    <w:bookmarkStart w:id="26" w:name="introduction"/>
    <w:p>
      <w:pPr>
        <w:pStyle w:val="Heading1"/>
      </w:pPr>
      <w:r>
        <w:t xml:space="preserve">Introduction</w:t>
      </w:r>
    </w:p>
    <w:p>
      <w:pPr>
        <w:pStyle w:val="FirstParagraph"/>
      </w:pPr>
      <w:r>
        <w:t xml:space="preserve">A daily price limit prevents a stock from moving beyond a fixed band within one trading day. Exchanges in Tokyo, Taipei, Seoul, Shenzhen, and Ho Chi Minh City have used limits to cool markets after large shocks, and economists ask whether a limit protects prices or postpones their adjustments. The question is sharpest where limit closes are common and call auctions set opening and closing prices. The Ho Chi Minh Stock Exchange (HOSE) has both features: one 7% band applies to all stocks, and about 2.0% of stock-days in our event window close at the upper limit (a ceiling close; see Materials and methods) and about 1.4% at the lower limit (a floor close).</w:t>
      </w:r>
    </w:p>
    <w:p>
      <w:pPr>
        <w:pStyle w:val="BodyText"/>
      </w:pPr>
      <w:r>
        <w:t xml:space="preserve">Studies on band changes document the effects on volatility, liquidity, and crash risk [1–3], and account-level data show that large investors buy on the limit day and sell on the next [4]. Among the studies identified by the search described in S1 Appendix, only Huang et al. [5] described the overnight-then-intraday pattern after limit hits, and the records we could access have no magnitudes. None measures the overnight gap and intraday return after a limit close against a benchmark, places the limit result in a family of tests that controls for the other price-based signals a researcher could have examined, or examines the 2025 move of the HOSE to a new trading platform.</w:t>
      </w:r>
    </w:p>
    <w:p>
      <w:pPr>
        <w:pStyle w:val="BodyText"/>
      </w:pPr>
      <w:r>
        <w:t xml:space="preserve">We estimate the abnormal return after the ceiling and floor close on the HOSE, split it into overnight gap and intraday return, and test whether an outside buyer can capture it. We place the four limit tests in a family of 26 tests with 22 price- and volume-based characteristics and control the false discovery rate (FDR) [6,7].</w:t>
      </w:r>
    </w:p>
    <w:p>
      <w:pPr>
        <w:pStyle w:val="BodyText"/>
      </w:pPr>
      <w:r>
        <w:t xml:space="preserve">We make three contributions. First, we measure the overnight gap and the intraday return after limit closes, a pattern that Huang et al. [5] describe qualitatively for Taiwan, and show that the ceiling effect is a gap of 2.2%, of which the following session reverses 24%. Second, we show that the ceiling gap is 2.7 percentage points larger than after rises of 5% to 6.5% that stop short of the limit, and that the contrast survives when the comparison stocks also close at their daily high. Third, we show that all four limit tests survive a multiplicity-controlled family in which no characteristic survives and that a buyer at the next open loses 0.7% against the market by the fifth close. We also split the events at the 2025 platform change.</w:t>
      </w:r>
    </w:p>
    <w:p>
      <w:pPr>
        <w:pStyle w:val="BodyText"/>
      </w:pPr>
      <w:r>
        <w:t xml:space="preserve">The rest of the Introduction reviews the literature and states the hypotheses. Materials and methods describes the data and the design, Results reports the estimates, Discussion interprets them and lists the limitations, and Conclusions summarizes.</w:t>
      </w:r>
    </w:p>
    <w:bookmarkStart w:id="25" w:name="related-literature-and-hypotheses"/>
    <w:p>
      <w:pPr>
        <w:pStyle w:val="Heading2"/>
      </w:pPr>
      <w:r>
        <w:t xml:space="preserve">Related literature and hypotheses</w:t>
      </w:r>
    </w:p>
    <w:p>
      <w:pPr>
        <w:pStyle w:val="FirstParagraph"/>
      </w:pPr>
      <w:r>
        <w:rPr>
          <w:bCs/>
          <w:b/>
        </w:rPr>
        <w:t xml:space="preserve">Theory.</w:t>
      </w:r>
      <w:r>
        <w:t xml:space="preserve"> </w:t>
      </w:r>
      <w:r>
        <w:t xml:space="preserve">Models predict protection or distortion, depending on the source of the shock. Brennan [8] rationalizes limits in futures markets, Kodres and O’Brien [9] show that well-chosen limits can be Pareto superior when fundamental news drives prices because they partly insure traders against implementation risk, and Greenwald and Stein [10] link crashes to imperfect transactional mechanisms. Subrahmanyam [11] shows that halts can advance trades in time and raise price variability, and in the model of Chen et al. [12], volatility rises as the price nears a circuit breaker, a magnet effect. A limit that only delays adjustment leaves a predictable next-day continuation, which the return after a limit close can reveal.</w:t>
      </w:r>
    </w:p>
    <w:p>
      <w:pPr>
        <w:pStyle w:val="BodyText"/>
      </w:pPr>
      <w:r>
        <w:rPr>
          <w:bCs/>
          <w:b/>
        </w:rPr>
        <w:t xml:space="preserve">Classic evidence.</w:t>
      </w:r>
      <w:r>
        <w:t xml:space="preserve"> </w:t>
      </w:r>
      <w:r>
        <w:t xml:space="preserve">Kim and Rhee [13] find support in Tokyo for three criticisms of limits: they spill volatility into later days, delay price discovery, and interfere with trading. Bildik and Gülay [14] find the same in Istanbul, with stronger evidence from price locks than from limit moves alone. Chen [15] finds that serial correlation falls as the Taiwanese limit widens, which implies delayed adjustment under the narrower limit. Berkman and Lee [16] examine volatility and trading activity around a revision of the Korean limit system. Huang et al. [5] report for Taiwan that the overnight overreaction after limit hits reverses during the following day, the timing pattern we test. Cho et al. [17] find a magnet effect: prices accelerate toward the upper limit in five-minute Taiwanese datasets. Kim and Limpaphayom [18] show that small, volatile, high-volume stocks hit limits more often, whereas Deb et al. [19] argue that rigid limits in Tokyo can disrupt price discovery and liquidity provision.</w:t>
      </w:r>
    </w:p>
    <w:p>
      <w:pPr>
        <w:pStyle w:val="BodyText"/>
      </w:pPr>
      <w:r>
        <w:rPr>
          <w:bCs/>
          <w:b/>
        </w:rPr>
        <w:t xml:space="preserve">Band changes and investor-level data.</w:t>
      </w:r>
      <w:r>
        <w:t xml:space="preserve"> </w:t>
      </w:r>
      <w:r>
        <w:t xml:space="preserve">After ChiNext widened its band from 10% to 20% in August 2020, Qi [3] confirms delayed price discovery, volatility spillover, and trading interference, stronger at the lower limit and with no magnet effect; Zhang et al. [20] find higher liquidity, volatility, and probability of informed trading; and Jia et al. [1] find lower crash risk. Wider bands raised spreads and intraday volatility but improved execution quality in Taiwan [2] and raised intraday realized variance in Korea [21]. In Shenzhen account data, large investors buy on the day a stock hits the 10% upper limit and sell the next day, and their limit-day net buying predicts stronger long-run reversal [4]. Stocks with large limit exposure attract attention and earn lower future returns, most where retail investors hold many shares [22], and stocks with frequent upper-limit hits also earn lower future returns [23]. Liang and Hu [24] forecast limit hits; the record we could access reports no returns after the hit.</w:t>
      </w:r>
    </w:p>
    <w:p>
      <w:pPr>
        <w:pStyle w:val="BodyText"/>
      </w:pPr>
      <w:r>
        <w:rPr>
          <w:bCs/>
          <w:b/>
        </w:rPr>
        <w:t xml:space="preserve">Overnight and intraday returns.</w:t>
      </w:r>
      <w:r>
        <w:t xml:space="preserve"> </w:t>
      </w:r>
      <w:r>
        <w:t xml:space="preserve">Kelly and Clark [25] show for index funds that overnight and intraday returns differ. In U.S. stocks, positive overnight returns are followed by intraday reversals, concentrated among stocks with recent retail attention [26]. Aboody et al. [27] tie overnight persistence to sentiment, Lou et al. [28] find overnight and intraday continuation with an offsetting cross-period reversal, Akbas et al. [29] find that persistent positive-overnight, negative-daytime patterns predict higher returns, Bogousslavsky [30] links the split to margin and lending costs, and Lu et al. [31] link it to market makers who absorb retail imbalances near the open. In China, overnight returns are negative on average, which Qiao and Dam [32] link to the T+1 rule that bars selling shares on the day of purchase; the lottery-like anomaly arises mainly overnight [33]; day-night anomalies concentrate at the open and close [34]; and small retail investors show weak stock selection [35].</w:t>
      </w:r>
    </w:p>
    <w:p>
      <w:pPr>
        <w:pStyle w:val="BodyText"/>
      </w:pPr>
      <w:r>
        <w:rPr>
          <w:bCs/>
          <w:b/>
        </w:rPr>
        <w:t xml:space="preserve">Multiple testing and weekly regressions.</w:t>
      </w:r>
      <w:r>
        <w:t xml:space="preserve"> </w:t>
      </w:r>
      <w:r>
        <w:t xml:space="preserve">Harvey et al. [7] argue that a new factor needs a</w:t>
      </w:r>
      <w:r>
        <w:t xml:space="preserve"> </w:t>
      </w:r>
      <w:r>
        <w:rPr>
          <w:iCs/>
          <w:i/>
        </w:rPr>
        <w:t xml:space="preserve">t</w:t>
      </w:r>
      <w:r>
        <w:t xml:space="preserve">-statistic above 3.0, Harvey and Liu [36] tie the hurdle to a chosen FDR, Chordia et al. [37] put multiple-testing thresholds for cross-sectional regressions near 3.4, and Hou et al. [38] find that, with microcaps mitigated, 65% of 452 anomalies fail the single-test hurdle of 1.96. Petersen [39] compares standard-error estimators for panel data, which motivates our alternative clusters, and Gutierrez and Kelley [40] study weekly returns, the frequency of our regressions. For Vietnam, Huang et al. [41] find a size effect and an earnings-to-price effect; our search (S1 Appendix) identified no peer-reviewed study of post-limit returns on HOSE.</w:t>
      </w:r>
    </w:p>
    <w:p>
      <w:pPr>
        <w:pStyle w:val="BodyText"/>
      </w:pPr>
      <w:r>
        <w:rPr>
          <w:bCs/>
          <w:b/>
        </w:rPr>
        <w:t xml:space="preserve">Gap and hypotheses.</w:t>
      </w:r>
      <w:r>
        <w:t xml:space="preserve"> </w:t>
      </w:r>
      <w:r>
        <w:t xml:space="preserve">These studies compare band regimes, sort stocks by limit exposure, or split overnight and intraday returns for all stocks. Among the studies our search identified, only Huang et al. [5] link limit hits to the overnight-intraday split, and none controls for multiple testing or uses the 2025 platform change. If a limit delays price discovery, a ceiling close predicts a positive next-day abnormal return and a floor close a negative one (H</w:t>
      </w:r>
      <w:r>
        <w:rPr>
          <w:vertAlign w:val="subscript"/>
        </w:rPr>
        <w:t xml:space="preserve">1</w:t>
      </w:r>
      <w:r>
        <w:t xml:space="preserve">). If the opening auction absorbs the blocked demand, the effect concentrates in the overnight gap (H</w:t>
      </w:r>
      <w:r>
        <w:rPr>
          <w:vertAlign w:val="subscript"/>
        </w:rPr>
        <w:t xml:space="preserve">2</w:t>
      </w:r>
      <w:r>
        <w:t xml:space="preserve">). If the limit itself drives the gap, the gap after a limit close exceeds the gap after moves of similar size that stop short of the limit (H</w:t>
      </w:r>
      <w:r>
        <w:rPr>
          <w:vertAlign w:val="subscript"/>
        </w:rPr>
        <w:t xml:space="preserve">3</w:t>
      </w:r>
      <w:r>
        <w:t xml:space="preserve">). An investor who buys at the next open earns no positive abnormal return through the fifth trading day (H</w:t>
      </w:r>
      <w:r>
        <w:rPr>
          <w:vertAlign w:val="subscript"/>
        </w:rPr>
        <w:t xml:space="preserve">4</w:t>
      </w:r>
      <w:r>
        <w:t xml:space="preserve">). A limit effect that survives the screen applied to all 22 characteristics is more credible than a single large estimate.</w:t>
      </w:r>
    </w:p>
    <w:bookmarkEnd w:id="25"/>
    <w:bookmarkEnd w:id="26"/>
    <w:bookmarkStart w:id="30" w:name="materials-and-methods"/>
    <w:p>
      <w:pPr>
        <w:pStyle w:val="Heading1"/>
      </w:pPr>
      <w:r>
        <w:t xml:space="preserve">Materials and methods</w:t>
      </w:r>
    </w:p>
    <w:bookmarkStart w:id="27" w:name="data-and-institutional-setting"/>
    <w:p>
      <w:pPr>
        <w:pStyle w:val="Heading2"/>
      </w:pPr>
      <w:r>
        <w:t xml:space="preserve">Data and institutional setting</w:t>
      </w:r>
    </w:p>
    <w:p>
      <w:pPr>
        <w:pStyle w:val="FirstParagraph"/>
      </w:pPr>
      <w:r>
        <w:rPr>
          <w:bCs/>
          <w:b/>
        </w:rPr>
        <w:t xml:space="preserve">Data source.</w:t>
      </w:r>
      <w:r>
        <w:t xml:space="preserve"> </w:t>
      </w:r>
      <w:r>
        <w:t xml:space="preserve">On 24 September 2026, we downloaded daily open, high, low, close, and volume series for all HOSE-listed stocks with the vnstock Python library (version 4.0.4; source Vietcap Securities, VCI). A listing file from the same source and date (743 rows, all instrument types) defines the universe. The retrieval returned 405 HOSE stock files with records through 23 September 2026, and we use the 519 trading days from 21 August 2024. Prices are in thousand dong. The vendor does not document corporate-action adjustment, and the files contain no market capitalization, order book, investor type, or news.</w:t>
      </w:r>
    </w:p>
    <w:p>
      <w:pPr>
        <w:pStyle w:val="BodyText"/>
      </w:pPr>
      <w:r>
        <w:rPr>
          <w:bCs/>
          <w:b/>
        </w:rPr>
        <w:t xml:space="preserve">Sample.</w:t>
      </w:r>
      <w:r>
        <w:t xml:space="preserve"> </w:t>
      </w:r>
      <w:r>
        <w:t xml:space="preserve">We keep the 347 stocks with at least 95% non-missing closes, 178,773 stock-days in all. The daily close-to-close return has a mean of 0.018%, a median of 0.00%, and a standard deviation of 2.10%. Dollar volume (price times shares traded, in dong) is skewed, with a median of 2.6 billion dong per stock-day and a mean of 51.2 billion. The stocks span 18 two-digit Industry Classification Benchmark sectors; the largest holds 15% of them.</w:t>
      </w:r>
    </w:p>
    <w:p>
      <w:pPr>
        <w:pStyle w:val="BodyText"/>
      </w:pPr>
      <w:r>
        <w:rPr>
          <w:bCs/>
          <w:b/>
        </w:rPr>
        <w:t xml:space="preserve">Institutional setting.</w:t>
      </w:r>
      <w:r>
        <w:t xml:space="preserve"> </w:t>
      </w:r>
      <w:r>
        <w:t xml:space="preserve">HOSE sets a daily price limit of 7% around the reference price, the previous close on normal trading days [42]. On 5 May 2025, HOSE moved to the trading platform of the Korea Exchange (KRX). The band stayed unchanged, but at-the-open and at-the-close orders lost their priority over limit orders in the opening and closing call auctions [42,43], whose prices define our events and gaps. Treating the band, tick sizes, and reference-price rule as assumptions, we check the band against the data: 1.98% of stock-days fall between +6.5% and +7.1% and 1.30% between −7.1% and −6.5%, against 0.29% between +6.0% and +6.5%, a pile-up consistent with a 7% band.</w:t>
      </w:r>
    </w:p>
    <w:bookmarkEnd w:id="27"/>
    <w:bookmarkStart w:id="29" w:name="research-design"/>
    <w:p>
      <w:pPr>
        <w:pStyle w:val="Heading2"/>
      </w:pPr>
      <w:r>
        <w:t xml:space="preserve">Research design</w:t>
      </w:r>
    </w:p>
    <w:p>
      <w:pPr>
        <w:pStyle w:val="FirstParagraph"/>
      </w:pPr>
      <w:r>
        <w:rPr>
          <w:bCs/>
          <w:b/>
        </w:rPr>
        <w:t xml:space="preserve">Returns and events.</w:t>
      </w:r>
      <w:r>
        <w:t xml:space="preserve"> </w:t>
      </w:r>
      <w:r>
        <w:t xml:space="preserve">For stock</w:t>
      </w:r>
      <w:r>
        <w:t xml:space="preserve"> </w:t>
      </w:r>
      <w:r>
        <w:rPr>
          <w:iCs/>
          <w:i/>
        </w:rPr>
        <w:t xml:space="preserve">i</w:t>
      </w:r>
      <w:r>
        <w:t xml:space="preserve"> </w:t>
      </w:r>
      <w:r>
        <w:t xml:space="preserve">on trading day</w:t>
      </w:r>
      <w:r>
        <w:t xml:space="preserve"> </w:t>
      </w:r>
      <w:r>
        <w:rPr>
          <w:iCs/>
          <w:i/>
        </w:rPr>
        <w:t xml:space="preserve">d</w:t>
      </w:r>
      <w:r>
        <w:t xml:space="preserve">,</w:t>
      </w:r>
      <w:r>
        <w:t xml:space="preserve"> </w:t>
      </w:r>
      <w:r>
        <w:rPr>
          <w:iCs/>
          <w:i/>
        </w:rPr>
        <w:t xml:space="preserve">C</w:t>
      </w:r>
      <w:r>
        <w:rPr>
          <w:iCs/>
          <w:i/>
          <w:vertAlign w:val="subscript"/>
        </w:rPr>
        <w:t xml:space="preserve">i</w:t>
      </w:r>
      <w:r>
        <w:rPr>
          <w:vertAlign w:val="subscript"/>
        </w:rPr>
        <w:t xml:space="preserve">,</w:t>
      </w:r>
      <w:r>
        <w:rPr>
          <w:iCs/>
          <w:i/>
          <w:vertAlign w:val="subscript"/>
        </w:rPr>
        <w:t xml:space="preserve">d</w:t>
      </w:r>
      <w:r>
        <w:t xml:space="preserve">,</w:t>
      </w:r>
      <w:r>
        <w:t xml:space="preserve"> </w:t>
      </w:r>
      <w:r>
        <w:rPr>
          <w:iCs/>
          <w:i/>
        </w:rPr>
        <w:t xml:space="preserve">O</w:t>
      </w:r>
      <w:r>
        <w:rPr>
          <w:iCs/>
          <w:i/>
          <w:vertAlign w:val="subscript"/>
        </w:rPr>
        <w:t xml:space="preserve">i</w:t>
      </w:r>
      <w:r>
        <w:rPr>
          <w:vertAlign w:val="subscript"/>
        </w:rPr>
        <w:t xml:space="preserve">,</w:t>
      </w:r>
      <w:r>
        <w:rPr>
          <w:iCs/>
          <w:i/>
          <w:vertAlign w:val="subscript"/>
        </w:rPr>
        <w:t xml:space="preserve">d</w:t>
      </w:r>
      <w:r>
        <w:t xml:space="preserve">,</w:t>
      </w:r>
      <w:r>
        <w:t xml:space="preserve"> </w:t>
      </w:r>
      <w:r>
        <w:rPr>
          <w:iCs/>
          <w:i/>
        </w:rPr>
        <w:t xml:space="preserve">H</w:t>
      </w:r>
      <w:r>
        <w:rPr>
          <w:iCs/>
          <w:i/>
          <w:vertAlign w:val="subscript"/>
        </w:rPr>
        <w:t xml:space="preserve">i</w:t>
      </w:r>
      <w:r>
        <w:rPr>
          <w:vertAlign w:val="subscript"/>
        </w:rPr>
        <w:t xml:space="preserve">,</w:t>
      </w:r>
      <w:r>
        <w:rPr>
          <w:iCs/>
          <w:i/>
          <w:vertAlign w:val="subscript"/>
        </w:rPr>
        <w:t xml:space="preserve">d</w:t>
      </w:r>
      <w:r>
        <w:t xml:space="preserve">, and</w:t>
      </w:r>
      <w:r>
        <w:t xml:space="preserve"> </w:t>
      </w:r>
      <w:r>
        <w:rPr>
          <w:iCs/>
          <w:i/>
        </w:rPr>
        <w:t xml:space="preserve">L</w:t>
      </w:r>
      <w:r>
        <w:rPr>
          <w:iCs/>
          <w:i/>
          <w:vertAlign w:val="subscript"/>
        </w:rPr>
        <w:t xml:space="preserve">i</w:t>
      </w:r>
      <w:r>
        <w:rPr>
          <w:vertAlign w:val="subscript"/>
        </w:rPr>
        <w:t xml:space="preserve">,</w:t>
      </w:r>
      <w:r>
        <w:rPr>
          <w:iCs/>
          <w:i/>
          <w:vertAlign w:val="subscript"/>
        </w:rPr>
        <w:t xml:space="preserve">d</w:t>
      </w:r>
      <w:r>
        <w:t xml:space="preserve"> </w:t>
      </w:r>
      <w:r>
        <w:t xml:space="preserve">are the close, open, high, and low prices, and the close-to-close return is</w:t>
      </w:r>
    </w:p>
    <w:p>
      <w:pPr>
        <w:pStyle w:val="BodyText"/>
      </w:pPr>
      <m:oMathPara>
        <m:oMathParaPr>
          <m:jc m:val="center"/>
        </m:oMathParaPr>
        <m:oMath>
          <m:sSub>
            <m:e>
              <m:r>
                <m:t>R</m:t>
              </m:r>
            </m:e>
            <m:sub>
              <m:r>
                <m:t>i</m:t>
              </m:r>
              <m:r>
                <m:rPr>
                  <m:sty m:val="p"/>
                </m:rPr>
                <m:t>,</m:t>
              </m:r>
              <m:r>
                <m:t>d</m:t>
              </m:r>
            </m:sub>
          </m:sSub>
          <m:r>
            <m:rPr>
              <m:sty m:val="p"/>
            </m:rPr>
            <m:t>=</m:t>
          </m:r>
          <m:f>
            <m:fPr>
              <m:type m:val="bar"/>
            </m:fPr>
            <m:num>
              <m:sSub>
                <m:e>
                  <m:r>
                    <m:t>C</m:t>
                  </m:r>
                </m:e>
                <m:sub>
                  <m:r>
                    <m:t>i</m:t>
                  </m:r>
                  <m:r>
                    <m:rPr>
                      <m:sty m:val="p"/>
                    </m:rPr>
                    <m:t>,</m:t>
                  </m:r>
                  <m:r>
                    <m:t>d</m:t>
                  </m:r>
                </m:sub>
              </m:sSub>
            </m:num>
            <m:den>
              <m:sSub>
                <m:e>
                  <m:r>
                    <m:t>C</m:t>
                  </m:r>
                </m:e>
                <m:sub>
                  <m:r>
                    <m:t>i</m:t>
                  </m:r>
                  <m:r>
                    <m:rPr>
                      <m:sty m:val="p"/>
                    </m:rPr>
                    <m:t>,</m:t>
                  </m:r>
                  <m:r>
                    <m:t>d</m:t>
                  </m:r>
                  <m:r>
                    <m:rPr>
                      <m:sty m:val="p"/>
                    </m:rPr>
                    <m:t>−</m:t>
                  </m:r>
                  <m:r>
                    <m:t>1</m:t>
                  </m:r>
                </m:sub>
              </m:sSub>
            </m:den>
          </m:f>
          <m:r>
            <m:rPr>
              <m:sty m:val="p"/>
            </m:rPr>
            <m:t>−</m:t>
          </m:r>
          <m:r>
            <m:t>1</m:t>
          </m:r>
          <m:r>
            <m:rPr>
              <m:sty m:val="p"/>
            </m:rPr>
            <m:t>.</m:t>
          </m:r>
          <m:r>
            <m:t>  </m:t>
          </m:r>
          <m:r>
            <m:rPr>
              <m:nor/>
              <m:sty m:val="p"/>
            </m:rPr>
            <m:t>(1)</m:t>
          </m:r>
        </m:oMath>
      </m:oMathPara>
    </w:p>
    <w:p>
      <w:pPr>
        <w:pStyle w:val="FirstParagraph"/>
      </w:pPr>
      <w:r>
        <w:t xml:space="preserve">A ceiling event has a return (Equation (1)) of</w:t>
      </w:r>
      <w:r>
        <w:t xml:space="preserve"> </w:t>
      </w:r>
      <w:r>
        <w:rPr>
          <w:iCs/>
          <w:i/>
        </w:rPr>
        <w:t xml:space="preserve">R</w:t>
      </w:r>
      <w:r>
        <w:rPr>
          <w:iCs/>
          <w:i/>
          <w:vertAlign w:val="subscript"/>
        </w:rPr>
        <w:t xml:space="preserve">i</w:t>
      </w:r>
      <w:r>
        <w:rPr>
          <w:vertAlign w:val="subscript"/>
        </w:rPr>
        <w:t xml:space="preserve">,</w:t>
      </w:r>
      <w:r>
        <w:rPr>
          <w:iCs/>
          <w:i/>
          <w:vertAlign w:val="subscript"/>
        </w:rPr>
        <w:t xml:space="preserve">d</w:t>
      </w:r>
      <w:r>
        <w:t xml:space="preserve"> </w:t>
      </w:r>
      <w:r>
        <w:t xml:space="preserve">≥ 0.065 and</w:t>
      </w:r>
      <w:r>
        <w:t xml:space="preserve"> </w:t>
      </w:r>
      <w:r>
        <w:rPr>
          <w:iCs/>
          <w:i/>
        </w:rPr>
        <w:t xml:space="preserve">C</w:t>
      </w:r>
      <w:r>
        <w:rPr>
          <w:iCs/>
          <w:i/>
          <w:vertAlign w:val="subscript"/>
        </w:rPr>
        <w:t xml:space="preserve">i</w:t>
      </w:r>
      <w:r>
        <w:rPr>
          <w:vertAlign w:val="subscript"/>
        </w:rPr>
        <w:t xml:space="preserve">,</w:t>
      </w:r>
      <w:r>
        <w:rPr>
          <w:iCs/>
          <w:i/>
          <w:vertAlign w:val="subscript"/>
        </w:rPr>
        <w:t xml:space="preserve">d</w:t>
      </w:r>
      <w:r>
        <w:t xml:space="preserve"> </w:t>
      </w:r>
      <w:r>
        <w:t xml:space="preserve">=</w:t>
      </w:r>
      <w:r>
        <w:t xml:space="preserve"> </w:t>
      </w:r>
      <w:r>
        <w:rPr>
          <w:iCs/>
          <w:i/>
        </w:rPr>
        <w:t xml:space="preserve">H</w:t>
      </w:r>
      <w:r>
        <w:rPr>
          <w:iCs/>
          <w:i/>
          <w:vertAlign w:val="subscript"/>
        </w:rPr>
        <w:t xml:space="preserve">i</w:t>
      </w:r>
      <w:r>
        <w:rPr>
          <w:vertAlign w:val="subscript"/>
        </w:rPr>
        <w:t xml:space="preserve">,</w:t>
      </w:r>
      <w:r>
        <w:rPr>
          <w:iCs/>
          <w:i/>
          <w:vertAlign w:val="subscript"/>
        </w:rPr>
        <w:t xml:space="preserve">d</w:t>
      </w:r>
      <w:r>
        <w:t xml:space="preserve">, and a floor event has</w:t>
      </w:r>
      <w:r>
        <w:t xml:space="preserve"> </w:t>
      </w:r>
      <w:r>
        <w:rPr>
          <w:iCs/>
          <w:i/>
        </w:rPr>
        <w:t xml:space="preserve">R</w:t>
      </w:r>
      <w:r>
        <w:rPr>
          <w:iCs/>
          <w:i/>
          <w:vertAlign w:val="subscript"/>
        </w:rPr>
        <w:t xml:space="preserve">i</w:t>
      </w:r>
      <w:r>
        <w:rPr>
          <w:vertAlign w:val="subscript"/>
        </w:rPr>
        <w:t xml:space="preserve">,</w:t>
      </w:r>
      <w:r>
        <w:rPr>
          <w:iCs/>
          <w:i/>
          <w:vertAlign w:val="subscript"/>
        </w:rPr>
        <w:t xml:space="preserve">d</w:t>
      </w:r>
      <w:r>
        <w:t xml:space="preserve"> </w:t>
      </w:r>
      <w:r>
        <w:t xml:space="preserve">≤ −0.065 and</w:t>
      </w:r>
      <w:r>
        <w:t xml:space="preserve"> </w:t>
      </w:r>
      <w:r>
        <w:rPr>
          <w:iCs/>
          <w:i/>
        </w:rPr>
        <w:t xml:space="preserve">C</w:t>
      </w:r>
      <w:r>
        <w:rPr>
          <w:iCs/>
          <w:i/>
          <w:vertAlign w:val="subscript"/>
        </w:rPr>
        <w:t xml:space="preserve">i</w:t>
      </w:r>
      <w:r>
        <w:rPr>
          <w:vertAlign w:val="subscript"/>
        </w:rPr>
        <w:t xml:space="preserve">,</w:t>
      </w:r>
      <w:r>
        <w:rPr>
          <w:iCs/>
          <w:i/>
          <w:vertAlign w:val="subscript"/>
        </w:rPr>
        <w:t xml:space="preserve">d</w:t>
      </w:r>
      <w:r>
        <w:t xml:space="preserve"> </w:t>
      </w:r>
      <w:r>
        <w:t xml:space="preserve">=</w:t>
      </w:r>
      <w:r>
        <w:t xml:space="preserve"> </w:t>
      </w:r>
      <w:r>
        <w:rPr>
          <w:iCs/>
          <w:i/>
        </w:rPr>
        <w:t xml:space="preserve">L</w:t>
      </w:r>
      <w:r>
        <w:rPr>
          <w:iCs/>
          <w:i/>
          <w:vertAlign w:val="subscript"/>
        </w:rPr>
        <w:t xml:space="preserve">i</w:t>
      </w:r>
      <w:r>
        <w:rPr>
          <w:vertAlign w:val="subscript"/>
        </w:rPr>
        <w:t xml:space="preserve">,</w:t>
      </w:r>
      <w:r>
        <w:rPr>
          <w:iCs/>
          <w:i/>
          <w:vertAlign w:val="subscript"/>
        </w:rPr>
        <w:t xml:space="preserve">d</w:t>
      </w:r>
      <w:r>
        <w:t xml:space="preserve">. The event window runs from day 61, once a 60-day volume history exists, to five days before the sample end. The market return weights stocks by dollar volume,</w:t>
      </w:r>
    </w:p>
    <w:p>
      <w:pPr>
        <w:pStyle w:val="BodyText"/>
      </w:pPr>
      <m:oMathPara>
        <m:oMathParaPr>
          <m:jc m:val="center"/>
        </m:oMathParaPr>
        <m:oMath>
          <m:sSubSup>
            <m:e>
              <m:r>
                <m:t>R</m:t>
              </m:r>
            </m:e>
            <m:sub>
              <m:r>
                <m:t>d</m:t>
              </m:r>
            </m:sub>
            <m:sup>
              <m:r>
                <m:rPr>
                  <m:nor/>
                  <m:sty m:val="p"/>
                </m:rPr>
                <m:t>mkt</m:t>
              </m:r>
            </m:sup>
          </m:sSubSup>
          <m:r>
            <m:rPr>
              <m:sty m:val="p"/>
            </m:rPr>
            <m:t>=</m:t>
          </m:r>
          <m:nary>
            <m:naryPr>
              <m:chr m:val="∑"/>
              <m:limLoc m:val="undOvr"/>
              <m:subHide m:val="off"/>
              <m:supHide m:val="on"/>
            </m:naryPr>
            <m:sub>
              <m:r>
                <m:t>j</m:t>
              </m:r>
            </m:sub>
            <m:sup>
              <m:r>
                <m:t>​</m:t>
              </m:r>
            </m:sup>
            <m:e>
              <m:sSub>
                <m:e>
                  <m:r>
                    <m:t>w</m:t>
                  </m:r>
                </m:e>
                <m:sub>
                  <m:r>
                    <m:t>j</m:t>
                  </m:r>
                  <m:r>
                    <m:rPr>
                      <m:sty m:val="p"/>
                    </m:rPr>
                    <m:t>,</m:t>
                  </m:r>
                  <m:r>
                    <m:t>d</m:t>
                  </m:r>
                </m:sub>
              </m:sSub>
            </m:e>
          </m:nary>
          <m:r>
            <m:t> </m:t>
          </m:r>
          <m:sSub>
            <m:e>
              <m:r>
                <m:t>R</m:t>
              </m:r>
            </m:e>
            <m:sub>
              <m:r>
                <m:t>j</m:t>
              </m:r>
              <m:r>
                <m:rPr>
                  <m:sty m:val="p"/>
                </m:rPr>
                <m:t>,</m:t>
              </m:r>
              <m:r>
                <m:t>d</m:t>
              </m:r>
            </m:sub>
          </m:sSub>
          <m:r>
            <m:rPr>
              <m:sty m:val="p"/>
            </m:rPr>
            <m:t>,</m:t>
          </m:r>
          <m:r>
            <m:t>  </m:t>
          </m:r>
          <m:sSub>
            <m:e>
              <m:r>
                <m:t>w</m:t>
              </m:r>
            </m:e>
            <m:sub>
              <m:r>
                <m:t>j</m:t>
              </m:r>
              <m:r>
                <m:rPr>
                  <m:sty m:val="p"/>
                </m:rPr>
                <m:t>,</m:t>
              </m:r>
              <m:r>
                <m:t>d</m:t>
              </m:r>
            </m:sub>
          </m:sSub>
          <m:r>
            <m:rPr>
              <m:sty m:val="p"/>
            </m:rPr>
            <m:t>=</m:t>
          </m:r>
          <m:f>
            <m:fPr>
              <m:type m:val="bar"/>
            </m:fPr>
            <m:num>
              <m:sSub>
                <m:e>
                  <m:bar>
                    <m:barPr>
                      <m:pos m:val="top"/>
                    </m:barPr>
                    <m:e>
                      <m:r>
                        <m:t>V</m:t>
                      </m:r>
                    </m:e>
                  </m:bar>
                </m:e>
                <m:sub>
                  <m:r>
                    <m:t>j</m:t>
                  </m:r>
                  <m:r>
                    <m:rPr>
                      <m:sty m:val="p"/>
                    </m:rPr>
                    <m:t>,</m:t>
                  </m:r>
                  <m:r>
                    <m:t>d</m:t>
                  </m:r>
                </m:sub>
              </m:sSub>
            </m:num>
            <m:den>
              <m:nary>
                <m:naryPr>
                  <m:chr m:val="∑"/>
                  <m:limLoc m:val="undOvr"/>
                  <m:subHide m:val="off"/>
                  <m:supHide m:val="on"/>
                </m:naryPr>
                <m:sub>
                  <m:r>
                    <m:t>l</m:t>
                  </m:r>
                </m:sub>
                <m:sup>
                  <m:r>
                    <m:t>​</m:t>
                  </m:r>
                </m:sup>
                <m:e>
                  <m:sSub>
                    <m:e>
                      <m:bar>
                        <m:barPr>
                          <m:pos m:val="top"/>
                        </m:barPr>
                        <m:e>
                          <m:r>
                            <m:t>V</m:t>
                          </m:r>
                        </m:e>
                      </m:bar>
                    </m:e>
                    <m:sub>
                      <m:r>
                        <m:t>l</m:t>
                      </m:r>
                      <m:r>
                        <m:rPr>
                          <m:sty m:val="p"/>
                        </m:rPr>
                        <m:t>,</m:t>
                      </m:r>
                      <m:r>
                        <m:t>d</m:t>
                      </m:r>
                    </m:sub>
                  </m:sSub>
                </m:e>
              </m:nary>
            </m:den>
          </m:f>
          <m:r>
            <m:rPr>
              <m:sty m:val="p"/>
            </m:rPr>
            <m:t>,</m:t>
          </m:r>
          <m:r>
            <m:t>  </m:t>
          </m:r>
          <m:r>
            <m:rPr>
              <m:nor/>
              <m:sty m:val="p"/>
            </m:rPr>
            <m:t>(2)</m:t>
          </m:r>
        </m:oMath>
      </m:oMathPara>
    </w:p>
    <w:p>
      <w:pPr>
        <w:pStyle w:val="FirstParagraph"/>
      </w:pPr>
      <w:r>
        <w:t xml:space="preserve">where</w:t>
      </w:r>
      <w:r>
        <w:t xml:space="preserve"> </w:t>
      </w:r>
      <w:r>
        <w:rPr>
          <w:iCs/>
          <w:i/>
        </w:rPr>
        <w:t xml:space="preserve">j</w:t>
      </w:r>
      <w:r>
        <w:t xml:space="preserve"> </w:t>
      </w:r>
      <w:r>
        <w:t xml:space="preserve">and</w:t>
      </w:r>
      <w:r>
        <w:t xml:space="preserve"> </w:t>
      </w:r>
      <w:r>
        <w:rPr>
          <w:iCs/>
          <w:i/>
        </w:rPr>
        <w:t xml:space="preserve">l</w:t>
      </w:r>
      <w:r>
        <w:t xml:space="preserve"> </w:t>
      </w:r>
      <w:r>
        <w:t xml:space="preserve">run over stocks with a day-</w:t>
      </w:r>
      <w:r>
        <w:rPr>
          <w:iCs/>
          <w:i/>
        </w:rPr>
        <w:t xml:space="preserve">d</w:t>
      </w:r>
      <w:r>
        <w:t xml:space="preserve"> </w:t>
      </w:r>
      <w:r>
        <w:t xml:space="preserve">return and a full 60-day history, and</w:t>
      </w:r>
      <w:r>
        <w:t xml:space="preserve"> </w:t>
      </w:r>
      <w:r>
        <w:rPr>
          <w:iCs/>
          <w:i/>
        </w:rPr>
        <w:t xml:space="preserve">V̄</w:t>
      </w:r>
      <w:r>
        <w:rPr>
          <w:iCs/>
          <w:i/>
          <w:vertAlign w:val="subscript"/>
        </w:rPr>
        <w:t xml:space="preserve">j</w:t>
      </w:r>
      <w:r>
        <w:rPr>
          <w:vertAlign w:val="subscript"/>
        </w:rPr>
        <w:t xml:space="preserve">,</w:t>
      </w:r>
      <w:r>
        <w:rPr>
          <w:iCs/>
          <w:i/>
          <w:vertAlign w:val="subscript"/>
        </w:rPr>
        <w:t xml:space="preserve">d</w:t>
      </w:r>
      <w:r>
        <w:t xml:space="preserve"> </w:t>
      </w:r>
      <w:r>
        <w:t xml:space="preserve">is the mean dollar volume of stock</w:t>
      </w:r>
      <w:r>
        <w:t xml:space="preserve"> </w:t>
      </w:r>
      <w:r>
        <w:rPr>
          <w:iCs/>
          <w:i/>
        </w:rPr>
        <w:t xml:space="preserve">j</w:t>
      </w:r>
      <w:r>
        <w:t xml:space="preserve"> </w:t>
      </w:r>
      <w:r>
        <w:t xml:space="preserve">over the 60 trading days through day</w:t>
      </w:r>
      <w:r>
        <w:t xml:space="preserve"> </w:t>
      </w:r>
      <w:r>
        <w:rPr>
          <w:iCs/>
          <w:i/>
        </w:rPr>
        <w:t xml:space="preserve">d</w:t>
      </w:r>
      <w:r>
        <w:t xml:space="preserve">.</w:t>
      </w:r>
    </w:p>
    <w:p>
      <w:pPr>
        <w:pStyle w:val="BodyText"/>
      </w:pPr>
      <w:r>
        <w:rPr>
          <w:bCs/>
          <w:b/>
        </w:rPr>
        <w:t xml:space="preserve">Exact hits.</w:t>
      </w:r>
      <w:r>
        <w:t xml:space="preserve"> </w:t>
      </w:r>
      <w:r>
        <w:t xml:space="preserve">An exact hit is an event whose close equals the limit price (within 10</w:t>
      </w:r>
      <w:r>
        <w:rPr>
          <w:vertAlign w:val="superscript"/>
        </w:rPr>
        <w:t xml:space="preserve">−6</w:t>
      </w:r>
      <w:r>
        <w:t xml:space="preserve"> </w:t>
      </w:r>
      <w:r>
        <w:t xml:space="preserve">thousand dong),</w:t>
      </w:r>
    </w:p>
    <w:p>
      <w:pPr>
        <w:pStyle w:val="BodyText"/>
      </w:pPr>
      <m:oMathPara>
        <m:oMathParaPr>
          <m:jc m:val="center"/>
        </m:oMathParaPr>
        <m:oMath>
          <m:sSubSup>
            <m:e>
              <m:r>
                <m:t>P</m:t>
              </m:r>
            </m:e>
            <m:sub>
              <m:r>
                <m:t>i</m:t>
              </m:r>
              <m:r>
                <m:rPr>
                  <m:sty m:val="p"/>
                </m:rPr>
                <m:t>,</m:t>
              </m:r>
              <m:r>
                <m:t>d</m:t>
              </m:r>
            </m:sub>
            <m:sup>
              <m:r>
                <m:rPr>
                  <m:nor/>
                  <m:sty m:val="p"/>
                </m:rPr>
                <m:t>ceiling</m:t>
              </m:r>
            </m:sup>
          </m:sSubSup>
          <m:r>
            <m:rPr>
              <m:sty m:val="p"/>
            </m:rPr>
            <m:t>=</m:t>
          </m:r>
          <m:d>
            <m:dPr>
              <m:begChr m:val="⌊"/>
              <m:endChr m:val="⌋"/>
              <m:sepChr m:val=""/>
              <m:grow/>
            </m:dPr>
            <m:e>
              <m:f>
                <m:fPr>
                  <m:type m:val="bar"/>
                </m:fPr>
                <m:num>
                  <m:r>
                    <m:t>1.07</m:t>
                  </m:r>
                  <m:r>
                    <m:t> </m:t>
                  </m:r>
                  <m:sSub>
                    <m:e>
                      <m:r>
                        <m:t>C</m:t>
                      </m:r>
                    </m:e>
                    <m:sub>
                      <m:r>
                        <m:t>i</m:t>
                      </m:r>
                      <m:r>
                        <m:rPr>
                          <m:sty m:val="p"/>
                        </m:rPr>
                        <m:t>,</m:t>
                      </m:r>
                      <m:r>
                        <m:t>d</m:t>
                      </m:r>
                      <m:r>
                        <m:rPr>
                          <m:sty m:val="p"/>
                        </m:rPr>
                        <m:t>−</m:t>
                      </m:r>
                      <m:r>
                        <m:t>1</m:t>
                      </m:r>
                    </m:sub>
                  </m:sSub>
                </m:num>
                <m:den>
                  <m:r>
                    <m:t>δ</m:t>
                  </m:r>
                </m:den>
              </m:f>
            </m:e>
          </m:d>
          <m:r>
            <m:t>δ</m:t>
          </m:r>
          <m:r>
            <m:rPr>
              <m:sty m:val="p"/>
            </m:rPr>
            <m:t>,</m:t>
          </m:r>
          <m:r>
            <m:t>  </m:t>
          </m:r>
          <m:sSubSup>
            <m:e>
              <m:r>
                <m:t>P</m:t>
              </m:r>
            </m:e>
            <m:sub>
              <m:r>
                <m:t>i</m:t>
              </m:r>
              <m:r>
                <m:rPr>
                  <m:sty m:val="p"/>
                </m:rPr>
                <m:t>,</m:t>
              </m:r>
              <m:r>
                <m:t>d</m:t>
              </m:r>
            </m:sub>
            <m:sup>
              <m:r>
                <m:rPr>
                  <m:nor/>
                  <m:sty m:val="p"/>
                </m:rPr>
                <m:t>floor</m:t>
              </m:r>
            </m:sup>
          </m:sSubSup>
          <m:r>
            <m:rPr>
              <m:sty m:val="p"/>
            </m:rPr>
            <m:t>=</m:t>
          </m:r>
          <m:d>
            <m:dPr>
              <m:begChr m:val="⌈"/>
              <m:endChr m:val="⌉"/>
              <m:sepChr m:val=""/>
              <m:grow/>
            </m:dPr>
            <m:e>
              <m:f>
                <m:fPr>
                  <m:type m:val="bar"/>
                </m:fPr>
                <m:num>
                  <m:r>
                    <m:t>0.93</m:t>
                  </m:r>
                  <m:r>
                    <m:t> </m:t>
                  </m:r>
                  <m:sSub>
                    <m:e>
                      <m:r>
                        <m:t>C</m:t>
                      </m:r>
                    </m:e>
                    <m:sub>
                      <m:r>
                        <m:t>i</m:t>
                      </m:r>
                      <m:r>
                        <m:rPr>
                          <m:sty m:val="p"/>
                        </m:rPr>
                        <m:t>,</m:t>
                      </m:r>
                      <m:r>
                        <m:t>d</m:t>
                      </m:r>
                      <m:r>
                        <m:rPr>
                          <m:sty m:val="p"/>
                        </m:rPr>
                        <m:t>−</m:t>
                      </m:r>
                      <m:r>
                        <m:t>1</m:t>
                      </m:r>
                    </m:sub>
                  </m:sSub>
                </m:num>
                <m:den>
                  <m:r>
                    <m:t>δ</m:t>
                  </m:r>
                </m:den>
              </m:f>
            </m:e>
          </m:d>
          <m:r>
            <m:t>δ</m:t>
          </m:r>
          <m:r>
            <m:rPr>
              <m:sty m:val="p"/>
            </m:rPr>
            <m:t>,</m:t>
          </m:r>
          <m:r>
            <m:t>  </m:t>
          </m:r>
          <m:r>
            <m:rPr>
              <m:nor/>
              <m:sty m:val="p"/>
            </m:rPr>
            <m:t>(3)</m:t>
          </m:r>
        </m:oMath>
      </m:oMathPara>
    </w:p>
    <w:p>
      <w:pPr>
        <w:pStyle w:val="FirstParagraph"/>
      </w:pPr>
      <w:r>
        <w:t xml:space="preserve">where ⌊ · ⌋ and ⌈ · ⌉ round down and up (after adding and subtracting 10</w:t>
      </w:r>
      <w:r>
        <w:rPr>
          <w:vertAlign w:val="superscript"/>
        </w:rPr>
        <w:t xml:space="preserve">−9</w:t>
      </w:r>
      <w:r>
        <w:t xml:space="preserve">, respectively, against floating-point error), and the tick δ is 0.01, 0.05, or 0.10 thousand dong for reference prices</w:t>
      </w:r>
      <w:r>
        <w:t xml:space="preserve"> </w:t>
      </w:r>
      <w:r>
        <w:rPr>
          <w:iCs/>
          <w:i/>
        </w:rPr>
        <w:t xml:space="preserve">C</w:t>
      </w:r>
      <w:r>
        <w:rPr>
          <w:iCs/>
          <w:i/>
          <w:vertAlign w:val="subscript"/>
        </w:rPr>
        <w:t xml:space="preserve">i</w:t>
      </w:r>
      <w:r>
        <w:rPr>
          <w:vertAlign w:val="subscript"/>
        </w:rPr>
        <w:t xml:space="preserve">,</w:t>
      </w:r>
      <w:r>
        <w:rPr>
          <w:iCs/>
          <w:i/>
          <w:vertAlign w:val="subscript"/>
        </w:rPr>
        <w:t xml:space="preserve">d</w:t>
      </w:r>
      <w:r>
        <w:rPr>
          <w:vertAlign w:val="subscript"/>
        </w:rPr>
        <w:t xml:space="preserve">−1</w:t>
      </w:r>
      <w:r>
        <w:t xml:space="preserve"> </w:t>
      </w:r>
      <w:r>
        <w:t xml:space="preserve">below 10, from 10 to below 50, and from 50 upward. Other events are near hits (see Limitations on vendor price adjustment).</w:t>
      </w:r>
    </w:p>
    <w:p>
      <w:pPr>
        <w:pStyle w:val="BodyText"/>
      </w:pPr>
      <w:r>
        <w:rPr>
          <w:bCs/>
          <w:b/>
        </w:rPr>
        <w:t xml:space="preserve">Outcomes.</w:t>
      </w:r>
      <w:r>
        <w:t xml:space="preserve"> </w:t>
      </w:r>
      <w:r>
        <w:t xml:space="preserve">The abnormal return (AR) on day</w:t>
      </w:r>
      <w:r>
        <w:t xml:space="preserve"> </w:t>
      </w:r>
      <w:r>
        <w:rPr>
          <w:iCs/>
          <w:i/>
        </w:rPr>
        <w:t xml:space="preserve">d</w:t>
      </w:r>
      <w:r>
        <w:t xml:space="preserve"> </w:t>
      </w:r>
      <w:r>
        <w:t xml:space="preserve">+ 1 and the cumulative abnormal return (CAR) over days</w:t>
      </w:r>
      <w:r>
        <w:t xml:space="preserve"> </w:t>
      </w:r>
      <w:r>
        <w:rPr>
          <w:iCs/>
          <w:i/>
        </w:rPr>
        <w:t xml:space="preserve">d</w:t>
      </w:r>
      <w:r>
        <w:t xml:space="preserve"> </w:t>
      </w:r>
      <w:r>
        <w:t xml:space="preserve">+ 1 to</w:t>
      </w:r>
      <w:r>
        <w:t xml:space="preserve"> </w:t>
      </w:r>
      <w:r>
        <w:rPr>
          <w:iCs/>
          <w:i/>
        </w:rPr>
        <w:t xml:space="preserve">d</w:t>
      </w:r>
      <w:r>
        <w:t xml:space="preserve"> </w:t>
      </w:r>
      <w:r>
        <w:t xml:space="preserve">+ 5 are</w:t>
      </w:r>
    </w:p>
    <w:p>
      <w:pPr>
        <w:pStyle w:val="BodyText"/>
      </w:pPr>
      <m:oMathPara>
        <m:oMathParaPr>
          <m:jc m:val="center"/>
        </m:oMathParaPr>
        <m:oMath>
          <m:sSub>
            <m:e>
              <m:r>
                <m:rPr>
                  <m:sty m:val="p"/>
                </m:rPr>
                <m:t>A</m:t>
              </m:r>
              <m:r>
                <m:rPr>
                  <m:sty m:val="p"/>
                </m:rPr>
                <m:t>R</m:t>
              </m:r>
            </m:e>
            <m:sub>
              <m:r>
                <m:t>i</m:t>
              </m:r>
              <m:r>
                <m:rPr>
                  <m:sty m:val="p"/>
                </m:rPr>
                <m:t>,</m:t>
              </m:r>
              <m:r>
                <m:t>d</m:t>
              </m:r>
            </m:sub>
          </m:sSub>
          <m:r>
            <m:rPr>
              <m:sty m:val="p"/>
            </m:rPr>
            <m:t>=</m:t>
          </m:r>
          <m:sSub>
            <m:e>
              <m:r>
                <m:t>R</m:t>
              </m:r>
            </m:e>
            <m:sub>
              <m:r>
                <m:t>i</m:t>
              </m:r>
              <m:r>
                <m:rPr>
                  <m:sty m:val="p"/>
                </m:rPr>
                <m:t>,</m:t>
              </m:r>
              <m:r>
                <m:t>d</m:t>
              </m:r>
              <m:r>
                <m:rPr>
                  <m:sty m:val="p"/>
                </m:rPr>
                <m:t>+</m:t>
              </m:r>
              <m:r>
                <m:t>1</m:t>
              </m:r>
            </m:sub>
          </m:sSub>
          <m:r>
            <m:rPr>
              <m:sty m:val="p"/>
            </m:rPr>
            <m:t>−</m:t>
          </m:r>
          <m:sSubSup>
            <m:e>
              <m:r>
                <m:t>R</m:t>
              </m:r>
            </m:e>
            <m:sub>
              <m:r>
                <m:t>d</m:t>
              </m:r>
              <m:r>
                <m:rPr>
                  <m:sty m:val="p"/>
                </m:rPr>
                <m:t>+</m:t>
              </m:r>
              <m:r>
                <m:t>1</m:t>
              </m:r>
            </m:sub>
            <m:sup>
              <m:r>
                <m:rPr>
                  <m:nor/>
                  <m:sty m:val="p"/>
                </m:rPr>
                <m:t>mkt</m:t>
              </m:r>
            </m:sup>
          </m:sSubSup>
          <m:r>
            <m:rPr>
              <m:sty m:val="p"/>
            </m:rPr>
            <m:t>,</m:t>
          </m:r>
          <m:r>
            <m:t>  </m:t>
          </m:r>
          <m:sSub>
            <m:e>
              <m:r>
                <m:rPr>
                  <m:sty m:val="p"/>
                </m:rPr>
                <m:t>C</m:t>
              </m:r>
              <m:r>
                <m:rPr>
                  <m:sty m:val="p"/>
                </m:rPr>
                <m:t>A</m:t>
              </m:r>
              <m:r>
                <m:rPr>
                  <m:sty m:val="p"/>
                </m:rPr>
                <m:t>R</m:t>
              </m:r>
            </m:e>
            <m:sub>
              <m:r>
                <m:t>i</m:t>
              </m:r>
              <m:r>
                <m:rPr>
                  <m:sty m:val="p"/>
                </m:rPr>
                <m:t>,</m:t>
              </m:r>
              <m:r>
                <m:t>d</m:t>
              </m:r>
            </m:sub>
          </m:sSub>
          <m:r>
            <m:rPr>
              <m:sty m:val="p"/>
            </m:rPr>
            <m:t>=</m:t>
          </m:r>
          <m:nary>
            <m:naryPr>
              <m:chr m:val="∏"/>
              <m:limLoc m:val="undOvr"/>
              <m:subHide m:val="off"/>
              <m:supHide m:val="off"/>
            </m:naryPr>
            <m:sub>
              <m:r>
                <m:t>k</m:t>
              </m:r>
              <m:r>
                <m:rPr>
                  <m:sty m:val="p"/>
                </m:rPr>
                <m:t>=</m:t>
              </m:r>
              <m:r>
                <m:t>1</m:t>
              </m:r>
            </m:sub>
            <m:sup>
              <m:r>
                <m:t>5</m:t>
              </m:r>
            </m:sup>
            <m:e>
              <m:d>
                <m:dPr>
                  <m:begChr m:val="("/>
                  <m:endChr m:val=")"/>
                  <m:sepChr m:val=""/>
                  <m:grow/>
                </m:dPr>
                <m:e>
                  <m:r>
                    <m:t>1</m:t>
                  </m:r>
                  <m:r>
                    <m:rPr>
                      <m:sty m:val="p"/>
                    </m:rPr>
                    <m:t>+</m:t>
                  </m:r>
                  <m:sSub>
                    <m:e>
                      <m:r>
                        <m:t>R</m:t>
                      </m:r>
                    </m:e>
                    <m:sub>
                      <m:r>
                        <m:t>i</m:t>
                      </m:r>
                      <m:r>
                        <m:rPr>
                          <m:sty m:val="p"/>
                        </m:rPr>
                        <m:t>,</m:t>
                      </m:r>
                      <m:r>
                        <m:t>d</m:t>
                      </m:r>
                      <m:r>
                        <m:rPr>
                          <m:sty m:val="p"/>
                        </m:rPr>
                        <m:t>+</m:t>
                      </m:r>
                      <m:r>
                        <m:t>k</m:t>
                      </m:r>
                    </m:sub>
                  </m:sSub>
                </m:e>
              </m:d>
            </m:e>
          </m:nary>
          <m:r>
            <m:rPr>
              <m:sty m:val="p"/>
            </m:rPr>
            <m:t>−</m:t>
          </m:r>
          <m:nary>
            <m:naryPr>
              <m:chr m:val="∏"/>
              <m:limLoc m:val="undOvr"/>
              <m:subHide m:val="off"/>
              <m:supHide m:val="off"/>
            </m:naryPr>
            <m:sub>
              <m:r>
                <m:t>k</m:t>
              </m:r>
              <m:r>
                <m:rPr>
                  <m:sty m:val="p"/>
                </m:rPr>
                <m:t>=</m:t>
              </m:r>
              <m:r>
                <m:t>1</m:t>
              </m:r>
            </m:sub>
            <m:sup>
              <m:r>
                <m:t>5</m:t>
              </m:r>
            </m:sup>
            <m:e>
              <m:d>
                <m:dPr>
                  <m:begChr m:val="("/>
                  <m:endChr m:val=")"/>
                  <m:sepChr m:val=""/>
                  <m:grow/>
                </m:dPr>
                <m:e>
                  <m:r>
                    <m:t>1</m:t>
                  </m:r>
                  <m:r>
                    <m:rPr>
                      <m:sty m:val="p"/>
                    </m:rPr>
                    <m:t>+</m:t>
                  </m:r>
                  <m:sSubSup>
                    <m:e>
                      <m:r>
                        <m:t>R</m:t>
                      </m:r>
                    </m:e>
                    <m:sub>
                      <m:r>
                        <m:t>d</m:t>
                      </m:r>
                      <m:r>
                        <m:rPr>
                          <m:sty m:val="p"/>
                        </m:rPr>
                        <m:t>+</m:t>
                      </m:r>
                      <m:r>
                        <m:t>k</m:t>
                      </m:r>
                    </m:sub>
                    <m:sup>
                      <m:r>
                        <m:rPr>
                          <m:nor/>
                          <m:sty m:val="p"/>
                        </m:rPr>
                        <m:t>mkt</m:t>
                      </m:r>
                    </m:sup>
                  </m:sSubSup>
                </m:e>
              </m:d>
            </m:e>
          </m:nary>
          <m:r>
            <m:rPr>
              <m:sty m:val="p"/>
            </m:rPr>
            <m:t>,</m:t>
          </m:r>
          <m:r>
            <m:t>  </m:t>
          </m:r>
          <m:r>
            <m:rPr>
              <m:nor/>
              <m:sty m:val="p"/>
            </m:rPr>
            <m:t>(4)</m:t>
          </m:r>
        </m:oMath>
      </m:oMathPara>
    </w:p>
    <w:p>
      <w:pPr>
        <w:pStyle w:val="FirstParagraph"/>
      </w:pPr>
      <w:r>
        <w:t xml:space="preserve">where each</w:t>
      </w:r>
      <w:r>
        <w:t xml:space="preserve"> </w:t>
      </w:r>
      <w:r>
        <w:rPr>
          <w:iCs/>
          <w:i/>
        </w:rPr>
        <w:t xml:space="preserve">R</w:t>
      </w:r>
      <w:r>
        <w:rPr>
          <w:vertAlign w:val="superscript"/>
        </w:rPr>
        <w:t xml:space="preserve">mkt</w:t>
      </w:r>
      <w:r>
        <w:rPr>
          <w:iCs/>
          <w:i/>
          <w:vertAlign w:val="subscript"/>
        </w:rPr>
        <w:t xml:space="preserve">d</w:t>
      </w:r>
      <w:r>
        <w:rPr>
          <w:vertAlign w:val="subscript"/>
        </w:rPr>
        <w:t xml:space="preserve">+</w:t>
      </w:r>
      <w:r>
        <w:rPr>
          <w:iCs/>
          <w:i/>
          <w:vertAlign w:val="subscript"/>
        </w:rPr>
        <w:t xml:space="preserve">k</w:t>
      </w:r>
      <w:r>
        <w:t xml:space="preserve"> </w:t>
      </w:r>
      <w:r>
        <w:t xml:space="preserve">uses weights through day</w:t>
      </w:r>
      <w:r>
        <w:t xml:space="preserve"> </w:t>
      </w:r>
      <w:r>
        <w:rPr>
          <w:iCs/>
          <w:i/>
        </w:rPr>
        <w:t xml:space="preserve">d</w:t>
      </w:r>
      <w:r>
        <w:t xml:space="preserve"> </w:t>
      </w:r>
      <w:r>
        <w:t xml:space="preserve">+</w:t>
      </w:r>
      <w:r>
        <w:t xml:space="preserve"> </w:t>
      </w:r>
      <w:r>
        <w:rPr>
          <w:iCs/>
          <w:i/>
        </w:rPr>
        <w:t xml:space="preserve">k</w:t>
      </w:r>
      <w:r>
        <w:t xml:space="preserve"> </w:t>
      </w:r>
      <w:r>
        <w:t xml:space="preserve">(Table 1). The day-</w:t>
      </w:r>
      <w:r>
        <w:rPr>
          <w:iCs/>
          <w:i/>
        </w:rPr>
        <w:t xml:space="preserve">d</w:t>
      </w:r>
      <w:r>
        <w:t xml:space="preserve"> </w:t>
      </w:r>
      <w:r>
        <w:t xml:space="preserve">+ 1 return splits into the overnight gap and the intraday return,</w:t>
      </w:r>
    </w:p>
    <w:p>
      <w:pPr>
        <w:pStyle w:val="BodyText"/>
      </w:pPr>
      <m:oMathPara>
        <m:oMathParaPr>
          <m:jc m:val="center"/>
        </m:oMathParaPr>
        <m:oMath>
          <m:sSub>
            <m:e>
              <m:r>
                <m:rPr>
                  <m:sty m:val="p"/>
                </m:rPr>
                <m:t>G</m:t>
              </m:r>
              <m:r>
                <m:rPr>
                  <m:sty m:val="p"/>
                </m:rPr>
                <m:t>A</m:t>
              </m:r>
              <m:r>
                <m:rPr>
                  <m:sty m:val="p"/>
                </m:rPr>
                <m:t>P</m:t>
              </m:r>
            </m:e>
            <m:sub>
              <m:r>
                <m:t>i</m:t>
              </m:r>
              <m:r>
                <m:rPr>
                  <m:sty m:val="p"/>
                </m:rPr>
                <m:t>,</m:t>
              </m:r>
              <m:r>
                <m:t>d</m:t>
              </m:r>
            </m:sub>
          </m:sSub>
          <m:r>
            <m:rPr>
              <m:sty m:val="p"/>
            </m:rPr>
            <m:t>=</m:t>
          </m:r>
          <m:f>
            <m:fPr>
              <m:type m:val="bar"/>
            </m:fPr>
            <m:num>
              <m:sSub>
                <m:e>
                  <m:r>
                    <m:t>O</m:t>
                  </m:r>
                </m:e>
                <m:sub>
                  <m:r>
                    <m:t>i</m:t>
                  </m:r>
                  <m:r>
                    <m:rPr>
                      <m:sty m:val="p"/>
                    </m:rPr>
                    <m:t>,</m:t>
                  </m:r>
                  <m:r>
                    <m:t>d</m:t>
                  </m:r>
                  <m:r>
                    <m:rPr>
                      <m:sty m:val="p"/>
                    </m:rPr>
                    <m:t>+</m:t>
                  </m:r>
                  <m:r>
                    <m:t>1</m:t>
                  </m:r>
                </m:sub>
              </m:sSub>
            </m:num>
            <m:den>
              <m:sSub>
                <m:e>
                  <m:r>
                    <m:t>C</m:t>
                  </m:r>
                </m:e>
                <m:sub>
                  <m:r>
                    <m:t>i</m:t>
                  </m:r>
                  <m:r>
                    <m:rPr>
                      <m:sty m:val="p"/>
                    </m:rPr>
                    <m:t>,</m:t>
                  </m:r>
                  <m:r>
                    <m:t>d</m:t>
                  </m:r>
                </m:sub>
              </m:sSub>
            </m:den>
          </m:f>
          <m:r>
            <m:rPr>
              <m:sty m:val="p"/>
            </m:rPr>
            <m:t>−</m:t>
          </m:r>
          <m:r>
            <m:t>1</m:t>
          </m:r>
          <m:r>
            <m:rPr>
              <m:sty m:val="p"/>
            </m:rPr>
            <m:t>,</m:t>
          </m:r>
          <m:r>
            <m:t>  </m:t>
          </m:r>
          <m:sSub>
            <m:e>
              <m:r>
                <m:rPr>
                  <m:sty m:val="p"/>
                </m:rPr>
                <m:t>I</m:t>
              </m:r>
              <m:r>
                <m:rPr>
                  <m:sty m:val="p"/>
                </m:rPr>
                <m:t>N</m:t>
              </m:r>
              <m:r>
                <m:rPr>
                  <m:sty m:val="p"/>
                </m:rPr>
                <m:t>T</m:t>
              </m:r>
              <m:r>
                <m:rPr>
                  <m:sty m:val="p"/>
                </m:rPr>
                <m:t>R</m:t>
              </m:r>
              <m:r>
                <m:rPr>
                  <m:sty m:val="p"/>
                </m:rPr>
                <m:t>A</m:t>
              </m:r>
            </m:e>
            <m:sub>
              <m:r>
                <m:t>i</m:t>
              </m:r>
              <m:r>
                <m:rPr>
                  <m:sty m:val="p"/>
                </m:rPr>
                <m:t>,</m:t>
              </m:r>
              <m:r>
                <m:t>d</m:t>
              </m:r>
            </m:sub>
          </m:sSub>
          <m:r>
            <m:rPr>
              <m:sty m:val="p"/>
            </m:rPr>
            <m:t>=</m:t>
          </m:r>
          <m:f>
            <m:fPr>
              <m:type m:val="bar"/>
            </m:fPr>
            <m:num>
              <m:sSub>
                <m:e>
                  <m:r>
                    <m:t>C</m:t>
                  </m:r>
                </m:e>
                <m:sub>
                  <m:r>
                    <m:t>i</m:t>
                  </m:r>
                  <m:r>
                    <m:rPr>
                      <m:sty m:val="p"/>
                    </m:rPr>
                    <m:t>,</m:t>
                  </m:r>
                  <m:r>
                    <m:t>d</m:t>
                  </m:r>
                  <m:r>
                    <m:rPr>
                      <m:sty m:val="p"/>
                    </m:rPr>
                    <m:t>+</m:t>
                  </m:r>
                  <m:r>
                    <m:t>1</m:t>
                  </m:r>
                </m:sub>
              </m:sSub>
            </m:num>
            <m:den>
              <m:sSub>
                <m:e>
                  <m:r>
                    <m:t>O</m:t>
                  </m:r>
                </m:e>
                <m:sub>
                  <m:r>
                    <m:t>i</m:t>
                  </m:r>
                  <m:r>
                    <m:rPr>
                      <m:sty m:val="p"/>
                    </m:rPr>
                    <m:t>,</m:t>
                  </m:r>
                  <m:r>
                    <m:t>d</m:t>
                  </m:r>
                  <m:r>
                    <m:rPr>
                      <m:sty m:val="p"/>
                    </m:rPr>
                    <m:t>+</m:t>
                  </m:r>
                  <m:r>
                    <m:t>1</m:t>
                  </m:r>
                </m:sub>
              </m:sSub>
            </m:den>
          </m:f>
          <m:r>
            <m:rPr>
              <m:sty m:val="p"/>
            </m:rPr>
            <m:t>−</m:t>
          </m:r>
          <m:r>
            <m:t>1</m:t>
          </m:r>
          <m:r>
            <m:rPr>
              <m:sty m:val="p"/>
            </m:rPr>
            <m:t>,</m:t>
          </m:r>
          <m:r>
            <m:t>  </m:t>
          </m:r>
          <m:r>
            <m:t>1</m:t>
          </m:r>
          <m:r>
            <m:rPr>
              <m:sty m:val="p"/>
            </m:rPr>
            <m:t>+</m:t>
          </m:r>
          <m:sSub>
            <m:e>
              <m:r>
                <m:t>R</m:t>
              </m:r>
            </m:e>
            <m:sub>
              <m:r>
                <m:t>i</m:t>
              </m:r>
              <m:r>
                <m:rPr>
                  <m:sty m:val="p"/>
                </m:rPr>
                <m:t>,</m:t>
              </m:r>
              <m:r>
                <m:t>d</m:t>
              </m:r>
              <m:r>
                <m:rPr>
                  <m:sty m:val="p"/>
                </m:rPr>
                <m:t>+</m:t>
              </m:r>
              <m:r>
                <m:t>1</m:t>
              </m:r>
            </m:sub>
          </m:sSub>
          <m:r>
            <m:rPr>
              <m:sty m:val="p"/>
            </m:rPr>
            <m:t>=</m:t>
          </m:r>
          <m:d>
            <m:dPr>
              <m:begChr m:val="("/>
              <m:endChr m:val=")"/>
              <m:sepChr m:val=""/>
              <m:grow/>
            </m:dPr>
            <m:e>
              <m:r>
                <m:t>1</m:t>
              </m:r>
              <m:r>
                <m:rPr>
                  <m:sty m:val="p"/>
                </m:rPr>
                <m:t>+</m:t>
              </m:r>
              <m:sSub>
                <m:e>
                  <m:r>
                    <m:rPr>
                      <m:sty m:val="p"/>
                    </m:rPr>
                    <m:t>G</m:t>
                  </m:r>
                  <m:r>
                    <m:rPr>
                      <m:sty m:val="p"/>
                    </m:rPr>
                    <m:t>A</m:t>
                  </m:r>
                  <m:r>
                    <m:rPr>
                      <m:sty m:val="p"/>
                    </m:rPr>
                    <m:t>P</m:t>
                  </m:r>
                </m:e>
                <m:sub>
                  <m:r>
                    <m:t>i</m:t>
                  </m:r>
                  <m:r>
                    <m:rPr>
                      <m:sty m:val="p"/>
                    </m:rPr>
                    <m:t>,</m:t>
                  </m:r>
                  <m:r>
                    <m:t>d</m:t>
                  </m:r>
                </m:sub>
              </m:sSub>
            </m:e>
          </m:d>
          <m:d>
            <m:dPr>
              <m:begChr m:val="("/>
              <m:endChr m:val=")"/>
              <m:sepChr m:val=""/>
              <m:grow/>
            </m:dPr>
            <m:e>
              <m:r>
                <m:t>1</m:t>
              </m:r>
              <m:r>
                <m:rPr>
                  <m:sty m:val="p"/>
                </m:rPr>
                <m:t>+</m:t>
              </m:r>
              <m:sSub>
                <m:e>
                  <m:r>
                    <m:rPr>
                      <m:sty m:val="p"/>
                    </m:rPr>
                    <m:t>I</m:t>
                  </m:r>
                  <m:r>
                    <m:rPr>
                      <m:sty m:val="p"/>
                    </m:rPr>
                    <m:t>N</m:t>
                  </m:r>
                  <m:r>
                    <m:rPr>
                      <m:sty m:val="p"/>
                    </m:rPr>
                    <m:t>T</m:t>
                  </m:r>
                  <m:r>
                    <m:rPr>
                      <m:sty m:val="p"/>
                    </m:rPr>
                    <m:t>R</m:t>
                  </m:r>
                  <m:r>
                    <m:rPr>
                      <m:sty m:val="p"/>
                    </m:rPr>
                    <m:t>A</m:t>
                  </m:r>
                </m:e>
                <m:sub>
                  <m:r>
                    <m:t>i</m:t>
                  </m:r>
                  <m:r>
                    <m:rPr>
                      <m:sty m:val="p"/>
                    </m:rPr>
                    <m:t>,</m:t>
                  </m:r>
                  <m:r>
                    <m:t>d</m:t>
                  </m:r>
                </m:sub>
              </m:sSub>
            </m:e>
          </m:d>
          <m:r>
            <m:rPr>
              <m:sty m:val="p"/>
            </m:rPr>
            <m:t>,</m:t>
          </m:r>
          <m:r>
            <m:t>  </m:t>
          </m:r>
          <m:r>
            <m:rPr>
              <m:nor/>
              <m:sty m:val="p"/>
            </m:rPr>
            <m:t>(5)</m:t>
          </m:r>
        </m:oMath>
      </m:oMathPara>
    </w:p>
    <w:p>
      <w:pPr>
        <w:pStyle w:val="FirstParagraph"/>
      </w:pPr>
      <w:r>
        <w:t xml:space="preserve">and abnormal values subtract the market counterpart of each component, the same-interval return across stocks weighted with</w:t>
      </w:r>
      <w:r>
        <w:t xml:space="preserve"> </w:t>
      </w:r>
      <w:r>
        <w:rPr>
          <w:iCs/>
          <w:i/>
        </w:rPr>
        <w:t xml:space="preserve">w</w:t>
      </w:r>
      <w:r>
        <w:rPr>
          <w:iCs/>
          <w:i/>
          <w:vertAlign w:val="subscript"/>
        </w:rPr>
        <w:t xml:space="preserve">j</w:t>
      </w:r>
      <w:r>
        <w:rPr>
          <w:vertAlign w:val="subscript"/>
        </w:rPr>
        <w:t xml:space="preserve">,</w:t>
      </w:r>
      <w:r>
        <w:rPr>
          <w:iCs/>
          <w:i/>
          <w:vertAlign w:val="subscript"/>
        </w:rPr>
        <w:t xml:space="preserve">d</w:t>
      </w:r>
      <w:r>
        <w:t xml:space="preserve">, known at the event close. A buyer at the next open earns</w:t>
      </w:r>
      <w:r>
        <w:t xml:space="preserve"> </w:t>
      </w:r>
      <w:r>
        <w:rPr>
          <w:iCs/>
          <w:i/>
        </w:rPr>
        <w:t xml:space="preserve">C</w:t>
      </w:r>
      <w:r>
        <w:rPr>
          <w:iCs/>
          <w:i/>
          <w:vertAlign w:val="subscript"/>
        </w:rPr>
        <w:t xml:space="preserve">i</w:t>
      </w:r>
      <w:r>
        <w:rPr>
          <w:vertAlign w:val="subscript"/>
        </w:rPr>
        <w:t xml:space="preserve">,</w:t>
      </w:r>
      <w:r>
        <w:rPr>
          <w:iCs/>
          <w:i/>
          <w:vertAlign w:val="subscript"/>
        </w:rPr>
        <w:t xml:space="preserve">d</w:t>
      </w:r>
      <w:r>
        <w:rPr>
          <w:vertAlign w:val="subscript"/>
        </w:rPr>
        <w:t xml:space="preserve">+5</w:t>
      </w:r>
      <w:r>
        <w:t xml:space="preserve">/</w:t>
      </w:r>
      <w:r>
        <w:rPr>
          <w:iCs/>
          <w:i/>
        </w:rPr>
        <w:t xml:space="preserve">O</w:t>
      </w:r>
      <w:r>
        <w:rPr>
          <w:iCs/>
          <w:i/>
          <w:vertAlign w:val="subscript"/>
        </w:rPr>
        <w:t xml:space="preserve">i</w:t>
      </w:r>
      <w:r>
        <w:rPr>
          <w:vertAlign w:val="subscript"/>
        </w:rPr>
        <w:t xml:space="preserve">,</w:t>
      </w:r>
      <w:r>
        <w:rPr>
          <w:iCs/>
          <w:i/>
          <w:vertAlign w:val="subscript"/>
        </w:rPr>
        <w:t xml:space="preserve">d</w:t>
      </w:r>
      <w:r>
        <w:rPr>
          <w:vertAlign w:val="subscript"/>
        </w:rPr>
        <w:t xml:space="preserve">+1</w:t>
      </w:r>
      <w:r>
        <w:t xml:space="preserve"> </w:t>
      </w:r>
      <w:r>
        <w:t xml:space="preserve">− 1 less the buy-and-hold market return Σ</w:t>
      </w:r>
      <w:r>
        <w:rPr>
          <w:iCs/>
          <w:i/>
          <w:vertAlign w:val="subscript"/>
        </w:rPr>
        <w:t xml:space="preserve">j</w:t>
      </w:r>
      <w:r>
        <w:t xml:space="preserve"> </w:t>
      </w:r>
      <w:r>
        <w:rPr>
          <w:iCs/>
          <w:i/>
        </w:rPr>
        <w:t xml:space="preserve">w</w:t>
      </w:r>
      <w:r>
        <w:rPr>
          <w:iCs/>
          <w:i/>
          <w:vertAlign w:val="subscript"/>
        </w:rPr>
        <w:t xml:space="preserve">j</w:t>
      </w:r>
      <w:r>
        <w:rPr>
          <w:vertAlign w:val="subscript"/>
        </w:rPr>
        <w:t xml:space="preserve">,</w:t>
      </w:r>
      <w:r>
        <w:rPr>
          <w:iCs/>
          <w:i/>
          <w:vertAlign w:val="subscript"/>
        </w:rPr>
        <w:t xml:space="preserve">d</w:t>
      </w:r>
      <w:r>
        <w:t xml:space="preserve"> </w:t>
      </w:r>
      <w:r>
        <w:t xml:space="preserve">(</w:t>
      </w:r>
      <w:r>
        <w:rPr>
          <w:iCs/>
          <w:i/>
        </w:rPr>
        <w:t xml:space="preserve">C</w:t>
      </w:r>
      <w:r>
        <w:rPr>
          <w:iCs/>
          <w:i/>
          <w:vertAlign w:val="subscript"/>
        </w:rPr>
        <w:t xml:space="preserve">j</w:t>
      </w:r>
      <w:r>
        <w:rPr>
          <w:vertAlign w:val="subscript"/>
        </w:rPr>
        <w:t xml:space="preserve">,</w:t>
      </w:r>
      <w:r>
        <w:rPr>
          <w:iCs/>
          <w:i/>
          <w:vertAlign w:val="subscript"/>
        </w:rPr>
        <w:t xml:space="preserve">d</w:t>
      </w:r>
      <w:r>
        <w:rPr>
          <w:vertAlign w:val="subscript"/>
        </w:rPr>
        <w:t xml:space="preserve">+5</w:t>
      </w:r>
      <w:r>
        <w:t xml:space="preserve">/</w:t>
      </w:r>
      <w:r>
        <w:rPr>
          <w:iCs/>
          <w:i/>
        </w:rPr>
        <w:t xml:space="preserve">O</w:t>
      </w:r>
      <w:r>
        <w:rPr>
          <w:iCs/>
          <w:i/>
          <w:vertAlign w:val="subscript"/>
        </w:rPr>
        <w:t xml:space="preserve">j</w:t>
      </w:r>
      <w:r>
        <w:rPr>
          <w:vertAlign w:val="subscript"/>
        </w:rPr>
        <w:t xml:space="preserve">,</w:t>
      </w:r>
      <w:r>
        <w:rPr>
          <w:iCs/>
          <w:i/>
          <w:vertAlign w:val="subscript"/>
        </w:rPr>
        <w:t xml:space="preserve">d</w:t>
      </w:r>
      <w:r>
        <w:rPr>
          <w:vertAlign w:val="subscript"/>
        </w:rPr>
        <w:t xml:space="preserve">+1</w:t>
      </w:r>
      <w:r>
        <w:t xml:space="preserve"> </w:t>
      </w:r>
      <w:r>
        <w:t xml:space="preserve">− 1). The control benchmark is the equal-weighted mean same-interval return of control stocks (absolute day-</w:t>
      </w:r>
      <w:r>
        <w:rPr>
          <w:iCs/>
          <w:i/>
        </w:rPr>
        <w:t xml:space="preserve">d</w:t>
      </w:r>
      <w:r>
        <w:t xml:space="preserve"> </w:t>
      </w:r>
      <w:r>
        <w:t xml:space="preserve">return below 6.5%) in the event stock’s tercile of</w:t>
      </w:r>
      <w:r>
        <w:t xml:space="preserve"> </w:t>
      </w:r>
      <w:r>
        <w:rPr>
          <w:iCs/>
          <w:i/>
        </w:rPr>
        <w:t xml:space="preserve">V̄</w:t>
      </w:r>
      <w:r>
        <w:rPr>
          <w:iCs/>
          <w:i/>
          <w:vertAlign w:val="subscript"/>
        </w:rPr>
        <w:t xml:space="preserve">i</w:t>
      </w:r>
      <w:r>
        <w:rPr>
          <w:vertAlign w:val="subscript"/>
        </w:rPr>
        <w:t xml:space="preserve">,</w:t>
      </w:r>
      <w:r>
        <w:rPr>
          <w:iCs/>
          <w:i/>
          <w:vertAlign w:val="subscript"/>
        </w:rPr>
        <w:t xml:space="preserve">d</w:t>
      </w:r>
      <w:r>
        <w:t xml:space="preserve"> </w:t>
      </w:r>
      <w:r>
        <w:t xml:space="preserve">on that date; dates with fewer than 30 control stocks have no benchmark.</w:t>
      </w:r>
    </w:p>
    <w:p>
      <w:pPr>
        <w:pStyle w:val="BodyText"/>
      </w:pPr>
      <w:r>
        <w:rPr>
          <w:bCs/>
          <w:b/>
        </w:rPr>
        <w:t xml:space="preserve">Samples.</w:t>
      </w:r>
      <w:r>
        <w:t xml:space="preserve"> </w:t>
      </w:r>
      <w:r>
        <w:t xml:space="preserve">The event definition uses only returns and the close-at-high (close-at-low) condition, which proportional price adjustment by the vendor leaves unchanged except on ex-dates; the exact-hit split is a diagnostic only (see Limitations). Event counts differ across exhibits because each outcome needs different data. Table 1 requires returns on all five days after the event (3,187 ceiling and 2,105 floor events). Tables 2 to 4 require the open and close of day</w:t>
      </w:r>
      <w:r>
        <w:t xml:space="preserve"> </w:t>
      </w:r>
      <w:r>
        <w:rPr>
          <w:iCs/>
          <w:i/>
        </w:rPr>
        <w:t xml:space="preserve">d</w:t>
      </w:r>
      <w:r>
        <w:t xml:space="preserve">+1 (3,199 and 2,111 events), the open-to-day-</w:t>
      </w:r>
      <w:r>
        <w:rPr>
          <w:iCs/>
          <w:i/>
        </w:rPr>
        <w:t xml:space="preserve">d</w:t>
      </w:r>
      <w:r>
        <w:t xml:space="preserve">+5 return also requires the day-</w:t>
      </w:r>
      <w:r>
        <w:rPr>
          <w:iCs/>
          <w:i/>
        </w:rPr>
        <w:t xml:space="preserve">d</w:t>
      </w:r>
      <w:r>
        <w:t xml:space="preserve">+5 close, and the control benchmark requires at least 30 control stocks on the date (3,100 and 2,047 events). Figure 2 uses event days up to the second-to-last trading day (3,220 ceiling events). No event is dropped for any other reason.</w:t>
      </w:r>
    </w:p>
    <w:p>
      <w:pPr>
        <w:pStyle w:val="BodyText"/>
      </w:pPr>
      <w:r>
        <w:rPr>
          <w:bCs/>
          <w:b/>
        </w:rPr>
        <w:t xml:space="preserve">Inference.</w:t>
      </w:r>
      <w:r>
        <w:t xml:space="preserve"> </w:t>
      </w:r>
      <w:r>
        <w:t xml:space="preserve">For</w:t>
      </w:r>
      <w:r>
        <w:t xml:space="preserve"> </w:t>
      </w:r>
      <w:r>
        <w:rPr>
          <w:iCs/>
          <w:i/>
        </w:rPr>
        <w:t xml:space="preserve">N</w:t>
      </w:r>
      <w:r>
        <w:t xml:space="preserve"> </w:t>
      </w:r>
      <w:r>
        <w:t xml:space="preserve">events</w:t>
      </w:r>
      <w:r>
        <w:t xml:space="preserve"> </w:t>
      </w:r>
      <w:r>
        <w:rPr>
          <w:iCs/>
          <w:i/>
        </w:rPr>
        <w:t xml:space="preserve">e</w:t>
      </w:r>
      <w:r>
        <w:t xml:space="preserve">, each a stock-day pair, with outcome</w:t>
      </w:r>
      <w:r>
        <w:t xml:space="preserve"> </w:t>
      </w:r>
      <w:r>
        <w:rPr>
          <w:iCs/>
          <w:i/>
        </w:rPr>
        <w:t xml:space="preserve">y</w:t>
      </w:r>
      <w:r>
        <w:rPr>
          <w:iCs/>
          <w:i/>
          <w:vertAlign w:val="subscript"/>
        </w:rPr>
        <w:t xml:space="preserve">e</w:t>
      </w:r>
      <w:r>
        <w:t xml:space="preserve"> </w:t>
      </w:r>
      <w:r>
        <w:t xml:space="preserve">and mean</w:t>
      </w:r>
      <w:r>
        <w:t xml:space="preserve"> </w:t>
      </w:r>
      <w:r>
        <w:rPr>
          <w:iCs/>
          <w:i/>
        </w:rPr>
        <w:t xml:space="preserve">ȳ</w:t>
      </w:r>
      <w:r>
        <w:t xml:space="preserve"> </w:t>
      </w:r>
      <w:r>
        <w:t xml:space="preserve">=</w:t>
      </w:r>
      <w:r>
        <w:t xml:space="preserve"> </w:t>
      </w:r>
      <w:r>
        <w:rPr>
          <w:iCs/>
          <w:i/>
        </w:rPr>
        <w:t xml:space="preserve">N</w:t>
      </w:r>
      <w:r>
        <w:rPr>
          <w:vertAlign w:val="superscript"/>
        </w:rPr>
        <w:t xml:space="preserve">−1</w:t>
      </w:r>
      <w:r>
        <w:t xml:space="preserve">Σ</w:t>
      </w:r>
      <w:r>
        <w:rPr>
          <w:iCs/>
          <w:i/>
          <w:vertAlign w:val="subscript"/>
        </w:rPr>
        <w:t xml:space="preserve">e</w:t>
      </w:r>
      <w:r>
        <w:t xml:space="preserve"> </w:t>
      </w:r>
      <w:r>
        <w:rPr>
          <w:iCs/>
          <w:i/>
        </w:rPr>
        <w:t xml:space="preserve">y</w:t>
      </w:r>
      <w:r>
        <w:rPr>
          <w:iCs/>
          <w:i/>
          <w:vertAlign w:val="subscript"/>
        </w:rPr>
        <w:t xml:space="preserve">e</w:t>
      </w:r>
      <w:r>
        <w:t xml:space="preserve">, the cluster-robust variance is</w:t>
      </w:r>
    </w:p>
    <w:p>
      <w:pPr>
        <w:pStyle w:val="BodyText"/>
      </w:pPr>
      <m:oMathPara>
        <m:oMathParaPr>
          <m:jc m:val="center"/>
        </m:oMathParaPr>
        <m:oMath>
          <m:acc>
            <m:accPr>
              <m:chr m:val="̂"/>
            </m:accPr>
            <m:e>
              <m:r>
                <m:rPr>
                  <m:sty m:val="p"/>
                </m:rPr>
                <m:t>Var</m:t>
              </m:r>
            </m:e>
          </m:acc>
          <m:d>
            <m:dPr>
              <m:begChr m:val="("/>
              <m:endChr m:val=")"/>
              <m:sepChr m:val=""/>
              <m:grow/>
            </m:dPr>
            <m:e>
              <m:bar>
                <m:barPr>
                  <m:pos m:val="top"/>
                </m:barPr>
                <m:e>
                  <m:r>
                    <m:t>y</m:t>
                  </m:r>
                </m:e>
              </m:bar>
            </m:e>
          </m:d>
          <m:r>
            <m:rPr>
              <m:sty m:val="p"/>
            </m:rPr>
            <m:t>=</m:t>
          </m:r>
          <m:f>
            <m:fPr>
              <m:type m:val="bar"/>
            </m:fPr>
            <m:num>
              <m:r>
                <m:t>1</m:t>
              </m:r>
            </m:num>
            <m:den>
              <m:sSup>
                <m:e>
                  <m:r>
                    <m:t>N</m:t>
                  </m:r>
                </m:e>
                <m:sup>
                  <m:r>
                    <m:t>2</m:t>
                  </m:r>
                </m:sup>
              </m:sSup>
            </m:den>
          </m:f>
          <m:r>
            <m:rPr>
              <m:sty m:val="p"/>
            </m:rPr>
            <m:t>⋅</m:t>
          </m:r>
          <m:f>
            <m:fPr>
              <m:type m:val="bar"/>
            </m:fPr>
            <m:num>
              <m:r>
                <m:t>G</m:t>
              </m:r>
            </m:num>
            <m:den>
              <m:r>
                <m:t>G</m:t>
              </m:r>
              <m:r>
                <m:rPr>
                  <m:sty m:val="p"/>
                </m:rPr>
                <m:t>−</m:t>
              </m:r>
              <m:r>
                <m:t>1</m:t>
              </m:r>
            </m:den>
          </m:f>
          <m:nary>
            <m:naryPr>
              <m:chr m:val="∑"/>
              <m:limLoc m:val="undOvr"/>
              <m:subHide m:val="off"/>
              <m:supHide m:val="off"/>
            </m:naryPr>
            <m:sub>
              <m:r>
                <m:t>g</m:t>
              </m:r>
              <m:r>
                <m:rPr>
                  <m:sty m:val="p"/>
                </m:rPr>
                <m:t>=</m:t>
              </m:r>
              <m:r>
                <m:t>1</m:t>
              </m:r>
            </m:sub>
            <m:sup>
              <m:r>
                <m:t>G</m:t>
              </m:r>
            </m:sup>
            <m:e>
              <m:sSup>
                <m:e>
                  <m:d>
                    <m:dPr>
                      <m:begChr m:val="("/>
                      <m:endChr m:val=")"/>
                      <m:sepChr m:val=""/>
                      <m:grow/>
                    </m:dPr>
                    <m:e>
                      <m:nary>
                        <m:naryPr>
                          <m:chr m:val="∑"/>
                          <m:limLoc m:val="undOvr"/>
                          <m:subHide m:val="off"/>
                          <m:supHide m:val="on"/>
                        </m:naryPr>
                        <m:sub>
                          <m:r>
                            <m:t>e</m:t>
                          </m:r>
                          <m:r>
                            <m:rPr>
                              <m:sty m:val="p"/>
                            </m:rPr>
                            <m:t>∈</m:t>
                          </m:r>
                          <m:r>
                            <m:t>g</m:t>
                          </m:r>
                        </m:sub>
                        <m:sup>
                          <m:r>
                            <m:t>​</m:t>
                          </m:r>
                        </m:sup>
                        <m:e>
                          <m:d>
                            <m:dPr>
                              <m:begChr m:val="("/>
                              <m:endChr m:val=")"/>
                              <m:sepChr m:val=""/>
                              <m:grow/>
                            </m:dPr>
                            <m:e>
                              <m:sSub>
                                <m:e>
                                  <m:r>
                                    <m:t>y</m:t>
                                  </m:r>
                                </m:e>
                                <m:sub>
                                  <m:r>
                                    <m:t>e</m:t>
                                  </m:r>
                                </m:sub>
                              </m:sSub>
                              <m:r>
                                <m:rPr>
                                  <m:sty m:val="p"/>
                                </m:rPr>
                                <m:t>−</m:t>
                              </m:r>
                              <m:bar>
                                <m:barPr>
                                  <m:pos m:val="top"/>
                                </m:barPr>
                                <m:e>
                                  <m:r>
                                    <m:t>y</m:t>
                                  </m:r>
                                </m:e>
                              </m:bar>
                            </m:e>
                          </m:d>
                        </m:e>
                      </m:nary>
                    </m:e>
                  </m:d>
                </m:e>
                <m:sup>
                  <m:r>
                    <m:t>2</m:t>
                  </m:r>
                </m:sup>
              </m:sSup>
            </m:e>
          </m:nary>
          <m:r>
            <m:rPr>
              <m:sty m:val="p"/>
            </m:rPr>
            <m:t>,</m:t>
          </m:r>
          <m:r>
            <m:t>  </m:t>
          </m:r>
          <m:r>
            <m:rPr>
              <m:nor/>
              <m:sty m:val="p"/>
            </m:rPr>
            <m:t>(6)</m:t>
          </m:r>
        </m:oMath>
      </m:oMathPara>
    </w:p>
    <w:p>
      <w:pPr>
        <w:pStyle w:val="FirstParagraph"/>
      </w:pPr>
      <w:r>
        <w:t xml:space="preserve">where</w:t>
      </w:r>
      <w:r>
        <w:t xml:space="preserve"> </w:t>
      </w:r>
      <w:r>
        <w:rPr>
          <w:iCs/>
          <w:i/>
        </w:rPr>
        <w:t xml:space="preserve">g</w:t>
      </w:r>
      <w:r>
        <w:t xml:space="preserve"> </w:t>
      </w:r>
      <w:r>
        <w:t xml:space="preserve">= 1, …,</w:t>
      </w:r>
      <w:r>
        <w:t xml:space="preserve"> </w:t>
      </w:r>
      <w:r>
        <w:rPr>
          <w:iCs/>
          <w:i/>
        </w:rPr>
        <w:t xml:space="preserve">G</w:t>
      </w:r>
      <w:r>
        <w:t xml:space="preserve"> </w:t>
      </w:r>
      <w:r>
        <w:t xml:space="preserve">indexes clusters: event dates, ISO calendar weeks, or blocks of ten consecutive trading days. The family</w:t>
      </w:r>
      <w:r>
        <w:t xml:space="preserve"> </w:t>
      </w:r>
      <w:r>
        <w:rPr>
          <w:iCs/>
          <w:i/>
        </w:rPr>
        <w:t xml:space="preserve">p</w:t>
      </w:r>
      <w:r>
        <w:t xml:space="preserve">-values of the four event tests use Equation (6) with event-date clusters, omit</w:t>
      </w:r>
      <w:r>
        <w:t xml:space="preserve"> </w:t>
      </w:r>
      <w:r>
        <w:rPr>
          <w:iCs/>
          <w:i/>
        </w:rPr>
        <w:t xml:space="preserve">G</w:t>
      </w:r>
      <w:r>
        <w:t xml:space="preserve">/(</w:t>
      </w:r>
      <w:r>
        <w:rPr>
          <w:iCs/>
          <w:i/>
        </w:rPr>
        <w:t xml:space="preserve">G</w:t>
      </w:r>
      <w:r>
        <w:t xml:space="preserve"> </w:t>
      </w:r>
      <w:r>
        <w:t xml:space="preserve">− 1), and take a normal reference; Table 1</w:t>
      </w:r>
      <w:r>
        <w:t xml:space="preserve"> </w:t>
      </w:r>
      <w:r>
        <w:rPr>
          <w:iCs/>
          <w:i/>
        </w:rPr>
        <w:t xml:space="preserve">t</w:t>
      </w:r>
      <w:r>
        <w:t xml:space="preserve">-statistics include the factor and use a</w:t>
      </w:r>
      <w:r>
        <w:t xml:space="preserve"> </w:t>
      </w:r>
      <w:r>
        <w:rPr>
          <w:iCs/>
          <w:i/>
        </w:rPr>
        <w:t xml:space="preserve">t</w:t>
      </w:r>
      <w:r>
        <w:t xml:space="preserve"> </w:t>
      </w:r>
      <w:r>
        <w:t xml:space="preserve">reference with</w:t>
      </w:r>
      <w:r>
        <w:t xml:space="preserve"> </w:t>
      </w:r>
      <w:r>
        <w:rPr>
          <w:iCs/>
          <w:i/>
        </w:rPr>
        <w:t xml:space="preserve">G</w:t>
      </w:r>
      <w:r>
        <w:t xml:space="preserve"> </w:t>
      </w:r>
      <w:r>
        <w:t xml:space="preserve">− 1 degrees of freedom. Two-way clustering by date and stock follows Cameron et al. [44], without the factor and with the variance bounded below at 10</w:t>
      </w:r>
      <w:r>
        <w:rPr>
          <w:vertAlign w:val="superscript"/>
        </w:rPr>
        <w:t xml:space="preserve">−12</w:t>
      </w:r>
      <w:r>
        <w:t xml:space="preserve">. Table 3 reports β̂ from</w:t>
      </w:r>
      <w:r>
        <w:t xml:space="preserve"> </w:t>
      </w:r>
      <w:r>
        <w:rPr>
          <w:iCs/>
          <w:i/>
        </w:rPr>
        <w:t xml:space="preserve">y</w:t>
      </w:r>
      <w:r>
        <w:rPr>
          <w:iCs/>
          <w:i/>
          <w:vertAlign w:val="subscript"/>
        </w:rPr>
        <w:t xml:space="preserve">e</w:t>
      </w:r>
      <w:r>
        <w:t xml:space="preserve"> </w:t>
      </w:r>
      <w:r>
        <w:t xml:space="preserve">= α + β</w:t>
      </w:r>
      <w:r>
        <w:t xml:space="preserve"> </w:t>
      </w:r>
      <w:r>
        <w:rPr>
          <w:iCs/>
          <w:i/>
        </w:rPr>
        <w:t xml:space="preserve">D</w:t>
      </w:r>
      <w:r>
        <w:rPr>
          <w:iCs/>
          <w:i/>
          <w:vertAlign w:val="subscript"/>
        </w:rPr>
        <w:t xml:space="preserve">e</w:t>
      </w:r>
      <w:r>
        <w:t xml:space="preserve"> </w:t>
      </w:r>
      <w:r>
        <w:t xml:space="preserve">+</w:t>
      </w:r>
      <w:r>
        <w:t xml:space="preserve"> </w:t>
      </w:r>
      <w:r>
        <w:rPr>
          <w:iCs/>
          <w:i/>
        </w:rPr>
        <w:t xml:space="preserve">u</w:t>
      </w:r>
      <w:r>
        <w:rPr>
          <w:iCs/>
          <w:i/>
          <w:vertAlign w:val="subscript"/>
        </w:rPr>
        <w:t xml:space="preserve">e</w:t>
      </w:r>
      <w:r>
        <w:t xml:space="preserve">, where</w:t>
      </w:r>
      <w:r>
        <w:t xml:space="preserve"> </w:t>
      </w:r>
      <w:r>
        <w:rPr>
          <w:iCs/>
          <w:i/>
        </w:rPr>
        <w:t xml:space="preserve">D</w:t>
      </w:r>
      <w:r>
        <w:rPr>
          <w:iCs/>
          <w:i/>
          <w:vertAlign w:val="subscript"/>
        </w:rPr>
        <w:t xml:space="preserve">e</w:t>
      </w:r>
      <w:r>
        <w:t xml:space="preserve"> </w:t>
      </w:r>
      <w:r>
        <w:t xml:space="preserve">= 1 for limit closes and 0 for the comparison moves, α is the intercept, and</w:t>
      </w:r>
      <w:r>
        <w:t xml:space="preserve"> </w:t>
      </w:r>
      <w:r>
        <w:rPr>
          <w:iCs/>
          <w:i/>
        </w:rPr>
        <w:t xml:space="preserve">u</w:t>
      </w:r>
      <w:r>
        <w:rPr>
          <w:iCs/>
          <w:i/>
          <w:vertAlign w:val="subscript"/>
        </w:rPr>
        <w:t xml:space="preserve">e</w:t>
      </w:r>
      <w:r>
        <w:t xml:space="preserve"> </w:t>
      </w:r>
      <w:r>
        <w:t xml:space="preserve">is the error, with date-clustered HC1 standard errors (R package</w:t>
      </w:r>
      <w:r>
        <w:t xml:space="preserve"> </w:t>
      </w:r>
      <w:r>
        <w:rPr>
          <w:iCs/>
          <w:i/>
        </w:rPr>
        <w:t xml:space="preserve">sandwich</w:t>
      </w:r>
      <w:r>
        <w:t xml:space="preserve">). All tests are two-sided, and the significance level is 5% unless stated otherwise.</w:t>
      </w:r>
    </w:p>
    <w:p>
      <w:pPr>
        <w:pStyle w:val="BodyText"/>
      </w:pPr>
      <w:r>
        <w:rPr>
          <w:bCs/>
          <w:b/>
        </w:rPr>
        <w:t xml:space="preserve">Characteristics.</w:t>
      </w:r>
      <w:r>
        <w:t xml:space="preserve"> </w:t>
      </w:r>
      <w:r>
        <w:t xml:space="preserve">We form cross-sections on trading days 120 (so that every lookback is complete), 125, and so on to 510:</w:t>
      </w:r>
      <w:r>
        <w:t xml:space="preserve"> </w:t>
      </w:r>
      <w:r>
        <w:rPr>
          <w:iCs/>
          <w:i/>
        </w:rPr>
        <w:t xml:space="preserve">T</w:t>
      </w:r>
      <w:r>
        <w:t xml:space="preserve"> </w:t>
      </w:r>
      <w:r>
        <w:t xml:space="preserve">= 79 formation weeks τ (five-trading-day periods, not the calendar weeks used for clustering), each followed by a non-overlapping five-day holding period. Each week we rank-normalize each characteristic</w:t>
      </w:r>
      <w:r>
        <w:t xml:space="preserve"> </w:t>
      </w:r>
      <w:r>
        <w:rPr>
          <w:iCs/>
          <w:i/>
        </w:rPr>
        <w:t xml:space="preserve">x</w:t>
      </w:r>
      <w:r>
        <w:rPr>
          <w:iCs/>
          <w:i/>
          <w:vertAlign w:val="subscript"/>
        </w:rPr>
        <w:t xml:space="preserve">i</w:t>
      </w:r>
      <w:r>
        <w:rPr>
          <w:vertAlign w:val="subscript"/>
        </w:rPr>
        <w:t xml:space="preserve">,τ</w:t>
      </w:r>
      <w:r>
        <w:t xml:space="preserve"> </w:t>
      </w:r>
      <w:r>
        <w:t xml:space="preserve">across the</w:t>
      </w:r>
      <w:r>
        <w:t xml:space="preserve"> </w:t>
      </w:r>
      <w:r>
        <w:rPr>
          <w:iCs/>
          <w:i/>
        </w:rPr>
        <w:t xml:space="preserve">n</w:t>
      </w:r>
      <w:r>
        <w:rPr>
          <w:vertAlign w:val="subscript"/>
        </w:rPr>
        <w:t xml:space="preserve">τ</w:t>
      </w:r>
      <w:r>
        <w:t xml:space="preserve"> </w:t>
      </w:r>
      <w:r>
        <w:t xml:space="preserve">stocks with complete data (all 115 days of the longest lookback, trades on at least 50 of the last 60 days, and next-five-day returns) as</w:t>
      </w:r>
      <w:r>
        <w:t xml:space="preserve"> </w:t>
      </w:r>
      <w:r>
        <w:rPr>
          <w:iCs/>
          <w:i/>
        </w:rPr>
        <w:t xml:space="preserve">z</w:t>
      </w:r>
      <w:r>
        <w:rPr>
          <w:iCs/>
          <w:i/>
          <w:vertAlign w:val="subscript"/>
        </w:rPr>
        <w:t xml:space="preserve">i</w:t>
      </w:r>
      <w:r>
        <w:rPr>
          <w:vertAlign w:val="subscript"/>
        </w:rPr>
        <w:t xml:space="preserve">,τ</w:t>
      </w:r>
      <w:r>
        <w:t xml:space="preserve"> </w:t>
      </w:r>
      <w:r>
        <w:t xml:space="preserve">= Φ</w:t>
      </w:r>
      <w:r>
        <w:rPr>
          <w:vertAlign w:val="superscript"/>
        </w:rPr>
        <w:t xml:space="preserve">−1</w:t>
      </w:r>
      <w:r>
        <w:t xml:space="preserve">((rank(</w:t>
      </w:r>
      <w:r>
        <w:rPr>
          <w:iCs/>
          <w:i/>
        </w:rPr>
        <w:t xml:space="preserve">x</w:t>
      </w:r>
      <w:r>
        <w:rPr>
          <w:iCs/>
          <w:i/>
          <w:vertAlign w:val="subscript"/>
        </w:rPr>
        <w:t xml:space="preserve">i</w:t>
      </w:r>
      <w:r>
        <w:rPr>
          <w:vertAlign w:val="subscript"/>
        </w:rPr>
        <w:t xml:space="preserve">,τ</w:t>
      </w:r>
      <w:r>
        <w:t xml:space="preserve">) − 0.5)/</w:t>
      </w:r>
      <w:r>
        <w:rPr>
          <w:iCs/>
          <w:i/>
        </w:rPr>
        <w:t xml:space="preserve">n</w:t>
      </w:r>
      <w:r>
        <w:rPr>
          <w:vertAlign w:val="subscript"/>
        </w:rPr>
        <w:t xml:space="preserve">τ</w:t>
      </w:r>
      <w:r>
        <w:t xml:space="preserve">), with ties at average ranks and Φ</w:t>
      </w:r>
      <w:r>
        <w:rPr>
          <w:vertAlign w:val="superscript"/>
        </w:rPr>
        <w:t xml:space="preserve">−1</w:t>
      </w:r>
      <w:r>
        <w:t xml:space="preserve"> </w:t>
      </w:r>
      <w:r>
        <w:t xml:space="preserve">the inverse standard normal distribution function. The outcome</w:t>
      </w:r>
      <w:r>
        <w:t xml:space="preserve"> </w:t>
      </w:r>
      <w:r>
        <w:rPr>
          <w:iCs/>
          <w:i/>
        </w:rPr>
        <w:t xml:space="preserve">y</w:t>
      </w:r>
      <w:r>
        <w:rPr>
          <w:iCs/>
          <w:i/>
          <w:vertAlign w:val="subscript"/>
        </w:rPr>
        <w:t xml:space="preserve">i</w:t>
      </w:r>
      <w:r>
        <w:rPr>
          <w:vertAlign w:val="subscript"/>
        </w:rPr>
        <w:t xml:space="preserve">,τ</w:t>
      </w:r>
      <w:r>
        <w:t xml:space="preserve"> </w:t>
      </w:r>
      <w:r>
        <w:t xml:space="preserve">is the stock’s compounded return over the next five trading days minus the</w:t>
      </w:r>
      <w:r>
        <w:t xml:space="preserve"> </w:t>
      </w:r>
      <w:r>
        <w:rPr>
          <w:iCs/>
          <w:i/>
        </w:rPr>
        <w:t xml:space="preserve">V̄</w:t>
      </w:r>
      <w:r>
        <w:t xml:space="preserve">-weighted average five-day return of these stocks. The Fama and MacBeth [45] regressions are</w:t>
      </w:r>
    </w:p>
    <w:p>
      <w:pPr>
        <w:pStyle w:val="BodyText"/>
      </w:pPr>
      <m:oMathPara>
        <m:oMathParaPr>
          <m:jc m:val="center"/>
        </m:oMathParaPr>
        <m:oMath>
          <m:sSub>
            <m:e>
              <m:r>
                <m:t>y</m:t>
              </m:r>
            </m:e>
            <m:sub>
              <m:r>
                <m:t>i</m:t>
              </m:r>
              <m:r>
                <m:rPr>
                  <m:sty m:val="p"/>
                </m:rPr>
                <m:t>,</m:t>
              </m:r>
              <m:r>
                <m:t>τ</m:t>
              </m:r>
            </m:sub>
          </m:sSub>
          <m:r>
            <m:rPr>
              <m:sty m:val="p"/>
            </m:rPr>
            <m:t>=</m:t>
          </m:r>
          <m:sSub>
            <m:e>
              <m:r>
                <m:t>a</m:t>
              </m:r>
            </m:e>
            <m:sub>
              <m:r>
                <m:t>τ</m:t>
              </m:r>
            </m:sub>
          </m:sSub>
          <m:r>
            <m:rPr>
              <m:sty m:val="p"/>
            </m:rPr>
            <m:t>+</m:t>
          </m:r>
          <m:sSub>
            <m:e>
              <m:r>
                <m:t>γ</m:t>
              </m:r>
            </m:e>
            <m:sub>
              <m:r>
                <m:t>τ</m:t>
              </m:r>
            </m:sub>
          </m:sSub>
          <m:r>
            <m:t> </m:t>
          </m:r>
          <m:sSub>
            <m:e>
              <m:r>
                <m:t>z</m:t>
              </m:r>
            </m:e>
            <m:sub>
              <m:r>
                <m:t>i</m:t>
              </m:r>
              <m:r>
                <m:rPr>
                  <m:sty m:val="p"/>
                </m:rPr>
                <m:t>,</m:t>
              </m:r>
              <m:r>
                <m:t>τ</m:t>
              </m:r>
            </m:sub>
          </m:sSub>
          <m:r>
            <m:rPr>
              <m:sty m:val="p"/>
            </m:rPr>
            <m:t>+</m:t>
          </m:r>
          <m:sSub>
            <m:e>
              <m:r>
                <m:t>ε</m:t>
              </m:r>
            </m:e>
            <m:sub>
              <m:r>
                <m:t>i</m:t>
              </m:r>
              <m:r>
                <m:rPr>
                  <m:sty m:val="p"/>
                </m:rPr>
                <m:t>,</m:t>
              </m:r>
              <m:r>
                <m:t>τ</m:t>
              </m:r>
            </m:sub>
          </m:sSub>
          <m:r>
            <m:rPr>
              <m:sty m:val="p"/>
            </m:rPr>
            <m:t>,</m:t>
          </m:r>
          <m:r>
            <m:t>  </m:t>
          </m:r>
          <m:acc>
            <m:accPr>
              <m:chr m:val="̂"/>
            </m:accPr>
            <m:e>
              <m:r>
                <m:t>γ</m:t>
              </m:r>
            </m:e>
          </m:acc>
          <m:r>
            <m:rPr>
              <m:sty m:val="p"/>
            </m:rPr>
            <m:t>=</m:t>
          </m:r>
          <m:f>
            <m:fPr>
              <m:type m:val="bar"/>
            </m:fPr>
            <m:num>
              <m:r>
                <m:t>1</m:t>
              </m:r>
            </m:num>
            <m:den>
              <m:r>
                <m:t>T</m:t>
              </m:r>
            </m:den>
          </m:f>
          <m:nary>
            <m:naryPr>
              <m:chr m:val="∑"/>
              <m:limLoc m:val="undOvr"/>
              <m:subHide m:val="off"/>
              <m:supHide m:val="off"/>
            </m:naryPr>
            <m:sub>
              <m:r>
                <m:t>τ</m:t>
              </m:r>
              <m:r>
                <m:rPr>
                  <m:sty m:val="p"/>
                </m:rPr>
                <m:t>=</m:t>
              </m:r>
              <m:r>
                <m:t>1</m:t>
              </m:r>
            </m:sub>
            <m:sup>
              <m:r>
                <m:t>T</m:t>
              </m:r>
            </m:sup>
            <m:e>
              <m:sSub>
                <m:e>
                  <m:acc>
                    <m:accPr>
                      <m:chr m:val="̂"/>
                    </m:accPr>
                    <m:e>
                      <m:r>
                        <m:t>γ</m:t>
                      </m:r>
                    </m:e>
                  </m:acc>
                </m:e>
                <m:sub>
                  <m:r>
                    <m:t>τ</m:t>
                  </m:r>
                </m:sub>
              </m:sSub>
            </m:e>
          </m:nary>
          <m:r>
            <m:rPr>
              <m:sty m:val="p"/>
            </m:rPr>
            <m:t>,</m:t>
          </m:r>
          <m:r>
            <m:t>  </m:t>
          </m:r>
          <m:r>
            <m:rPr>
              <m:nor/>
              <m:sty m:val="p"/>
            </m:rPr>
            <m:t>(7)</m:t>
          </m:r>
        </m:oMath>
      </m:oMathPara>
    </w:p>
    <w:p>
      <w:pPr>
        <w:pStyle w:val="FirstParagraph"/>
      </w:pPr>
      <w:r>
        <w:t xml:space="preserve">with weekly intercept</w:t>
      </w:r>
      <w:r>
        <w:t xml:space="preserve"> </w:t>
      </w:r>
      <w:r>
        <w:rPr>
          <w:iCs/>
          <w:i/>
        </w:rPr>
        <w:t xml:space="preserve">a</w:t>
      </w:r>
      <w:r>
        <w:rPr>
          <w:vertAlign w:val="subscript"/>
        </w:rPr>
        <w:t xml:space="preserve">τ</w:t>
      </w:r>
      <w:r>
        <w:t xml:space="preserve">, slope γ</w:t>
      </w:r>
      <w:r>
        <w:rPr>
          <w:vertAlign w:val="subscript"/>
        </w:rPr>
        <w:t xml:space="preserve">τ</w:t>
      </w:r>
      <w:r>
        <w:t xml:space="preserve">, and residual ε</w:t>
      </w:r>
      <w:r>
        <w:rPr>
          <w:iCs/>
          <w:i/>
          <w:vertAlign w:val="subscript"/>
        </w:rPr>
        <w:t xml:space="preserve">i</w:t>
      </w:r>
      <w:r>
        <w:rPr>
          <w:vertAlign w:val="subscript"/>
        </w:rPr>
        <w:t xml:space="preserve">,τ</w:t>
      </w:r>
      <w:r>
        <w:t xml:space="preserve">. The</w:t>
      </w:r>
      <w:r>
        <w:t xml:space="preserve"> </w:t>
      </w:r>
      <w:r>
        <w:rPr>
          <w:iCs/>
          <w:i/>
        </w:rPr>
        <w:t xml:space="preserve">t</w:t>
      </w:r>
      <w:r>
        <w:t xml:space="preserve">-statistic of γ̂ uses Newey and West [46] standard errors (four lags, Bartlett weights, no prewhitening) and 78 degrees of freedom. S1 Appendix defines the 22 momentum, reversal, risk, liquidity, volume, and intraday characteristics. We also report long–short spreads between the extreme quintiles, before and after a cost of 25 basis points per unit of traded value. The minimum detectable effect at 80% power and a 5% two-sided level is MDE = (1.96 + 0.84) ŜE(γ̂) ≈ 2.8 ŜE(γ̂), with ŜE the Newey–West standard error.</w:t>
      </w:r>
    </w:p>
    <w:p>
      <w:pPr>
        <w:pStyle w:val="BodyText"/>
      </w:pPr>
      <w:r>
        <w:rPr>
          <w:bCs/>
          <w:b/>
        </w:rPr>
        <w:t xml:space="preserve">Multiplicity and survival.</w:t>
      </w:r>
      <w:r>
        <w:t xml:space="preserve"> </w:t>
      </w:r>
      <w:r>
        <w:t xml:space="preserve">The family has</w:t>
      </w:r>
      <w:r>
        <w:t xml:space="preserve"> </w:t>
      </w:r>
      <w:r>
        <w:rPr>
          <w:iCs/>
          <w:i/>
        </w:rPr>
        <w:t xml:space="preserve">m</w:t>
      </w:r>
      <w:r>
        <w:t xml:space="preserve"> </w:t>
      </w:r>
      <w:r>
        <w:t xml:space="preserve">= 26 tests: 22 characteristics and the ceiling and floor tests at the two horizons of Equation (4). With</w:t>
      </w:r>
      <w:r>
        <w:t xml:space="preserve"> </w:t>
      </w:r>
      <w:r>
        <w:rPr>
          <w:iCs/>
          <w:i/>
        </w:rPr>
        <w:t xml:space="preserve">p</w:t>
      </w:r>
      <w:r>
        <w:t xml:space="preserve">-values ordered as</w:t>
      </w:r>
      <w:r>
        <w:t xml:space="preserve"> </w:t>
      </w:r>
      <w:r>
        <w:rPr>
          <w:iCs/>
          <w:i/>
        </w:rPr>
        <w:t xml:space="preserve">p</w:t>
      </w:r>
      <w:r>
        <w:rPr>
          <w:vertAlign w:val="subscript"/>
        </w:rPr>
        <w:t xml:space="preserve">(1)</w:t>
      </w:r>
      <w:r>
        <w:t xml:space="preserve"> </w:t>
      </w:r>
      <w:r>
        <w:t xml:space="preserve">≤ … ≤</w:t>
      </w:r>
      <w:r>
        <w:t xml:space="preserve"> </w:t>
      </w:r>
      <w:r>
        <w:rPr>
          <w:iCs/>
          <w:i/>
        </w:rPr>
        <w:t xml:space="preserve">p</w:t>
      </w:r>
      <w:r>
        <w:rPr>
          <w:vertAlign w:val="subscript"/>
        </w:rPr>
        <w:t xml:space="preserve">(</w:t>
      </w:r>
      <w:r>
        <w:rPr>
          <w:iCs/>
          <w:i/>
          <w:vertAlign w:val="subscript"/>
        </w:rPr>
        <w:t xml:space="preserve">m</w:t>
      </w:r>
      <w:r>
        <w:rPr>
          <w:vertAlign w:val="subscript"/>
        </w:rPr>
        <w:t xml:space="preserve">)</w:t>
      </w:r>
      <w:r>
        <w:t xml:space="preserve">, the Benjamini–Hochberg (BH) adjusted</w:t>
      </w:r>
      <w:r>
        <w:t xml:space="preserve"> </w:t>
      </w:r>
      <w:r>
        <w:rPr>
          <w:iCs/>
          <w:i/>
        </w:rPr>
        <w:t xml:space="preserve">p</w:t>
      </w:r>
      <w:r>
        <w:t xml:space="preserve">-value at rank</w:t>
      </w:r>
      <w:r>
        <w:t xml:space="preserve"> </w:t>
      </w:r>
      <w:r>
        <w:rPr>
          <w:iCs/>
          <w:i/>
        </w:rPr>
        <w:t xml:space="preserve">r</w:t>
      </w:r>
      <w:r>
        <w:t xml:space="preserve"> </w:t>
      </w:r>
      <w:r>
        <w:t xml:space="preserve">is</w:t>
      </w:r>
    </w:p>
    <w:p>
      <w:pPr>
        <w:pStyle w:val="BodyText"/>
      </w:pPr>
      <m:oMathPara>
        <m:oMathParaPr>
          <m:jc m:val="center"/>
        </m:oMathParaPr>
        <m:oMath>
          <m:sSub>
            <m:e>
              <m:acc>
                <m:accPr>
                  <m:chr m:val="̃"/>
                </m:accPr>
                <m:e>
                  <m:r>
                    <m:t>p</m:t>
                  </m:r>
                </m:e>
              </m:acc>
            </m:e>
            <m:sub>
              <m:d>
                <m:dPr>
                  <m:begChr m:val="("/>
                  <m:endChr m:val=")"/>
                  <m:sepChr m:val=""/>
                  <m:grow/>
                </m:dPr>
                <m:e>
                  <m:r>
                    <m:t>r</m:t>
                  </m:r>
                </m:e>
              </m:d>
            </m:sub>
          </m:sSub>
          <m:r>
            <m:rPr>
              <m:sty m:val="p"/>
            </m:rPr>
            <m:t>=</m:t>
          </m:r>
          <m:limLow>
            <m:e>
              <m:r>
                <m:rPr>
                  <m:sty m:val="p"/>
                </m:rPr>
                <m:t>min</m:t>
              </m:r>
            </m:e>
            <m:lim>
              <m:r>
                <m:t>s</m:t>
              </m:r>
              <m:r>
                <m:rPr>
                  <m:sty m:val="p"/>
                </m:rPr>
                <m:t>≥</m:t>
              </m:r>
              <m:r>
                <m:t>r</m:t>
              </m:r>
            </m:lim>
          </m:limLow>
          <m:d>
            <m:dPr>
              <m:begChr m:val="{"/>
              <m:endChr m:val="}"/>
              <m:sepChr m:val=""/>
              <m:grow/>
            </m:dPr>
            <m:e>
              <m:r>
                <m:rPr>
                  <m:sty m:val="p"/>
                </m:rPr>
                <m:t>min</m:t>
              </m:r>
              <m:r>
                <m:t>​</m:t>
              </m:r>
              <m:d>
                <m:dPr>
                  <m:begChr m:val="("/>
                  <m:endChr m:val=")"/>
                  <m:sepChr m:val=""/>
                  <m:grow/>
                </m:dPr>
                <m:e>
                  <m:r>
                    <m:t>1</m:t>
                  </m:r>
                  <m:r>
                    <m:rPr>
                      <m:sty m:val="p"/>
                    </m:rPr>
                    <m:t>,</m:t>
                  </m:r>
                  <m:f>
                    <m:fPr>
                      <m:type m:val="bar"/>
                    </m:fPr>
                    <m:num>
                      <m:r>
                        <m:t>m</m:t>
                      </m:r>
                    </m:num>
                    <m:den>
                      <m:r>
                        <m:t>s</m:t>
                      </m:r>
                    </m:den>
                  </m:f>
                  <m:r>
                    <m:t> </m:t>
                  </m:r>
                  <m:sSub>
                    <m:e>
                      <m:r>
                        <m:t>p</m:t>
                      </m:r>
                    </m:e>
                    <m:sub>
                      <m:d>
                        <m:dPr>
                          <m:begChr m:val="("/>
                          <m:endChr m:val=")"/>
                          <m:sepChr m:val=""/>
                          <m:grow/>
                        </m:dPr>
                        <m:e>
                          <m:r>
                            <m:t>s</m:t>
                          </m:r>
                        </m:e>
                      </m:d>
                    </m:sub>
                  </m:sSub>
                </m:e>
              </m:d>
            </m:e>
          </m:d>
          <m:r>
            <m:rPr>
              <m:sty m:val="p"/>
            </m:rPr>
            <m:t>,</m:t>
          </m:r>
          <m:r>
            <m:t>  </m:t>
          </m:r>
          <m:r>
            <m:rPr>
              <m:nor/>
              <m:sty m:val="p"/>
            </m:rPr>
            <m:t>(8)</m:t>
          </m:r>
        </m:oMath>
      </m:oMathPara>
    </w:p>
    <w:p>
      <w:pPr>
        <w:pStyle w:val="FirstParagraph"/>
      </w:pPr>
      <w:r>
        <w:t xml:space="preserve">and we also report Holm [47] adjustments and the |</w:t>
      </w:r>
      <w:r>
        <w:rPr>
          <w:iCs/>
          <w:i/>
        </w:rPr>
        <w:t xml:space="preserve">t</w:t>
      </w:r>
      <w:r>
        <w:t xml:space="preserve">| = 3 hurdle of Harvey et al. [7]. A test survives if</w:t>
      </w:r>
      <w:r>
        <w:t xml:space="preserve"> </w:t>
      </w:r>
      <w:r>
        <w:rPr>
          <w:iCs/>
          <w:i/>
        </w:rPr>
        <w:t xml:space="preserve">p̃</w:t>
      </w:r>
      <w:r>
        <w:t xml:space="preserve"> </w:t>
      </w:r>
      <w:r>
        <w:t xml:space="preserve">&lt; 0.05, which controls the FDR at 5%; if its signs agree in the discovery half (the first 39 weeks, or events up to the median event date) and the confirmation half; and if its confirmation-half |</w:t>
      </w:r>
      <w:r>
        <w:rPr>
          <w:iCs/>
          <w:i/>
        </w:rPr>
        <w:t xml:space="preserve">t</w:t>
      </w:r>
      <w:r>
        <w:t xml:space="preserve">| exceeds 1.96. Lookbacks overlap the discovery half, so the confirmation half is not a strict hold-out, and the weekly regressions (from day 120) and event window (from day 61) cover different spans. We place the four event tests and the 22 characteristics in one family because the analysis plan treated all 26 as candidate predictors of short-horizon returns examined on the same data, so the limit result pays for every candidate signal in the plan; Results reports the event tests under alternative family definitions.</w:t>
      </w:r>
    </w:p>
    <w:p>
      <w:pPr>
        <w:pStyle w:val="BodyText"/>
      </w:pPr>
      <w:r>
        <w:rPr>
          <w:bCs/>
          <w:b/>
        </w:rPr>
        <w:t xml:space="preserve">Analysis plan.</w:t>
      </w:r>
      <w:r>
        <w:t xml:space="preserve"> </w:t>
      </w:r>
      <w:r>
        <w:t xml:space="preserve">We fixed the family, estimators, multiplicity control, and survival rule in a written analysis plan before computing results. A version-control time stamp dates the plan before the first analysis code, but no external registry holds it and we had examined related data in earlier work, so it gives no independent confirmation. We departed from it by reading its ambiguous second horizon as days</w:t>
      </w:r>
      <w:r>
        <w:t xml:space="preserve"> </w:t>
      </w:r>
      <w:r>
        <w:rPr>
          <w:iCs/>
          <w:i/>
        </w:rPr>
        <w:t xml:space="preserve">d</w:t>
      </w:r>
      <w:r>
        <w:t xml:space="preserve">+1 to</w:t>
      </w:r>
      <w:r>
        <w:t xml:space="preserve"> </w:t>
      </w:r>
      <w:r>
        <w:rPr>
          <w:iCs/>
          <w:i/>
        </w:rPr>
        <w:t xml:space="preserve">d</w:t>
      </w:r>
      <w:r>
        <w:t xml:space="preserve">+5 (not</w:t>
      </w:r>
      <w:r>
        <w:t xml:space="preserve"> </w:t>
      </w:r>
      <w:r>
        <w:rPr>
          <w:iCs/>
          <w:i/>
        </w:rPr>
        <w:t xml:space="preserve">d</w:t>
      </w:r>
      <w:r>
        <w:t xml:space="preserve">+2 to</w:t>
      </w:r>
      <w:r>
        <w:t xml:space="preserve"> </w:t>
      </w:r>
      <w:r>
        <w:rPr>
          <w:iCs/>
          <w:i/>
        </w:rPr>
        <w:t xml:space="preserve">d</w:t>
      </w:r>
      <w:r>
        <w:t xml:space="preserve">+5), splitting event halves at the median event date (not weeks 39 and 40), reporting quintile rather than decile spreads, and omitting its same-stock control and multivariate model. Analyses added after the first results are exploratory, and the tests of H</w:t>
      </w:r>
      <w:r>
        <w:rPr>
          <w:vertAlign w:val="subscript"/>
        </w:rPr>
        <w:t xml:space="preserve">2</w:t>
      </w:r>
      <w:r>
        <w:t xml:space="preserve"> </w:t>
      </w:r>
      <w:r>
        <w:t xml:space="preserve">to H</w:t>
      </w:r>
      <w:r>
        <w:rPr>
          <w:vertAlign w:val="subscript"/>
        </w:rPr>
        <w:t xml:space="preserve">4</w:t>
      </w:r>
      <w:r>
        <w:t xml:space="preserve"> </w:t>
      </w:r>
      <w:r>
        <w:t xml:space="preserve">rest on them: the decomposition, next-open returns, control group, sub-limit comparison, exact hits, two-way clustering, subsamples, terciles, platform split, and outlier exclusion. We also screened several candidate ideas on the same data before choosing this one, so effect sizes may be overstated.</w:t>
      </w:r>
    </w:p>
    <w:p>
      <w:pPr>
        <w:pStyle w:val="BodyText"/>
      </w:pPr>
      <w:r>
        <w:rPr>
          <w:bCs/>
          <w:b/>
        </w:rPr>
        <w:t xml:space="preserve">Software and code.</w:t>
      </w:r>
      <w:r>
        <w:t xml:space="preserve"> </w:t>
      </w:r>
      <w:r>
        <w:t xml:space="preserve">All computations use R version 4.3.3 with the packages sandwich 3.1.0 (cluster-robust covariance), lmtest 0.9.40, ggplot2 3.4.4 (figures), knitr 1.45, and rmarkdown 2.25. Prices were downloaded with the vnstock Python library 4.0.4. One script (</w:t>
      </w:r>
      <w:r>
        <w:rPr>
          <w:rStyle w:val="VerbatimChar"/>
        </w:rPr>
        <w:t xml:space="preserve">paper2/R/run_all.R</w:t>
      </w:r>
      <w:r>
        <w:t xml:space="preserve">) reproduces every number, table, and figure with fixed seeds; the code and the output tables are in the public repository</w:t>
      </w:r>
      <w:r>
        <w:t xml:space="preserve"> </w:t>
      </w:r>
      <w:hyperlink r:id="rId28">
        <w:r>
          <w:rPr>
            <w:rStyle w:val="Hyperlink"/>
          </w:rPr>
          <w:t xml:space="preserve">https://github.com/trungcandygit/black_litterman_2</w:t>
        </w:r>
      </w:hyperlink>
      <w:r>
        <w:t xml:space="preserve"> </w:t>
      </w:r>
      <w:r>
        <w:t xml:space="preserve">(folder</w:t>
      </w:r>
      <w:r>
        <w:t xml:space="preserve"> </w:t>
      </w:r>
      <w:r>
        <w:rPr>
          <w:rStyle w:val="VerbatimChar"/>
        </w:rPr>
        <w:t xml:space="preserve">paper2/</w:t>
      </w:r>
      <w:r>
        <w:t xml:space="preserve">), and the output tables are also provided as S1 File.</w:t>
      </w:r>
    </w:p>
    <w:bookmarkEnd w:id="29"/>
    <w:bookmarkEnd w:id="30"/>
    <w:bookmarkStart w:id="31" w:name="results"/>
    <w:p>
      <w:pPr>
        <w:pStyle w:val="Heading1"/>
      </w:pPr>
      <w:r>
        <w:t xml:space="preserve">Results</w:t>
      </w:r>
    </w:p>
    <w:p>
      <w:pPr>
        <w:pStyle w:val="FirstParagraph"/>
      </w:pPr>
      <w:r>
        <w:t xml:space="preserve">The event sample holds 3,187 ceiling events on 446 dates and 2,105 floor events on 319 dates. Limit closes cluster in market episodes, so our standard errors allow dependence across dates, weeks, 10-day blocks, and stocks.</w:t>
      </w:r>
    </w:p>
    <w:p>
      <w:pPr>
        <w:pStyle w:val="BodyText"/>
      </w:pPr>
      <w:r>
        <w:t xml:space="preserve">Fig 1 plots the</w:t>
      </w:r>
      <w:r>
        <w:t xml:space="preserve"> </w:t>
      </w:r>
      <w:r>
        <w:rPr>
          <w:iCs/>
          <w:i/>
        </w:rPr>
        <w:t xml:space="preserve">t</w:t>
      </w:r>
      <w:r>
        <w:t xml:space="preserve">-statistics of the 22 slopes γ̂ in Equation (7): none reaches |</w:t>
      </w:r>
      <w:r>
        <w:rPr>
          <w:iCs/>
          <w:i/>
        </w:rPr>
        <w:t xml:space="preserve">t</w:t>
      </w:r>
      <w:r>
        <w:t xml:space="preserve">| = 3 in any sample or 1.96 in the full sample, and none survives the BH control. The largest full-sample |</w:t>
      </w:r>
      <w:r>
        <w:rPr>
          <w:iCs/>
          <w:i/>
        </w:rPr>
        <w:t xml:space="preserve">t</w:t>
      </w:r>
      <w:r>
        <w:t xml:space="preserve">| is 1.45, for 3-month and idiosyncratic momentum (confirmation-half</w:t>
      </w:r>
      <w:r>
        <w:t xml:space="preserve"> </w:t>
      </w:r>
      <w:r>
        <w:rPr>
          <w:iCs/>
          <w:i/>
        </w:rPr>
        <w:t xml:space="preserve">t</w:t>
      </w:r>
      <w:r>
        <w:t xml:space="preserve"> </w:t>
      </w:r>
      <w:r>
        <w:t xml:space="preserve">of 1.17 and 1.14). After the 25-basis-point cost, 18 of the 22 long–short quintile spreads are negative. With 79 weekly cross-sections, the MDE at 80% power is 0.12 to 0.31 percentage points per week per standard deviation, so the null excludes only large effects. With eight Newey–West lags the largest |</w:t>
      </w:r>
      <w:r>
        <w:rPr>
          <w:iCs/>
          <w:i/>
        </w:rPr>
        <w:t xml:space="preserve">t</w:t>
      </w:r>
      <w:r>
        <w:t xml:space="preserve">| is 1.79, and dropping the least liquid 20% of stocks leaves it at 1.62.</w:t>
      </w:r>
    </w:p>
    <w:p>
      <w:pPr>
        <w:pStyle w:val="BodyText"/>
      </w:pPr>
      <w:r>
        <w:rPr>
          <w:bCs/>
          <w:b/>
        </w:rPr>
        <w:t xml:space="preserve">Fig 1.</w:t>
      </w:r>
      <w:r>
        <w:rPr>
          <w:bCs/>
          <w:b/>
        </w:rPr>
        <w:t xml:space="preserve"> </w:t>
      </w:r>
      <w:r>
        <w:rPr>
          <w:iCs/>
          <w:i/>
          <w:bCs/>
          <w:b/>
        </w:rPr>
        <w:t xml:space="preserve">t</w:t>
      </w:r>
      <w:r>
        <w:rPr>
          <w:bCs/>
          <w:b/>
        </w:rPr>
        <w:t xml:space="preserve">-statistics of the Fama and MacBeth regressions for the 22 characteristics.</w:t>
      </w:r>
      <w:r>
        <w:t xml:space="preserve"> </w:t>
      </w:r>
      <w:r>
        <w:t xml:space="preserve">Estimates for the full sample, the discovery half (first 39 weeks), and the confirmation half, ordered by absolute full-sample</w:t>
      </w:r>
      <w:r>
        <w:t xml:space="preserve"> </w:t>
      </w:r>
      <w:r>
        <w:rPr>
          <w:iCs/>
          <w:i/>
        </w:rPr>
        <w:t xml:space="preserve">t</w:t>
      </w:r>
      <w:r>
        <w:t xml:space="preserve">. S1 Appendix defines the labels. Dashed lines mark |</w:t>
      </w:r>
      <w:r>
        <w:rPr>
          <w:iCs/>
          <w:i/>
        </w:rPr>
        <w:t xml:space="preserve">t</w:t>
      </w:r>
      <w:r>
        <w:t xml:space="preserve">| = 1.96 and dotted lines |</w:t>
      </w:r>
      <w:r>
        <w:rPr>
          <w:iCs/>
          <w:i/>
        </w:rPr>
        <w:t xml:space="preserve">t</w:t>
      </w:r>
      <w:r>
        <w:t xml:space="preserve">| = 3.</w:t>
      </w:r>
    </w:p>
    <w:p>
      <w:pPr>
        <w:pStyle w:val="BodyText"/>
      </w:pPr>
      <w:r>
        <w:t xml:space="preserve">Without market capitalization or accounting data, we cannot test the size and earnings-to-price effects that Huang et al. [41] find in Vietnam, so our null does not contradict theirs. A short sample, which leaves a premium of a tenth of a percentage point per week below the MDE, and limits that censor the highs and lows of range-based characteristics can each produce the null, and we draw no conclusion about market efficiency from it.</w:t>
      </w:r>
    </w:p>
    <w:p>
      <w:pPr>
        <w:pStyle w:val="BodyText"/>
      </w:pPr>
      <w:r>
        <w:t xml:space="preserve">Table 1 reports the event tests. Ceiling closes earn a market-adjusted return of 1.66% on day</w:t>
      </w:r>
      <w:r>
        <w:t xml:space="preserve"> </w:t>
      </w:r>
      <w:r>
        <w:rPr>
          <w:iCs/>
          <w:i/>
        </w:rPr>
        <w:t xml:space="preserve">d</w:t>
      </w:r>
      <w:r>
        <w:t xml:space="preserve">+1 and 1.45% over days</w:t>
      </w:r>
      <w:r>
        <w:t xml:space="preserve"> </w:t>
      </w:r>
      <w:r>
        <w:rPr>
          <w:iCs/>
          <w:i/>
        </w:rPr>
        <w:t xml:space="preserve">d</w:t>
      </w:r>
      <w:r>
        <w:t xml:space="preserve">+1 to</w:t>
      </w:r>
      <w:r>
        <w:t xml:space="preserve"> </w:t>
      </w:r>
      <w:r>
        <w:rPr>
          <w:iCs/>
          <w:i/>
        </w:rPr>
        <w:t xml:space="preserve">d</w:t>
      </w:r>
      <w:r>
        <w:t xml:space="preserve">+5, and floor closes earn −0.71% and −1.76%. All four tests survive the BH control (Equation (8); adjusted</w:t>
      </w:r>
      <w:r>
        <w:t xml:space="preserve"> </w:t>
      </w:r>
      <w:r>
        <w:rPr>
          <w:iCs/>
          <w:i/>
        </w:rPr>
        <w:t xml:space="preserve">p</w:t>
      </w:r>
      <w:r>
        <w:t xml:space="preserve">-values of at most 0.0004), keep their signs in both halves, and exceed |</w:t>
      </w:r>
      <w:r>
        <w:rPr>
          <w:iCs/>
          <w:i/>
        </w:rPr>
        <w:t xml:space="preserve">t</w:t>
      </w:r>
      <w:r>
        <w:t xml:space="preserve">| = 1.96 in the confirmation half. Clustering by calendar week or 10-day block, with a</w:t>
      </w:r>
      <w:r>
        <w:t xml:space="preserve"> </w:t>
      </w:r>
      <w:r>
        <w:rPr>
          <w:iCs/>
          <w:i/>
        </w:rPr>
        <w:t xml:space="preserve">t</w:t>
      </w:r>
      <w:r>
        <w:t xml:space="preserve"> </w:t>
      </w:r>
      <w:r>
        <w:t xml:space="preserve">reference, leaves all four significant. The floor five-day test clears the confirmation criterion by the smallest margin (</w:t>
      </w:r>
      <w:r>
        <w:rPr>
          <w:iCs/>
          <w:i/>
        </w:rPr>
        <w:t xml:space="preserve">t</w:t>
      </w:r>
      <w:r>
        <w:t xml:space="preserve"> </w:t>
      </w:r>
      <w:r>
        <w:t xml:space="preserve">= −2.22 with week clusters), and all four tests survive the rule re-applied with week-clustered statistics.</w:t>
      </w:r>
    </w:p>
    <w:p>
      <w:pPr>
        <w:pStyle w:val="BodyText"/>
      </w:pPr>
      <w:r>
        <w:t xml:space="preserve">For ceilings, the five-day result comes from the first day: over days</w:t>
      </w:r>
      <w:r>
        <w:t xml:space="preserve"> </w:t>
      </w:r>
      <w:r>
        <w:rPr>
          <w:iCs/>
          <w:i/>
        </w:rPr>
        <w:t xml:space="preserve">d</w:t>
      </w:r>
      <w:r>
        <w:t xml:space="preserve">+2 to</w:t>
      </w:r>
      <w:r>
        <w:t xml:space="preserve"> </w:t>
      </w:r>
      <w:r>
        <w:rPr>
          <w:iCs/>
          <w:i/>
        </w:rPr>
        <w:t xml:space="preserve">d</w:t>
      </w:r>
      <w:r>
        <w:t xml:space="preserve">+5 the ceiling return is −0.24% (</w:t>
      </w:r>
      <w:r>
        <w:rPr>
          <w:iCs/>
          <w:i/>
        </w:rPr>
        <w:t xml:space="preserve">t</w:t>
      </w:r>
      <w:r>
        <w:t xml:space="preserve"> </w:t>
      </w:r>
      <w:r>
        <w:t xml:space="preserve">= −1.53). After floor closes, days</w:t>
      </w:r>
      <w:r>
        <w:t xml:space="preserve"> </w:t>
      </w:r>
      <w:r>
        <w:rPr>
          <w:iCs/>
          <w:i/>
        </w:rPr>
        <w:t xml:space="preserve">d</w:t>
      </w:r>
      <w:r>
        <w:t xml:space="preserve">+2 to</w:t>
      </w:r>
      <w:r>
        <w:t xml:space="preserve"> </w:t>
      </w:r>
      <w:r>
        <w:rPr>
          <w:iCs/>
          <w:i/>
        </w:rPr>
        <w:t xml:space="preserve">d</w:t>
      </w:r>
      <w:r>
        <w:t xml:space="preserve">+5 add −1.10% (</w:t>
      </w:r>
      <w:r>
        <w:rPr>
          <w:iCs/>
          <w:i/>
        </w:rPr>
        <w:t xml:space="preserve">t</w:t>
      </w:r>
      <w:r>
        <w:t xml:space="preserve"> </w:t>
      </w:r>
      <w:r>
        <w:t xml:space="preserve">= −2.91), but the confirmation-half week-clustered</w:t>
      </w:r>
      <w:r>
        <w:t xml:space="preserve"> </w:t>
      </w:r>
      <w:r>
        <w:rPr>
          <w:iCs/>
          <w:i/>
        </w:rPr>
        <w:t xml:space="preserve">t</w:t>
      </w:r>
      <w:r>
        <w:t xml:space="preserve"> </w:t>
      </w:r>
      <w:r>
        <w:t xml:space="preserve">is −1.14. With days</w:t>
      </w:r>
      <w:r>
        <w:t xml:space="preserve"> </w:t>
      </w:r>
      <w:r>
        <w:rPr>
          <w:iCs/>
          <w:i/>
        </w:rPr>
        <w:t xml:space="preserve">d</w:t>
      </w:r>
      <w:r>
        <w:t xml:space="preserve">+2 to</w:t>
      </w:r>
      <w:r>
        <w:t xml:space="preserve"> </w:t>
      </w:r>
      <w:r>
        <w:rPr>
          <w:iCs/>
          <w:i/>
        </w:rPr>
        <w:t xml:space="preserve">d</w:t>
      </w:r>
      <w:r>
        <w:t xml:space="preserve">+5 as the second horizon, the ceiling test would fail and the floor test would fail the confirmation criterion. Ceiling closes carry a one-day effect, and floor closes a one-day effect plus some later drift. These tests support H</w:t>
      </w:r>
      <w:r>
        <w:rPr>
          <w:vertAlign w:val="subscript"/>
        </w:rPr>
        <w:t xml:space="preserve">1</w:t>
      </w:r>
      <w:r>
        <w:t xml:space="preserve">: limit closes predict the next day’s abnormal return, whereas none of the 22 characteristics passes the same screen at its weekly horizon.</w:t>
      </w:r>
    </w:p>
    <w:p>
      <w:pPr>
        <w:pStyle w:val="BodyText"/>
      </w:pPr>
      <w:r>
        <w:rPr>
          <w:bCs/>
          <w:b/>
        </w:rPr>
        <w:t xml:space="preserve">Table 1. Market-adjusted returns (percent) after ceiling and floor closes.</w:t>
      </w:r>
    </w:p>
    <w:tbl>
      <w:tblPr>
        <w:tblStyle w:val="Table"/>
        <w:tblW w:type="pct" w:w="5000"/>
        <w:tblLook w:firstRow="1" w:lastRow="0" w:firstColumn="0" w:lastColumn="0" w:noHBand="0" w:noVBand="0" w:val="0020"/>
        <w:jc w:val="start"/>
      </w:tblPr>
      <w:tblGrid>
        <w:gridCol w:w="728"/>
        <w:gridCol w:w="1365"/>
        <w:gridCol w:w="819"/>
        <w:gridCol w:w="1001"/>
        <w:gridCol w:w="1001"/>
        <w:gridCol w:w="1183"/>
        <w:gridCol w:w="1183"/>
        <w:gridCol w:w="637"/>
      </w:tblGrid>
      <w:tr>
        <w:trPr>
          <w:tblHeader w:val="true"/>
        </w:trPr>
        <w:tc>
          <w:tcPr/>
          <w:p>
            <w:pPr>
              <w:pStyle w:val="Compact"/>
              <w:jc w:val="left"/>
            </w:pPr>
            <w:r>
              <w:t xml:space="preserve">Event</w:t>
            </w:r>
          </w:p>
        </w:tc>
        <w:tc>
          <w:tcPr/>
          <w:p>
            <w:pPr>
              <w:pStyle w:val="Compact"/>
              <w:jc w:val="left"/>
            </w:pPr>
            <w:r>
              <w:t xml:space="preserve">Horizon</w:t>
            </w:r>
          </w:p>
        </w:tc>
        <w:tc>
          <w:tcPr/>
          <w:p>
            <w:pPr>
              <w:pStyle w:val="Compact"/>
              <w:jc w:val="left"/>
            </w:pPr>
            <w:r>
              <w:t xml:space="preserve">Mean (%)</w:t>
            </w:r>
          </w:p>
        </w:tc>
        <w:tc>
          <w:tcPr/>
          <w:p>
            <w:pPr>
              <w:pStyle w:val="Compact"/>
              <w:jc w:val="left"/>
            </w:pPr>
            <w:r>
              <w:rPr>
                <w:iCs/>
                <w:i/>
              </w:rPr>
              <w:t xml:space="preserve">t</w:t>
            </w:r>
            <w:r>
              <w:t xml:space="preserve"> </w:t>
            </w:r>
            <w:r>
              <w:t xml:space="preserve">(date)</w:t>
            </w:r>
          </w:p>
        </w:tc>
        <w:tc>
          <w:tcPr/>
          <w:p>
            <w:pPr>
              <w:pStyle w:val="Compact"/>
              <w:jc w:val="left"/>
            </w:pPr>
            <w:r>
              <w:rPr>
                <w:iCs/>
                <w:i/>
              </w:rPr>
              <w:t xml:space="preserve">t</w:t>
            </w:r>
            <w:r>
              <w:t xml:space="preserve"> </w:t>
            </w:r>
            <w:r>
              <w:t xml:space="preserve">(week)</w:t>
            </w:r>
          </w:p>
        </w:tc>
        <w:tc>
          <w:tcPr/>
          <w:p>
            <w:pPr>
              <w:pStyle w:val="Compact"/>
              <w:jc w:val="left"/>
            </w:pPr>
            <w:r>
              <w:rPr>
                <w:iCs/>
                <w:i/>
              </w:rPr>
              <w:t xml:space="preserve">t</w:t>
            </w:r>
            <w:r>
              <w:t xml:space="preserve"> </w:t>
            </w:r>
            <w:r>
              <w:t xml:space="preserve">(10-day)</w:t>
            </w:r>
          </w:p>
        </w:tc>
        <w:tc>
          <w:tcPr/>
          <w:p>
            <w:pPr>
              <w:pStyle w:val="Compact"/>
              <w:jc w:val="left"/>
            </w:pPr>
            <w:r>
              <w:rPr>
                <w:iCs/>
                <w:i/>
              </w:rPr>
              <w:t xml:space="preserve">t</w:t>
            </w:r>
            <w:r>
              <w:t xml:space="preserve"> </w:t>
            </w:r>
            <w:r>
              <w:t xml:space="preserve">(halves)</w:t>
            </w:r>
          </w:p>
        </w:tc>
        <w:tc>
          <w:tcPr/>
          <w:p>
            <w:pPr>
              <w:pStyle w:val="Compact"/>
              <w:jc w:val="left"/>
            </w:pPr>
            <w:r>
              <w:t xml:space="preserve">Events</w:t>
            </w:r>
          </w:p>
        </w:tc>
      </w:tr>
      <w:tr>
        <w:tc>
          <w:tcPr/>
          <w:p>
            <w:pPr>
              <w:pStyle w:val="Compact"/>
              <w:jc w:val="left"/>
            </w:pPr>
            <w:r>
              <w:t xml:space="preserve">Ceiling</w:t>
            </w:r>
          </w:p>
        </w:tc>
        <w:tc>
          <w:tcPr/>
          <w:p>
            <w:pPr>
              <w:pStyle w:val="Compact"/>
              <w:jc w:val="left"/>
            </w:pPr>
            <w:r>
              <w:rPr>
                <w:iCs/>
                <w:i/>
              </w:rPr>
              <w:t xml:space="preserve">d</w:t>
            </w:r>
            <w:r>
              <w:t xml:space="preserve">+1</w:t>
            </w:r>
          </w:p>
        </w:tc>
        <w:tc>
          <w:tcPr/>
          <w:p>
            <w:pPr>
              <w:pStyle w:val="Compact"/>
              <w:jc w:val="left"/>
            </w:pPr>
            <w:r>
              <w:t xml:space="preserve">1.66</w:t>
            </w:r>
          </w:p>
        </w:tc>
        <w:tc>
          <w:tcPr/>
          <w:p>
            <w:pPr>
              <w:pStyle w:val="Compact"/>
              <w:jc w:val="left"/>
            </w:pPr>
            <w:r>
              <w:t xml:space="preserve">4.90</w:t>
            </w:r>
          </w:p>
        </w:tc>
        <w:tc>
          <w:tcPr/>
          <w:p>
            <w:pPr>
              <w:pStyle w:val="Compact"/>
              <w:jc w:val="left"/>
            </w:pPr>
            <w:r>
              <w:t xml:space="preserve">4.67</w:t>
            </w:r>
          </w:p>
        </w:tc>
        <w:tc>
          <w:tcPr/>
          <w:p>
            <w:pPr>
              <w:pStyle w:val="Compact"/>
              <w:jc w:val="left"/>
            </w:pPr>
            <w:r>
              <w:t xml:space="preserve">4.61</w:t>
            </w:r>
          </w:p>
        </w:tc>
        <w:tc>
          <w:tcPr/>
          <w:p>
            <w:pPr>
              <w:pStyle w:val="Compact"/>
              <w:jc w:val="left"/>
            </w:pPr>
            <w:r>
              <w:t xml:space="preserve">2.2 / 13.7</w:t>
            </w:r>
          </w:p>
        </w:tc>
        <w:tc>
          <w:tcPr/>
          <w:p>
            <w:pPr>
              <w:pStyle w:val="Compact"/>
              <w:jc w:val="left"/>
            </w:pPr>
            <w:r>
              <w:t xml:space="preserve">3,187</w:t>
            </w:r>
          </w:p>
        </w:tc>
      </w:tr>
      <w:tr>
        <w:tc>
          <w:tcPr/>
          <w:p>
            <w:pPr>
              <w:pStyle w:val="Compact"/>
              <w:jc w:val="left"/>
            </w:pPr>
            <w:r>
              <w:t xml:space="preserve">Ceiling</w:t>
            </w:r>
          </w:p>
        </w:tc>
        <w:tc>
          <w:tcPr/>
          <w:p>
            <w:pPr>
              <w:pStyle w:val="Compact"/>
              <w:jc w:val="left"/>
            </w:pPr>
            <w:r>
              <w:rPr>
                <w:iCs/>
                <w:i/>
              </w:rPr>
              <w:t xml:space="preserve">d</w:t>
            </w:r>
            <w:r>
              <w:t xml:space="preserve">+1 to</w:t>
            </w:r>
            <w:r>
              <w:t xml:space="preserve"> </w:t>
            </w:r>
            <w:r>
              <w:rPr>
                <w:iCs/>
                <w:i/>
              </w:rPr>
              <w:t xml:space="preserve">d</w:t>
            </w:r>
            <w:r>
              <w:t xml:space="preserve">+5</w:t>
            </w:r>
          </w:p>
        </w:tc>
        <w:tc>
          <w:tcPr/>
          <w:p>
            <w:pPr>
              <w:pStyle w:val="Compact"/>
              <w:jc w:val="left"/>
            </w:pPr>
            <w:r>
              <w:t xml:space="preserve">1.45</w:t>
            </w:r>
          </w:p>
        </w:tc>
        <w:tc>
          <w:tcPr/>
          <w:p>
            <w:pPr>
              <w:pStyle w:val="Compact"/>
              <w:jc w:val="left"/>
            </w:pPr>
            <w:r>
              <w:t xml:space="preserve">4.00</w:t>
            </w:r>
          </w:p>
        </w:tc>
        <w:tc>
          <w:tcPr/>
          <w:p>
            <w:pPr>
              <w:pStyle w:val="Compact"/>
              <w:jc w:val="left"/>
            </w:pPr>
            <w:r>
              <w:t xml:space="preserve">3.67</w:t>
            </w:r>
          </w:p>
        </w:tc>
        <w:tc>
          <w:tcPr/>
          <w:p>
            <w:pPr>
              <w:pStyle w:val="Compact"/>
              <w:jc w:val="left"/>
            </w:pPr>
            <w:r>
              <w:t xml:space="preserve">3.81</w:t>
            </w:r>
          </w:p>
        </w:tc>
        <w:tc>
          <w:tcPr/>
          <w:p>
            <w:pPr>
              <w:pStyle w:val="Compact"/>
              <w:jc w:val="left"/>
            </w:pPr>
            <w:r>
              <w:t xml:space="preserve">1.7 / 5.0</w:t>
            </w:r>
          </w:p>
        </w:tc>
        <w:tc>
          <w:tcPr/>
          <w:p>
            <w:pPr>
              <w:pStyle w:val="Compact"/>
              <w:jc w:val="left"/>
            </w:pPr>
            <w:r>
              <w:t xml:space="preserve">3,187</w:t>
            </w:r>
          </w:p>
        </w:tc>
      </w:tr>
      <w:tr>
        <w:tc>
          <w:tcPr/>
          <w:p>
            <w:pPr>
              <w:pStyle w:val="Compact"/>
              <w:jc w:val="left"/>
            </w:pPr>
            <w:r>
              <w:t xml:space="preserve">Ceiling</w:t>
            </w:r>
          </w:p>
        </w:tc>
        <w:tc>
          <w:tcPr/>
          <w:p>
            <w:pPr>
              <w:pStyle w:val="Compact"/>
              <w:jc w:val="left"/>
            </w:pPr>
            <w:r>
              <w:rPr>
                <w:iCs/>
                <w:i/>
              </w:rPr>
              <w:t xml:space="preserve">d</w:t>
            </w:r>
            <w:r>
              <w:t xml:space="preserve">+2 to</w:t>
            </w:r>
            <w:r>
              <w:t xml:space="preserve"> </w:t>
            </w:r>
            <w:r>
              <w:rPr>
                <w:iCs/>
                <w:i/>
              </w:rPr>
              <w:t xml:space="preserve">d</w:t>
            </w:r>
            <w:r>
              <w:t xml:space="preserve">+5</w:t>
            </w:r>
          </w:p>
        </w:tc>
        <w:tc>
          <w:tcPr/>
          <w:p>
            <w:pPr>
              <w:pStyle w:val="Compact"/>
              <w:jc w:val="left"/>
            </w:pPr>
            <w:r>
              <w:t xml:space="preserve">−0.24</w:t>
            </w:r>
          </w:p>
        </w:tc>
        <w:tc>
          <w:tcPr/>
          <w:p>
            <w:pPr>
              <w:pStyle w:val="Compact"/>
              <w:jc w:val="left"/>
            </w:pPr>
            <w:r>
              <w:t xml:space="preserve">−1.53</w:t>
            </w:r>
          </w:p>
        </w:tc>
        <w:tc>
          <w:tcPr/>
          <w:p>
            <w:pPr>
              <w:pStyle w:val="Compact"/>
              <w:jc w:val="left"/>
            </w:pPr>
            <w:r>
              <w:t xml:space="preserve">−1.11</w:t>
            </w:r>
          </w:p>
        </w:tc>
        <w:tc>
          <w:tcPr/>
          <w:p>
            <w:pPr>
              <w:pStyle w:val="Compact"/>
              <w:jc w:val="left"/>
            </w:pPr>
            <w:r>
              <w:t xml:space="preserve">−1.25</w:t>
            </w:r>
          </w:p>
        </w:tc>
        <w:tc>
          <w:tcPr/>
          <w:p>
            <w:pPr>
              <w:pStyle w:val="Compact"/>
              <w:jc w:val="left"/>
            </w:pPr>
            <w:r>
              <w:t xml:space="preserve">−1.1 / −0.4</w:t>
            </w:r>
          </w:p>
        </w:tc>
        <w:tc>
          <w:tcPr/>
          <w:p>
            <w:pPr>
              <w:pStyle w:val="Compact"/>
              <w:jc w:val="left"/>
            </w:pPr>
            <w:r>
              <w:t xml:space="preserve">3,187</w:t>
            </w:r>
          </w:p>
        </w:tc>
      </w:tr>
      <w:tr>
        <w:tc>
          <w:tcPr/>
          <w:p>
            <w:pPr>
              <w:pStyle w:val="Compact"/>
              <w:jc w:val="left"/>
            </w:pPr>
            <w:r>
              <w:t xml:space="preserve">Floor</w:t>
            </w:r>
          </w:p>
        </w:tc>
        <w:tc>
          <w:tcPr/>
          <w:p>
            <w:pPr>
              <w:pStyle w:val="Compact"/>
              <w:jc w:val="left"/>
            </w:pPr>
            <w:r>
              <w:rPr>
                <w:iCs/>
                <w:i/>
              </w:rPr>
              <w:t xml:space="preserve">d</w:t>
            </w:r>
            <w:r>
              <w:t xml:space="preserve">+1</w:t>
            </w:r>
          </w:p>
        </w:tc>
        <w:tc>
          <w:tcPr/>
          <w:p>
            <w:pPr>
              <w:pStyle w:val="Compact"/>
              <w:jc w:val="left"/>
            </w:pPr>
            <w:r>
              <w:t xml:space="preserve">−0.71</w:t>
            </w:r>
          </w:p>
        </w:tc>
        <w:tc>
          <w:tcPr/>
          <w:p>
            <w:pPr>
              <w:pStyle w:val="Compact"/>
              <w:jc w:val="left"/>
            </w:pPr>
            <w:r>
              <w:t xml:space="preserve">−5.32</w:t>
            </w:r>
          </w:p>
        </w:tc>
        <w:tc>
          <w:tcPr/>
          <w:p>
            <w:pPr>
              <w:pStyle w:val="Compact"/>
              <w:jc w:val="left"/>
            </w:pPr>
            <w:r>
              <w:t xml:space="preserve">−4.66</w:t>
            </w:r>
          </w:p>
        </w:tc>
        <w:tc>
          <w:tcPr/>
          <w:p>
            <w:pPr>
              <w:pStyle w:val="Compact"/>
              <w:jc w:val="left"/>
            </w:pPr>
            <w:r>
              <w:t xml:space="preserve">−6.25</w:t>
            </w:r>
          </w:p>
        </w:tc>
        <w:tc>
          <w:tcPr/>
          <w:p>
            <w:pPr>
              <w:pStyle w:val="Compact"/>
              <w:jc w:val="left"/>
            </w:pPr>
            <w:r>
              <w:t xml:space="preserve">−2.7 / −4.6</w:t>
            </w:r>
          </w:p>
        </w:tc>
        <w:tc>
          <w:tcPr/>
          <w:p>
            <w:pPr>
              <w:pStyle w:val="Compact"/>
              <w:jc w:val="left"/>
            </w:pPr>
            <w:r>
              <w:t xml:space="preserve">2,105</w:t>
            </w:r>
          </w:p>
        </w:tc>
      </w:tr>
      <w:tr>
        <w:tc>
          <w:tcPr/>
          <w:p>
            <w:pPr>
              <w:pStyle w:val="Compact"/>
              <w:jc w:val="left"/>
            </w:pPr>
            <w:r>
              <w:t xml:space="preserve">Floor</w:t>
            </w:r>
          </w:p>
        </w:tc>
        <w:tc>
          <w:tcPr/>
          <w:p>
            <w:pPr>
              <w:pStyle w:val="Compact"/>
              <w:jc w:val="left"/>
            </w:pPr>
            <w:r>
              <w:rPr>
                <w:iCs/>
                <w:i/>
              </w:rPr>
              <w:t xml:space="preserve">d</w:t>
            </w:r>
            <w:r>
              <w:t xml:space="preserve">+1 to</w:t>
            </w:r>
            <w:r>
              <w:t xml:space="preserve"> </w:t>
            </w:r>
            <w:r>
              <w:rPr>
                <w:iCs/>
                <w:i/>
              </w:rPr>
              <w:t xml:space="preserve">d</w:t>
            </w:r>
            <w:r>
              <w:t xml:space="preserve">+5</w:t>
            </w:r>
          </w:p>
        </w:tc>
        <w:tc>
          <w:tcPr/>
          <w:p>
            <w:pPr>
              <w:pStyle w:val="Compact"/>
              <w:jc w:val="left"/>
            </w:pPr>
            <w:r>
              <w:t xml:space="preserve">−1.76</w:t>
            </w:r>
          </w:p>
        </w:tc>
        <w:tc>
          <w:tcPr/>
          <w:p>
            <w:pPr>
              <w:pStyle w:val="Compact"/>
              <w:jc w:val="left"/>
            </w:pPr>
            <w:r>
              <w:t xml:space="preserve">−4.74</w:t>
            </w:r>
          </w:p>
        </w:tc>
        <w:tc>
          <w:tcPr/>
          <w:p>
            <w:pPr>
              <w:pStyle w:val="Compact"/>
              <w:jc w:val="left"/>
            </w:pPr>
            <w:r>
              <w:t xml:space="preserve">−4.80</w:t>
            </w:r>
          </w:p>
        </w:tc>
        <w:tc>
          <w:tcPr/>
          <w:p>
            <w:pPr>
              <w:pStyle w:val="Compact"/>
              <w:jc w:val="left"/>
            </w:pPr>
            <w:r>
              <w:t xml:space="preserve">−4.92</w:t>
            </w:r>
          </w:p>
        </w:tc>
        <w:tc>
          <w:tcPr/>
          <w:p>
            <w:pPr>
              <w:pStyle w:val="Compact"/>
              <w:jc w:val="left"/>
            </w:pPr>
            <w:r>
              <w:t xml:space="preserve">−12.3 / −2.2</w:t>
            </w:r>
          </w:p>
        </w:tc>
        <w:tc>
          <w:tcPr/>
          <w:p>
            <w:pPr>
              <w:pStyle w:val="Compact"/>
              <w:jc w:val="left"/>
            </w:pPr>
            <w:r>
              <w:t xml:space="preserve">2,105</w:t>
            </w:r>
          </w:p>
        </w:tc>
      </w:tr>
      <w:tr>
        <w:tc>
          <w:tcPr/>
          <w:p>
            <w:pPr>
              <w:pStyle w:val="Compact"/>
              <w:jc w:val="left"/>
            </w:pPr>
            <w:r>
              <w:t xml:space="preserve">Floor</w:t>
            </w:r>
          </w:p>
        </w:tc>
        <w:tc>
          <w:tcPr/>
          <w:p>
            <w:pPr>
              <w:pStyle w:val="Compact"/>
              <w:jc w:val="left"/>
            </w:pPr>
            <w:r>
              <w:rPr>
                <w:iCs/>
                <w:i/>
              </w:rPr>
              <w:t xml:space="preserve">d</w:t>
            </w:r>
            <w:r>
              <w:t xml:space="preserve">+2 to</w:t>
            </w:r>
            <w:r>
              <w:t xml:space="preserve"> </w:t>
            </w:r>
            <w:r>
              <w:rPr>
                <w:iCs/>
                <w:i/>
              </w:rPr>
              <w:t xml:space="preserve">d</w:t>
            </w:r>
            <w:r>
              <w:t xml:space="preserve">+5</w:t>
            </w:r>
          </w:p>
        </w:tc>
        <w:tc>
          <w:tcPr/>
          <w:p>
            <w:pPr>
              <w:pStyle w:val="Compact"/>
              <w:jc w:val="left"/>
            </w:pPr>
            <w:r>
              <w:t xml:space="preserve">−1.10</w:t>
            </w:r>
          </w:p>
        </w:tc>
        <w:tc>
          <w:tcPr/>
          <w:p>
            <w:pPr>
              <w:pStyle w:val="Compact"/>
              <w:jc w:val="left"/>
            </w:pPr>
            <w:r>
              <w:t xml:space="preserve">−2.91</w:t>
            </w:r>
          </w:p>
        </w:tc>
        <w:tc>
          <w:tcPr/>
          <w:p>
            <w:pPr>
              <w:pStyle w:val="Compact"/>
              <w:jc w:val="left"/>
            </w:pPr>
            <w:r>
              <w:t xml:space="preserve">−3.01</w:t>
            </w:r>
          </w:p>
        </w:tc>
        <w:tc>
          <w:tcPr/>
          <w:p>
            <w:pPr>
              <w:pStyle w:val="Compact"/>
              <w:jc w:val="left"/>
            </w:pPr>
            <w:r>
              <w:t xml:space="preserve">−2.81</w:t>
            </w:r>
          </w:p>
        </w:tc>
        <w:tc>
          <w:tcPr/>
          <w:p>
            <w:pPr>
              <w:pStyle w:val="Compact"/>
              <w:jc w:val="left"/>
            </w:pPr>
            <w:r>
              <w:t xml:space="preserve">−8.7 / −1.1</w:t>
            </w:r>
          </w:p>
        </w:tc>
        <w:tc>
          <w:tcPr/>
          <w:p>
            <w:pPr>
              <w:pStyle w:val="Compact"/>
              <w:jc w:val="left"/>
            </w:pPr>
            <w:r>
              <w:t xml:space="preserve">2,105</w:t>
            </w:r>
          </w:p>
        </w:tc>
      </w:tr>
    </w:tbl>
    <w:p>
      <w:pPr>
        <w:pStyle w:val="BodyText"/>
      </w:pPr>
      <w:r>
        <w:rPr>
          <w:iCs/>
          <w:i/>
        </w:rPr>
        <w:t xml:space="preserve">t</w:t>
      </w:r>
      <w:r>
        <w:t xml:space="preserve"> </w:t>
      </w:r>
      <w:r>
        <w:t xml:space="preserve">(date),</w:t>
      </w:r>
      <w:r>
        <w:t xml:space="preserve"> </w:t>
      </w:r>
      <w:r>
        <w:rPr>
          <w:iCs/>
          <w:i/>
        </w:rPr>
        <w:t xml:space="preserve">t</w:t>
      </w:r>
      <w:r>
        <w:t xml:space="preserve"> </w:t>
      </w:r>
      <w:r>
        <w:t xml:space="preserve">(week), and</w:t>
      </w:r>
      <w:r>
        <w:t xml:space="preserve"> </w:t>
      </w:r>
      <w:r>
        <w:rPr>
          <w:iCs/>
          <w:i/>
        </w:rPr>
        <w:t xml:space="preserve">t</w:t>
      </w:r>
      <w:r>
        <w:t xml:space="preserve"> </w:t>
      </w:r>
      <w:r>
        <w:t xml:space="preserve">(10-day) cluster by event date, calendar week, and 10-day block, with the factor</w:t>
      </w:r>
      <w:r>
        <w:t xml:space="preserve"> </w:t>
      </w:r>
      <w:r>
        <w:rPr>
          <w:iCs/>
          <w:i/>
        </w:rPr>
        <w:t xml:space="preserve">G</w:t>
      </w:r>
      <w:r>
        <w:t xml:space="preserve">/(</w:t>
      </w:r>
      <w:r>
        <w:rPr>
          <w:iCs/>
          <w:i/>
        </w:rPr>
        <w:t xml:space="preserve">G</w:t>
      </w:r>
      <w:r>
        <w:t xml:space="preserve"> </w:t>
      </w:r>
      <w:r>
        <w:t xml:space="preserve">− 1) for</w:t>
      </w:r>
      <w:r>
        <w:t xml:space="preserve"> </w:t>
      </w:r>
      <w:r>
        <w:rPr>
          <w:iCs/>
          <w:i/>
        </w:rPr>
        <w:t xml:space="preserve">G</w:t>
      </w:r>
      <w:r>
        <w:t xml:space="preserve"> </w:t>
      </w:r>
      <w:r>
        <w:t xml:space="preserve">clusters and a</w:t>
      </w:r>
      <w:r>
        <w:t xml:space="preserve"> </w:t>
      </w:r>
      <w:r>
        <w:rPr>
          <w:iCs/>
          <w:i/>
        </w:rPr>
        <w:t xml:space="preserve">t</w:t>
      </w:r>
      <w:r>
        <w:t xml:space="preserve"> </w:t>
      </w:r>
      <w:r>
        <w:t xml:space="preserve">reference with</w:t>
      </w:r>
      <w:r>
        <w:t xml:space="preserve"> </w:t>
      </w:r>
      <w:r>
        <w:rPr>
          <w:iCs/>
          <w:i/>
        </w:rPr>
        <w:t xml:space="preserve">G</w:t>
      </w:r>
      <w:r>
        <w:t xml:space="preserve"> </w:t>
      </w:r>
      <w:r>
        <w:t xml:space="preserve">− 1 degrees of freedom.</w:t>
      </w:r>
      <w:r>
        <w:t xml:space="preserve"> </w:t>
      </w:r>
      <w:r>
        <w:rPr>
          <w:iCs/>
          <w:i/>
        </w:rPr>
        <w:t xml:space="preserve">t</w:t>
      </w:r>
      <w:r>
        <w:t xml:space="preserve"> </w:t>
      </w:r>
      <w:r>
        <w:t xml:space="preserve">(halves) gives week-clustered statistics for the first and second half of event dates. Events require complete returns for days</w:t>
      </w:r>
      <w:r>
        <w:t xml:space="preserve"> </w:t>
      </w:r>
      <w:r>
        <w:rPr>
          <w:iCs/>
          <w:i/>
        </w:rPr>
        <w:t xml:space="preserve">d</w:t>
      </w:r>
      <w:r>
        <w:t xml:space="preserve">+1 to</w:t>
      </w:r>
      <w:r>
        <w:t xml:space="preserve"> </w:t>
      </w:r>
      <w:r>
        <w:rPr>
          <w:iCs/>
          <w:i/>
        </w:rPr>
        <w:t xml:space="preserve">d</w:t>
      </w:r>
      <w:r>
        <w:t xml:space="preserve">+5.</w:t>
      </w:r>
    </w:p>
    <w:p>
      <w:pPr>
        <w:pStyle w:val="BodyText"/>
      </w:pPr>
      <w:r>
        <w:t xml:space="preserve">Table 2 decomposes the next-day return as in Equation (5). After a ceiling close the overnight gap is 2.24% (two-way-clustered</w:t>
      </w:r>
      <w:r>
        <w:t xml:space="preserve"> </w:t>
      </w:r>
      <w:r>
        <w:rPr>
          <w:iCs/>
          <w:i/>
        </w:rPr>
        <w:t xml:space="preserve">t</w:t>
      </w:r>
      <w:r>
        <w:t xml:space="preserve"> </w:t>
      </w:r>
      <w:r>
        <w:t xml:space="preserve">= 9.7) and the intraday return is −0.54% (</w:t>
      </w:r>
      <w:r>
        <w:rPr>
          <w:iCs/>
          <w:i/>
        </w:rPr>
        <w:t xml:space="preserve">t</w:t>
      </w:r>
      <w:r>
        <w:t xml:space="preserve"> </w:t>
      </w:r>
      <w:r>
        <w:t xml:space="preserve">= −3.5): the session reverses about 24% of the gap, and the close-to-close effect is positive because the gap exceeds the giveback. The effect sits in the opening auction, as H</w:t>
      </w:r>
      <w:r>
        <w:rPr>
          <w:vertAlign w:val="subscript"/>
        </w:rPr>
        <w:t xml:space="preserve">2</w:t>
      </w:r>
      <w:r>
        <w:t xml:space="preserve"> </w:t>
      </w:r>
      <w:r>
        <w:t xml:space="preserve">predicts. A stock that closes at its ceiling may carry unfilled buy orders into the night; those orders and any overnight news would set the opening price, and the intraday reversal suggests that part of that price reflects transient demand.</w:t>
      </w:r>
    </w:p>
    <w:p>
      <w:pPr>
        <w:pStyle w:val="BodyText"/>
      </w:pPr>
      <w:r>
        <w:t xml:space="preserve">After a floor close the gap is −0.97% (</w:t>
      </w:r>
      <w:r>
        <w:rPr>
          <w:iCs/>
          <w:i/>
        </w:rPr>
        <w:t xml:space="preserve">t</w:t>
      </w:r>
      <w:r>
        <w:t xml:space="preserve"> </w:t>
      </w:r>
      <w:r>
        <w:t xml:space="preserve">= −4.6) and the intraday return is a weak reversal of 0.30%. The ceiling gap holds for exact limit hits (2.79%) and for the first day of a streak of exact hits (2.39%). Near hits show a smaller gap (1.67%) and no significant intraday return, but their median day-</w:t>
      </w:r>
      <w:r>
        <w:rPr>
          <w:iCs/>
          <w:i/>
        </w:rPr>
        <w:t xml:space="preserve">d</w:t>
      </w:r>
      <w:r>
        <w:t xml:space="preserve"> </w:t>
      </w:r>
      <w:r>
        <w:t xml:space="preserve">return is 6.89% against 6.90% for exact hits, and 83% of their closes are not multiples of the tick size. This points to later price adjustment by the vendor rather than to closes below the limit. The split is therefore weighted toward higher-priced stocks, where the tick is coarser, and we do not read the difference as a gradient toward the limit. The gap appears in both halves of the sample, on days locked at one price from open to close, and, for ceilings, in each tercile of 60-day average dollar volume (1.52% in the most liquid). Against same-date controls the ceiling gap is 2.70% and the floor close-to-close return −1.65%, so the floor effect depends on the benchmark. Floor events cluster on market-wide down days (740 of 2,111 remain without days on which the market fell more than 2%), and the floor gap is not significant in the least liquid tercile (</w:t>
      </w:r>
      <w:r>
        <w:rPr>
          <w:iCs/>
          <w:i/>
        </w:rPr>
        <w:t xml:space="preserve">t</w:t>
      </w:r>
      <w:r>
        <w:t xml:space="preserve"> </w:t>
      </w:r>
      <w:r>
        <w:t xml:space="preserve">= −1.0).</w:t>
      </w:r>
    </w:p>
    <w:p>
      <w:pPr>
        <w:pStyle w:val="BodyText"/>
      </w:pPr>
      <w:r>
        <w:t xml:space="preserve">An outside buyer cannot capture the close-to-close continuation: a buyer who wants a stock at its ceiling joins a queue at the close, so the first obtainable price is the next open, which already contains the gap. From that open the ceiling return through the fifth close is −0.75% against the market (</w:t>
      </w:r>
      <w:r>
        <w:rPr>
          <w:iCs/>
          <w:i/>
        </w:rPr>
        <w:t xml:space="preserve">t</w:t>
      </w:r>
      <w:r>
        <w:t xml:space="preserve"> </w:t>
      </w:r>
      <w:r>
        <w:t xml:space="preserve">= −2.7) and −0.53% against same-date controls (</w:t>
      </w:r>
      <w:r>
        <w:rPr>
          <w:iCs/>
          <w:i/>
        </w:rPr>
        <w:t xml:space="preserve">t</w:t>
      </w:r>
      <w:r>
        <w:t xml:space="preserve"> </w:t>
      </w:r>
      <w:r>
        <w:t xml:space="preserve">= −1.8), which supports H</w:t>
      </w:r>
      <w:r>
        <w:rPr>
          <w:vertAlign w:val="subscript"/>
        </w:rPr>
        <w:t xml:space="preserve">4</w:t>
      </w:r>
      <w:r>
        <w:t xml:space="preserve">; a holder who sells at the next open avoids the intraday giveback. These figures use quoted prices and ignore achievable fills: 522 ceiling events were locked at one price all day, and some of these stocks opened at the limit the next day, where a buyer may be rationed. After floor closes, prices fall a further 0.82% from the next open to the fifth close against the market (</w:t>
      </w:r>
      <w:r>
        <w:rPr>
          <w:iCs/>
          <w:i/>
        </w:rPr>
        <w:t xml:space="preserve">t</w:t>
      </w:r>
      <w:r>
        <w:t xml:space="preserve"> </w:t>
      </w:r>
      <w:r>
        <w:t xml:space="preserve">= −1.7), which is not significant at the 5% level.</w:t>
      </w:r>
    </w:p>
    <w:p>
      <w:pPr>
        <w:pStyle w:val="BodyText"/>
      </w:pPr>
      <w:r>
        <w:rPr>
          <w:bCs/>
          <w:b/>
        </w:rPr>
        <w:t xml:space="preserve">Table 2. Next-day abnormal returns (percent) by component and sample, with two-way-clustered</w:t>
      </w:r>
      <w:r>
        <w:rPr>
          <w:bCs/>
          <w:b/>
        </w:rPr>
        <w:t xml:space="preserve"> </w:t>
      </w:r>
      <w:r>
        <w:rPr>
          <w:iCs/>
          <w:i/>
          <w:bCs/>
          <w:b/>
        </w:rPr>
        <w:t xml:space="preserve">t</w:t>
      </w:r>
      <w:r>
        <w:rPr>
          <w:bCs/>
          <w:b/>
        </w:rPr>
        <w:t xml:space="preserve">-statistics in parentheses.</w:t>
      </w:r>
    </w:p>
    <w:tbl>
      <w:tblPr>
        <w:tblStyle w:val="Table"/>
        <w:tblW w:type="pct" w:w="5000"/>
        <w:tblLook w:firstRow="1" w:lastRow="0" w:firstColumn="0" w:lastColumn="0" w:noHBand="0" w:noVBand="0" w:val="0020"/>
        <w:jc w:val="start"/>
      </w:tblPr>
      <w:tblGrid>
        <w:gridCol w:w="2613"/>
        <w:gridCol w:w="554"/>
        <w:gridCol w:w="1108"/>
        <w:gridCol w:w="1029"/>
        <w:gridCol w:w="1188"/>
        <w:gridCol w:w="1425"/>
      </w:tblGrid>
      <w:tr>
        <w:trPr>
          <w:tblHeader w:val="true"/>
        </w:trPr>
        <w:tc>
          <w:tcPr/>
          <w:p>
            <w:pPr>
              <w:pStyle w:val="Compact"/>
              <w:jc w:val="left"/>
            </w:pPr>
            <w:r>
              <w:t xml:space="preserve">Sample</w:t>
            </w:r>
          </w:p>
        </w:tc>
        <w:tc>
          <w:tcPr/>
          <w:p>
            <w:pPr>
              <w:pStyle w:val="Compact"/>
              <w:jc w:val="left"/>
            </w:pPr>
            <w:r>
              <w:t xml:space="preserve">Events</w:t>
            </w:r>
          </w:p>
        </w:tc>
        <w:tc>
          <w:tcPr/>
          <w:p>
            <w:pPr>
              <w:pStyle w:val="Compact"/>
              <w:jc w:val="left"/>
            </w:pPr>
            <w:r>
              <w:t xml:space="preserve">Overnight gap</w:t>
            </w:r>
          </w:p>
        </w:tc>
        <w:tc>
          <w:tcPr/>
          <w:p>
            <w:pPr>
              <w:pStyle w:val="Compact"/>
              <w:jc w:val="left"/>
            </w:pPr>
            <w:r>
              <w:t xml:space="preserve">Intraday</w:t>
            </w:r>
          </w:p>
        </w:tc>
        <w:tc>
          <w:tcPr/>
          <w:p>
            <w:pPr>
              <w:pStyle w:val="Compact"/>
              <w:jc w:val="left"/>
            </w:pPr>
            <w:r>
              <w:t xml:space="preserve">Close-to-close</w:t>
            </w:r>
          </w:p>
        </w:tc>
        <w:tc>
          <w:tcPr/>
          <w:p>
            <w:pPr>
              <w:pStyle w:val="Compact"/>
              <w:jc w:val="left"/>
            </w:pPr>
            <w:r>
              <w:t xml:space="preserve">Open to day</w:t>
            </w:r>
            <w:r>
              <w:t xml:space="preserve"> </w:t>
            </w:r>
            <w:r>
              <w:rPr>
                <w:iCs/>
                <w:i/>
              </w:rPr>
              <w:t xml:space="preserve">d</w:t>
            </w:r>
            <w:r>
              <w:t xml:space="preserve">+5</w:t>
            </w:r>
          </w:p>
        </w:tc>
      </w:tr>
      <w:tr>
        <w:tc>
          <w:tcPr/>
          <w:p>
            <w:pPr>
              <w:pStyle w:val="Compact"/>
              <w:jc w:val="left"/>
            </w:pPr>
            <w:r>
              <w:t xml:space="preserve">Ceiling closes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All, vs market</w:t>
            </w:r>
          </w:p>
        </w:tc>
        <w:tc>
          <w:tcPr/>
          <w:p>
            <w:pPr>
              <w:pStyle w:val="Compact"/>
              <w:jc w:val="left"/>
            </w:pPr>
            <w:r>
              <w:t xml:space="preserve">3,199</w:t>
            </w:r>
          </w:p>
        </w:tc>
        <w:tc>
          <w:tcPr/>
          <w:p>
            <w:pPr>
              <w:pStyle w:val="Compact"/>
              <w:jc w:val="left"/>
            </w:pPr>
            <w:r>
              <w:t xml:space="preserve">2.24 (9.7)</w:t>
            </w:r>
          </w:p>
        </w:tc>
        <w:tc>
          <w:tcPr/>
          <w:p>
            <w:pPr>
              <w:pStyle w:val="Compact"/>
              <w:jc w:val="left"/>
            </w:pPr>
            <w:r>
              <w:t xml:space="preserve">−0.54 (−3.5)</w:t>
            </w:r>
          </w:p>
        </w:tc>
        <w:tc>
          <w:tcPr/>
          <w:p>
            <w:pPr>
              <w:pStyle w:val="Compact"/>
              <w:jc w:val="left"/>
            </w:pPr>
            <w:r>
              <w:t xml:space="preserve">1.66 (4.8)</w:t>
            </w:r>
          </w:p>
        </w:tc>
        <w:tc>
          <w:tcPr/>
          <w:p>
            <w:pPr>
              <w:pStyle w:val="Compact"/>
              <w:jc w:val="left"/>
            </w:pPr>
            <w:r>
              <w:t xml:space="preserve">−0.75 (−2.7)</w:t>
            </w:r>
          </w:p>
        </w:tc>
      </w:tr>
      <w:tr>
        <w:tc>
          <w:tcPr/>
          <w:p>
            <w:pPr>
              <w:pStyle w:val="Compact"/>
              <w:jc w:val="left"/>
            </w:pPr>
            <w:r>
              <w:t xml:space="preserve">All, vs same-date controls</w:t>
            </w:r>
          </w:p>
        </w:tc>
        <w:tc>
          <w:tcPr/>
          <w:p>
            <w:pPr>
              <w:pStyle w:val="Compact"/>
              <w:jc w:val="left"/>
            </w:pPr>
            <w:r>
              <w:t xml:space="preserve">3,100</w:t>
            </w:r>
          </w:p>
        </w:tc>
        <w:tc>
          <w:tcPr/>
          <w:p>
            <w:pPr>
              <w:pStyle w:val="Compact"/>
              <w:jc w:val="left"/>
            </w:pPr>
            <w:r>
              <w:t xml:space="preserve">2.70 (20.2)</w:t>
            </w:r>
          </w:p>
        </w:tc>
        <w:tc>
          <w:tcPr/>
          <w:p>
            <w:pPr>
              <w:pStyle w:val="Compact"/>
              <w:jc w:val="left"/>
            </w:pPr>
            <w:r>
              <w:t xml:space="preserve">−0.50 (−6.0)</w:t>
            </w:r>
          </w:p>
        </w:tc>
        <w:tc>
          <w:tcPr/>
          <w:p>
            <w:pPr>
              <w:pStyle w:val="Compact"/>
              <w:jc w:val="left"/>
            </w:pPr>
            <w:r>
              <w:t xml:space="preserve">2.16 (18.0)</w:t>
            </w:r>
          </w:p>
        </w:tc>
        <w:tc>
          <w:tcPr/>
          <w:p>
            <w:pPr>
              <w:pStyle w:val="Compact"/>
              <w:jc w:val="left"/>
            </w:pPr>
            <w:r>
              <w:t xml:space="preserve">−0.53 (−1.8)</w:t>
            </w:r>
          </w:p>
        </w:tc>
      </w:tr>
      <w:tr>
        <w:tc>
          <w:tcPr/>
          <w:p>
            <w:pPr>
              <w:pStyle w:val="Compact"/>
              <w:jc w:val="left"/>
            </w:pPr>
            <w:r>
              <w:t xml:space="preserve">Exact limit hit</w:t>
            </w:r>
          </w:p>
        </w:tc>
        <w:tc>
          <w:tcPr/>
          <w:p>
            <w:pPr>
              <w:pStyle w:val="Compact"/>
              <w:jc w:val="left"/>
            </w:pPr>
            <w:r>
              <w:t xml:space="preserve">1,642</w:t>
            </w:r>
          </w:p>
        </w:tc>
        <w:tc>
          <w:tcPr/>
          <w:p>
            <w:pPr>
              <w:pStyle w:val="Compact"/>
              <w:jc w:val="left"/>
            </w:pPr>
            <w:r>
              <w:t xml:space="preserve">2.79 (13.8)</w:t>
            </w:r>
          </w:p>
        </w:tc>
        <w:tc>
          <w:tcPr/>
          <w:p>
            <w:pPr>
              <w:pStyle w:val="Compact"/>
              <w:jc w:val="left"/>
            </w:pPr>
            <w:r>
              <w:t xml:space="preserve">−0.74 (−5.3)</w:t>
            </w:r>
          </w:p>
        </w:tc>
        <w:tc>
          <w:tcPr/>
          <w:p>
            <w:pPr>
              <w:pStyle w:val="Compact"/>
              <w:jc w:val="left"/>
            </w:pPr>
            <w:r>
              <w:t xml:space="preserve">2.00 (7.1)</w:t>
            </w:r>
          </w:p>
        </w:tc>
        <w:tc>
          <w:tcPr/>
          <w:p>
            <w:pPr>
              <w:pStyle w:val="Compact"/>
              <w:jc w:val="left"/>
            </w:pPr>
            <w:r>
              <w:t xml:space="preserve">−1.02 (−3.0)</w:t>
            </w:r>
          </w:p>
        </w:tc>
      </w:tr>
      <w:tr>
        <w:tc>
          <w:tcPr/>
          <w:p>
            <w:pPr>
              <w:pStyle w:val="Compact"/>
              <w:jc w:val="left"/>
            </w:pPr>
            <w:r>
              <w:t xml:space="preserve">Near hit</w:t>
            </w:r>
          </w:p>
        </w:tc>
        <w:tc>
          <w:tcPr/>
          <w:p>
            <w:pPr>
              <w:pStyle w:val="Compact"/>
              <w:jc w:val="left"/>
            </w:pPr>
            <w:r>
              <w:t xml:space="preserve">1,557</w:t>
            </w:r>
          </w:p>
        </w:tc>
        <w:tc>
          <w:tcPr/>
          <w:p>
            <w:pPr>
              <w:pStyle w:val="Compact"/>
              <w:jc w:val="left"/>
            </w:pPr>
            <w:r>
              <w:t xml:space="preserve">1.67 (6.4)</w:t>
            </w:r>
          </w:p>
        </w:tc>
        <w:tc>
          <w:tcPr/>
          <w:p>
            <w:pPr>
              <w:pStyle w:val="Compact"/>
              <w:jc w:val="left"/>
            </w:pPr>
            <w:r>
              <w:t xml:space="preserve">−0.32 (−1.6)</w:t>
            </w:r>
          </w:p>
        </w:tc>
        <w:tc>
          <w:tcPr/>
          <w:p>
            <w:pPr>
              <w:pStyle w:val="Compact"/>
              <w:jc w:val="left"/>
            </w:pPr>
            <w:r>
              <w:t xml:space="preserve">1.31 (3.1)</w:t>
            </w:r>
          </w:p>
        </w:tc>
        <w:tc>
          <w:tcPr/>
          <w:p>
            <w:pPr>
              <w:pStyle w:val="Compact"/>
              <w:jc w:val="left"/>
            </w:pPr>
            <w:r>
              <w:t xml:space="preserve">−0.46 (−1.3)</w:t>
            </w:r>
          </w:p>
        </w:tc>
      </w:tr>
      <w:tr>
        <w:tc>
          <w:tcPr/>
          <w:p>
            <w:pPr>
              <w:pStyle w:val="Compact"/>
              <w:jc w:val="left"/>
            </w:pPr>
            <w:r>
              <w:t xml:space="preserve">Locked all day</w:t>
            </w:r>
          </w:p>
        </w:tc>
        <w:tc>
          <w:tcPr/>
          <w:p>
            <w:pPr>
              <w:pStyle w:val="Compact"/>
              <w:jc w:val="left"/>
            </w:pPr>
            <w:r>
              <w:t xml:space="preserve">522</w:t>
            </w:r>
          </w:p>
        </w:tc>
        <w:tc>
          <w:tcPr/>
          <w:p>
            <w:pPr>
              <w:pStyle w:val="Compact"/>
              <w:jc w:val="left"/>
            </w:pPr>
            <w:r>
              <w:t xml:space="preserve">2.91 (3.0)</w:t>
            </w:r>
          </w:p>
        </w:tc>
        <w:tc>
          <w:tcPr/>
          <w:p>
            <w:pPr>
              <w:pStyle w:val="Compact"/>
              <w:jc w:val="left"/>
            </w:pPr>
            <w:r>
              <w:t xml:space="preserve">−1.30 (−5.9)</w:t>
            </w:r>
          </w:p>
        </w:tc>
        <w:tc>
          <w:tcPr/>
          <w:p>
            <w:pPr>
              <w:pStyle w:val="Compact"/>
              <w:jc w:val="left"/>
            </w:pPr>
            <w:r>
              <w:t xml:space="preserve">1.54 (1.4)</w:t>
            </w:r>
          </w:p>
        </w:tc>
        <w:tc>
          <w:tcPr/>
          <w:p>
            <w:pPr>
              <w:pStyle w:val="Compact"/>
              <w:jc w:val="left"/>
            </w:pPr>
            <w:r>
              <w:t xml:space="preserve">−0.76 (−1.5)</w:t>
            </w:r>
          </w:p>
        </w:tc>
      </w:tr>
      <w:tr>
        <w:tc>
          <w:tcPr/>
          <w:p>
            <w:pPr>
              <w:pStyle w:val="Compact"/>
              <w:jc w:val="left"/>
            </w:pPr>
            <w:r>
              <w:t xml:space="preserve">First half of sample</w:t>
            </w:r>
          </w:p>
        </w:tc>
        <w:tc>
          <w:tcPr/>
          <w:p>
            <w:pPr>
              <w:pStyle w:val="Compact"/>
              <w:jc w:val="left"/>
            </w:pPr>
            <w:r>
              <w:t xml:space="preserve">1,615</w:t>
            </w:r>
          </w:p>
        </w:tc>
        <w:tc>
          <w:tcPr/>
          <w:p>
            <w:pPr>
              <w:pStyle w:val="Compact"/>
              <w:jc w:val="left"/>
            </w:pPr>
            <w:r>
              <w:t xml:space="preserve">2.24 (5.4)</w:t>
            </w:r>
          </w:p>
        </w:tc>
        <w:tc>
          <w:tcPr/>
          <w:p>
            <w:pPr>
              <w:pStyle w:val="Compact"/>
              <w:jc w:val="left"/>
            </w:pPr>
            <w:r>
              <w:t xml:space="preserve">−0.77 (−3.3)</w:t>
            </w:r>
          </w:p>
        </w:tc>
        <w:tc>
          <w:tcPr/>
          <w:p>
            <w:pPr>
              <w:pStyle w:val="Compact"/>
              <w:jc w:val="left"/>
            </w:pPr>
            <w:r>
              <w:t xml:space="preserve">1.42 (2.3)</w:t>
            </w:r>
          </w:p>
        </w:tc>
        <w:tc>
          <w:tcPr/>
          <w:p>
            <w:pPr>
              <w:pStyle w:val="Compact"/>
              <w:jc w:val="left"/>
            </w:pPr>
            <w:r>
              <w:t xml:space="preserve">−1.13 (−2.9)</w:t>
            </w:r>
          </w:p>
        </w:tc>
      </w:tr>
      <w:tr>
        <w:tc>
          <w:tcPr/>
          <w:p>
            <w:pPr>
              <w:pStyle w:val="Compact"/>
              <w:jc w:val="left"/>
            </w:pPr>
            <w:r>
              <w:t xml:space="preserve">Second half of sample</w:t>
            </w:r>
          </w:p>
        </w:tc>
        <w:tc>
          <w:tcPr/>
          <w:p>
            <w:pPr>
              <w:pStyle w:val="Compact"/>
              <w:jc w:val="left"/>
            </w:pPr>
            <w:r>
              <w:t xml:space="preserve">1,584</w:t>
            </w:r>
          </w:p>
        </w:tc>
        <w:tc>
          <w:tcPr/>
          <w:p>
            <w:pPr>
              <w:pStyle w:val="Compact"/>
              <w:jc w:val="left"/>
            </w:pPr>
            <w:r>
              <w:t xml:space="preserve">2.25 (13.0)</w:t>
            </w:r>
          </w:p>
        </w:tc>
        <w:tc>
          <w:tcPr/>
          <w:p>
            <w:pPr>
              <w:pStyle w:val="Compact"/>
              <w:jc w:val="left"/>
            </w:pPr>
            <w:r>
              <w:t xml:space="preserve">−0.29 (−2.5)</w:t>
            </w:r>
          </w:p>
        </w:tc>
        <w:tc>
          <w:tcPr/>
          <w:p>
            <w:pPr>
              <w:pStyle w:val="Compact"/>
              <w:jc w:val="left"/>
            </w:pPr>
            <w:r>
              <w:t xml:space="preserve">1.91 (11.3)</w:t>
            </w:r>
          </w:p>
        </w:tc>
        <w:tc>
          <w:tcPr/>
          <w:p>
            <w:pPr>
              <w:pStyle w:val="Compact"/>
              <w:jc w:val="left"/>
            </w:pPr>
            <w:r>
              <w:t xml:space="preserve">−0.36 (−1.2)</w:t>
            </w:r>
          </w:p>
        </w:tc>
      </w:tr>
      <w:tr>
        <w:tc>
          <w:tcPr/>
          <w:p>
            <w:pPr>
              <w:pStyle w:val="Compact"/>
              <w:jc w:val="left"/>
            </w:pPr>
            <w:r>
              <w:t xml:space="preserve">Excluding days with market &lt; −2%</w:t>
            </w:r>
          </w:p>
        </w:tc>
        <w:tc>
          <w:tcPr/>
          <w:p>
            <w:pPr>
              <w:pStyle w:val="Compact"/>
              <w:jc w:val="left"/>
            </w:pPr>
            <w:r>
              <w:t xml:space="preserve">3,125</w:t>
            </w:r>
          </w:p>
        </w:tc>
        <w:tc>
          <w:tcPr/>
          <w:p>
            <w:pPr>
              <w:pStyle w:val="Compact"/>
              <w:jc w:val="left"/>
            </w:pPr>
            <w:r>
              <w:t xml:space="preserve">2.24 (9.6)</w:t>
            </w:r>
          </w:p>
        </w:tc>
        <w:tc>
          <w:tcPr/>
          <w:p>
            <w:pPr>
              <w:pStyle w:val="Compact"/>
              <w:jc w:val="left"/>
            </w:pPr>
            <w:r>
              <w:t xml:space="preserve">−0.53 (−3.4)</w:t>
            </w:r>
          </w:p>
        </w:tc>
        <w:tc>
          <w:tcPr/>
          <w:p>
            <w:pPr>
              <w:pStyle w:val="Compact"/>
              <w:jc w:val="left"/>
            </w:pPr>
            <w:r>
              <w:t xml:space="preserve">1.67 (4.7)</w:t>
            </w:r>
          </w:p>
        </w:tc>
        <w:tc>
          <w:tcPr/>
          <w:p>
            <w:pPr>
              <w:pStyle w:val="Compact"/>
              <w:jc w:val="left"/>
            </w:pPr>
            <w:r>
              <w:t xml:space="preserve">−0.70 (−2.6)</w:t>
            </w:r>
          </w:p>
        </w:tc>
      </w:tr>
      <w:tr>
        <w:tc>
          <w:tcPr/>
          <w:p>
            <w:pPr>
              <w:pStyle w:val="Compact"/>
              <w:jc w:val="left"/>
            </w:pPr>
            <w:r>
              <w:t xml:space="preserve">Floor closes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All, vs market</w:t>
            </w:r>
          </w:p>
        </w:tc>
        <w:tc>
          <w:tcPr/>
          <w:p>
            <w:pPr>
              <w:pStyle w:val="Compact"/>
              <w:jc w:val="left"/>
            </w:pPr>
            <w:r>
              <w:t xml:space="preserve">2,111</w:t>
            </w:r>
          </w:p>
        </w:tc>
        <w:tc>
          <w:tcPr/>
          <w:p>
            <w:pPr>
              <w:pStyle w:val="Compact"/>
              <w:jc w:val="left"/>
            </w:pPr>
            <w:r>
              <w:t xml:space="preserve">−0.97 (−4.6)</w:t>
            </w:r>
          </w:p>
        </w:tc>
        <w:tc>
          <w:tcPr/>
          <w:p>
            <w:pPr>
              <w:pStyle w:val="Compact"/>
              <w:jc w:val="left"/>
            </w:pPr>
            <w:r>
              <w:t xml:space="preserve">0.30 (1.4)</w:t>
            </w:r>
          </w:p>
        </w:tc>
        <w:tc>
          <w:tcPr/>
          <w:p>
            <w:pPr>
              <w:pStyle w:val="Compact"/>
              <w:jc w:val="left"/>
            </w:pPr>
            <w:r>
              <w:t xml:space="preserve">−0.69 (−4.8)</w:t>
            </w:r>
          </w:p>
        </w:tc>
        <w:tc>
          <w:tcPr/>
          <w:p>
            <w:pPr>
              <w:pStyle w:val="Compact"/>
              <w:jc w:val="left"/>
            </w:pPr>
            <w:r>
              <w:t xml:space="preserve">−0.82 (−1.7)</w:t>
            </w:r>
          </w:p>
        </w:tc>
      </w:tr>
      <w:tr>
        <w:tc>
          <w:tcPr/>
          <w:p>
            <w:pPr>
              <w:pStyle w:val="Compact"/>
              <w:jc w:val="left"/>
            </w:pPr>
            <w:r>
              <w:t xml:space="preserve">All, vs same-date controls</w:t>
            </w:r>
          </w:p>
        </w:tc>
        <w:tc>
          <w:tcPr/>
          <w:p>
            <w:pPr>
              <w:pStyle w:val="Compact"/>
              <w:jc w:val="left"/>
            </w:pPr>
            <w:r>
              <w:t xml:space="preserve">2,047</w:t>
            </w:r>
          </w:p>
        </w:tc>
        <w:tc>
          <w:tcPr/>
          <w:p>
            <w:pPr>
              <w:pStyle w:val="Compact"/>
              <w:jc w:val="left"/>
            </w:pPr>
            <w:r>
              <w:t xml:space="preserve">−1.75 (−4.0)</w:t>
            </w:r>
          </w:p>
        </w:tc>
        <w:tc>
          <w:tcPr/>
          <w:p>
            <w:pPr>
              <w:pStyle w:val="Compact"/>
              <w:jc w:val="left"/>
            </w:pPr>
            <w:r>
              <w:t xml:space="preserve">0.14 (0.6)</w:t>
            </w:r>
          </w:p>
        </w:tc>
        <w:tc>
          <w:tcPr/>
          <w:p>
            <w:pPr>
              <w:pStyle w:val="Compact"/>
              <w:jc w:val="left"/>
            </w:pPr>
            <w:r>
              <w:t xml:space="preserve">−1.65 (−3.4)</w:t>
            </w:r>
          </w:p>
        </w:tc>
        <w:tc>
          <w:tcPr/>
          <w:p>
            <w:pPr>
              <w:pStyle w:val="Compact"/>
              <w:jc w:val="left"/>
            </w:pPr>
            <w:r>
              <w:t xml:space="preserve">−0.36 (−0.6)</w:t>
            </w:r>
          </w:p>
        </w:tc>
      </w:tr>
      <w:tr>
        <w:tc>
          <w:tcPr/>
          <w:p>
            <w:pPr>
              <w:pStyle w:val="Compact"/>
              <w:jc w:val="left"/>
            </w:pPr>
            <w:r>
              <w:t xml:space="preserve">Exact limit hit</w:t>
            </w:r>
          </w:p>
        </w:tc>
        <w:tc>
          <w:tcPr/>
          <w:p>
            <w:pPr>
              <w:pStyle w:val="Compact"/>
              <w:jc w:val="left"/>
            </w:pPr>
            <w:r>
              <w:t xml:space="preserve">1,025</w:t>
            </w:r>
          </w:p>
        </w:tc>
        <w:tc>
          <w:tcPr/>
          <w:p>
            <w:pPr>
              <w:pStyle w:val="Compact"/>
              <w:jc w:val="left"/>
            </w:pPr>
            <w:r>
              <w:t xml:space="preserve">−1.30 (−5.1)</w:t>
            </w:r>
          </w:p>
        </w:tc>
        <w:tc>
          <w:tcPr/>
          <w:p>
            <w:pPr>
              <w:pStyle w:val="Compact"/>
              <w:jc w:val="left"/>
            </w:pPr>
            <w:r>
              <w:t xml:space="preserve">0.41 (1.7)</w:t>
            </w:r>
          </w:p>
        </w:tc>
        <w:tc>
          <w:tcPr/>
          <w:p>
            <w:pPr>
              <w:pStyle w:val="Compact"/>
              <w:jc w:val="left"/>
            </w:pPr>
            <w:r>
              <w:t xml:space="preserve">−0.93 (−5.7)</w:t>
            </w:r>
          </w:p>
        </w:tc>
        <w:tc>
          <w:tcPr/>
          <w:p>
            <w:pPr>
              <w:pStyle w:val="Compact"/>
              <w:jc w:val="left"/>
            </w:pPr>
            <w:r>
              <w:t xml:space="preserve">−0.98 (−1.9)</w:t>
            </w:r>
          </w:p>
        </w:tc>
      </w:tr>
      <w:tr>
        <w:tc>
          <w:tcPr/>
          <w:p>
            <w:pPr>
              <w:pStyle w:val="Compact"/>
              <w:jc w:val="left"/>
            </w:pPr>
            <w:r>
              <w:t xml:space="preserve">Near hit</w:t>
            </w:r>
          </w:p>
        </w:tc>
        <w:tc>
          <w:tcPr/>
          <w:p>
            <w:pPr>
              <w:pStyle w:val="Compact"/>
              <w:jc w:val="left"/>
            </w:pPr>
            <w:r>
              <w:t xml:space="preserve">1,086</w:t>
            </w:r>
          </w:p>
        </w:tc>
        <w:tc>
          <w:tcPr/>
          <w:p>
            <w:pPr>
              <w:pStyle w:val="Compact"/>
              <w:jc w:val="left"/>
            </w:pPr>
            <w:r>
              <w:t xml:space="preserve">−0.66 (−3.7)</w:t>
            </w:r>
          </w:p>
        </w:tc>
        <w:tc>
          <w:tcPr/>
          <w:p>
            <w:pPr>
              <w:pStyle w:val="Compact"/>
              <w:jc w:val="left"/>
            </w:pPr>
            <w:r>
              <w:t xml:space="preserve">0.20 (0.9)</w:t>
            </w:r>
          </w:p>
        </w:tc>
        <w:tc>
          <w:tcPr/>
          <w:p>
            <w:pPr>
              <w:pStyle w:val="Compact"/>
              <w:jc w:val="left"/>
            </w:pPr>
            <w:r>
              <w:t xml:space="preserve">−0.47 (−2.9)</w:t>
            </w:r>
          </w:p>
        </w:tc>
        <w:tc>
          <w:tcPr/>
          <w:p>
            <w:pPr>
              <w:pStyle w:val="Compact"/>
              <w:jc w:val="left"/>
            </w:pPr>
            <w:r>
              <w:t xml:space="preserve">−0.66 (−1.4)</w:t>
            </w:r>
          </w:p>
        </w:tc>
      </w:tr>
      <w:tr>
        <w:tc>
          <w:tcPr/>
          <w:p>
            <w:pPr>
              <w:pStyle w:val="Compact"/>
              <w:jc w:val="left"/>
            </w:pPr>
            <w:r>
              <w:t xml:space="preserve">Locked all day</w:t>
            </w:r>
          </w:p>
        </w:tc>
        <w:tc>
          <w:tcPr/>
          <w:p>
            <w:pPr>
              <w:pStyle w:val="Compact"/>
              <w:jc w:val="left"/>
            </w:pPr>
            <w:r>
              <w:t xml:space="preserve">260</w:t>
            </w:r>
          </w:p>
        </w:tc>
        <w:tc>
          <w:tcPr/>
          <w:p>
            <w:pPr>
              <w:pStyle w:val="Compact"/>
              <w:jc w:val="left"/>
            </w:pPr>
            <w:r>
              <w:t xml:space="preserve">−2.50 (−4.8)</w:t>
            </w:r>
          </w:p>
        </w:tc>
        <w:tc>
          <w:tcPr/>
          <w:p>
            <w:pPr>
              <w:pStyle w:val="Compact"/>
              <w:jc w:val="left"/>
            </w:pPr>
            <w:r>
              <w:t xml:space="preserve">1.11 (2.4)</w:t>
            </w:r>
          </w:p>
        </w:tc>
        <w:tc>
          <w:tcPr/>
          <w:p>
            <w:pPr>
              <w:pStyle w:val="Compact"/>
              <w:jc w:val="left"/>
            </w:pPr>
            <w:r>
              <w:t xml:space="preserve">−1.44 (−3.4)</w:t>
            </w:r>
          </w:p>
        </w:tc>
        <w:tc>
          <w:tcPr/>
          <w:p>
            <w:pPr>
              <w:pStyle w:val="Compact"/>
              <w:jc w:val="left"/>
            </w:pPr>
            <w:r>
              <w:t xml:space="preserve">−3.91 (−3.0)</w:t>
            </w:r>
          </w:p>
        </w:tc>
      </w:tr>
      <w:tr>
        <w:tc>
          <w:tcPr/>
          <w:p>
            <w:pPr>
              <w:pStyle w:val="Compact"/>
              <w:jc w:val="left"/>
            </w:pPr>
            <w:r>
              <w:t xml:space="preserve">First half of sample</w:t>
            </w:r>
          </w:p>
        </w:tc>
        <w:tc>
          <w:tcPr/>
          <w:p>
            <w:pPr>
              <w:pStyle w:val="Compact"/>
              <w:jc w:val="left"/>
            </w:pPr>
            <w:r>
              <w:t xml:space="preserve">1,059</w:t>
            </w:r>
          </w:p>
        </w:tc>
        <w:tc>
          <w:tcPr/>
          <w:p>
            <w:pPr>
              <w:pStyle w:val="Compact"/>
              <w:jc w:val="left"/>
            </w:pPr>
            <w:r>
              <w:t xml:space="preserve">−0.55 (−2.4)</w:t>
            </w:r>
          </w:p>
        </w:tc>
        <w:tc>
          <w:tcPr/>
          <w:p>
            <w:pPr>
              <w:pStyle w:val="Compact"/>
              <w:jc w:val="left"/>
            </w:pPr>
            <w:r>
              <w:t xml:space="preserve">−0.09 (−0.3)</w:t>
            </w:r>
          </w:p>
        </w:tc>
        <w:tc>
          <w:tcPr/>
          <w:p>
            <w:pPr>
              <w:pStyle w:val="Compact"/>
              <w:jc w:val="left"/>
            </w:pPr>
            <w:r>
              <w:t xml:space="preserve">−0.63 (−2.9)</w:t>
            </w:r>
          </w:p>
        </w:tc>
        <w:tc>
          <w:tcPr/>
          <w:p>
            <w:pPr>
              <w:pStyle w:val="Compact"/>
              <w:jc w:val="left"/>
            </w:pPr>
            <w:r>
              <w:t xml:space="preserve">−1.69 (−5.1)</w:t>
            </w:r>
          </w:p>
        </w:tc>
      </w:tr>
      <w:tr>
        <w:tc>
          <w:tcPr/>
          <w:p>
            <w:pPr>
              <w:pStyle w:val="Compact"/>
              <w:jc w:val="left"/>
            </w:pPr>
            <w:r>
              <w:t xml:space="preserve">Second half of sample</w:t>
            </w:r>
          </w:p>
        </w:tc>
        <w:tc>
          <w:tcPr/>
          <w:p>
            <w:pPr>
              <w:pStyle w:val="Compact"/>
              <w:jc w:val="left"/>
            </w:pPr>
            <w:r>
              <w:t xml:space="preserve">1,052</w:t>
            </w:r>
          </w:p>
        </w:tc>
        <w:tc>
          <w:tcPr/>
          <w:p>
            <w:pPr>
              <w:pStyle w:val="Compact"/>
              <w:jc w:val="left"/>
            </w:pPr>
            <w:r>
              <w:t xml:space="preserve">−1.40 (−6.5)</w:t>
            </w:r>
          </w:p>
        </w:tc>
        <w:tc>
          <w:tcPr/>
          <w:p>
            <w:pPr>
              <w:pStyle w:val="Compact"/>
              <w:jc w:val="left"/>
            </w:pPr>
            <w:r>
              <w:t xml:space="preserve">0.70 (4.9)</w:t>
            </w:r>
          </w:p>
        </w:tc>
        <w:tc>
          <w:tcPr/>
          <w:p>
            <w:pPr>
              <w:pStyle w:val="Compact"/>
              <w:jc w:val="left"/>
            </w:pPr>
            <w:r>
              <w:t xml:space="preserve">−0.75 (−4.3)</w:t>
            </w:r>
          </w:p>
        </w:tc>
        <w:tc>
          <w:tcPr/>
          <w:p>
            <w:pPr>
              <w:pStyle w:val="Compact"/>
              <w:jc w:val="left"/>
            </w:pPr>
            <w:r>
              <w:t xml:space="preserve">0.07 (0.1)</w:t>
            </w:r>
          </w:p>
        </w:tc>
      </w:tr>
      <w:tr>
        <w:tc>
          <w:tcPr/>
          <w:p>
            <w:pPr>
              <w:pStyle w:val="Compact"/>
              <w:jc w:val="left"/>
            </w:pPr>
            <w:r>
              <w:t xml:space="preserve">Excluding days with market &lt; −2%</w:t>
            </w:r>
          </w:p>
        </w:tc>
        <w:tc>
          <w:tcPr/>
          <w:p>
            <w:pPr>
              <w:pStyle w:val="Compact"/>
              <w:jc w:val="left"/>
            </w:pPr>
            <w:r>
              <w:t xml:space="preserve">740</w:t>
            </w:r>
          </w:p>
        </w:tc>
        <w:tc>
          <w:tcPr/>
          <w:p>
            <w:pPr>
              <w:pStyle w:val="Compact"/>
              <w:jc w:val="left"/>
            </w:pPr>
            <w:r>
              <w:t xml:space="preserve">−1.83 (−8.7)</w:t>
            </w:r>
          </w:p>
        </w:tc>
        <w:tc>
          <w:tcPr/>
          <w:p>
            <w:pPr>
              <w:pStyle w:val="Compact"/>
              <w:jc w:val="left"/>
            </w:pPr>
            <w:r>
              <w:t xml:space="preserve">0.90 (5.3)</w:t>
            </w:r>
          </w:p>
        </w:tc>
        <w:tc>
          <w:tcPr/>
          <w:p>
            <w:pPr>
              <w:pStyle w:val="Compact"/>
              <w:jc w:val="left"/>
            </w:pPr>
            <w:r>
              <w:t xml:space="preserve">−0.99 (−4.5)</w:t>
            </w:r>
          </w:p>
        </w:tc>
        <w:tc>
          <w:tcPr/>
          <w:p>
            <w:pPr>
              <w:pStyle w:val="Compact"/>
              <w:jc w:val="left"/>
            </w:pPr>
            <w:r>
              <w:t xml:space="preserve">−0.81 (−1.7)</w:t>
            </w:r>
          </w:p>
        </w:tc>
      </w:tr>
    </w:tbl>
    <w:p>
      <w:pPr>
        <w:pStyle w:val="BodyText"/>
      </w:pPr>
      <w:r>
        <w:t xml:space="preserve">Benchmarks are the dollar-volume-weighted market (weights lagged to day</w:t>
      </w:r>
      <w:r>
        <w:t xml:space="preserve"> </w:t>
      </w:r>
      <w:r>
        <w:rPr>
          <w:iCs/>
          <w:i/>
        </w:rPr>
        <w:t xml:space="preserve">d</w:t>
      </w:r>
      <w:r>
        <w:t xml:space="preserve">) or same-date control stocks in the same liquidity tercile (see Materials and methods). Open to day</w:t>
      </w:r>
      <w:r>
        <w:t xml:space="preserve"> </w:t>
      </w:r>
      <w:r>
        <w:rPr>
          <w:iCs/>
          <w:i/>
        </w:rPr>
        <w:t xml:space="preserve">d</w:t>
      </w:r>
      <w:r>
        <w:t xml:space="preserve">+5 runs from the day-</w:t>
      </w:r>
      <w:r>
        <w:rPr>
          <w:iCs/>
          <w:i/>
        </w:rPr>
        <w:t xml:space="preserve">d</w:t>
      </w:r>
      <w:r>
        <w:t xml:space="preserve">+1 open to the day-</w:t>
      </w:r>
      <w:r>
        <w:rPr>
          <w:iCs/>
          <w:i/>
        </w:rPr>
        <w:t xml:space="preserve">d</w:t>
      </w:r>
      <w:r>
        <w:t xml:space="preserve">+5 close. Crash days have a market return (Equation (2)) below −2%. Close-to-close need not equal the sum of the components because returns compound. Events are the stock-days that meet the event definition and have the stated return.</w:t>
      </w:r>
    </w:p>
    <w:p>
      <w:pPr>
        <w:pStyle w:val="BodyText"/>
      </w:pPr>
      <w:r>
        <w:t xml:space="preserve">Fig 2 plots the three next-day measures against the size of the day-</w:t>
      </w:r>
      <w:r>
        <w:rPr>
          <w:iCs/>
          <w:i/>
        </w:rPr>
        <w:t xml:space="preserve">d</w:t>
      </w:r>
      <w:r>
        <w:t xml:space="preserve"> </w:t>
      </w:r>
      <w:r>
        <w:t xml:space="preserve">move. Inside the band the close-to-close relation is negative, a short-term reversal. At the limit the relation breaks, and the overnight gap jumps up at the ceiling and down at the floor.</w:t>
      </w:r>
    </w:p>
    <w:p>
      <w:pPr>
        <w:pStyle w:val="BodyText"/>
      </w:pPr>
      <w:r>
        <w:rPr>
          <w:bCs/>
          <w:b/>
        </w:rPr>
        <w:t xml:space="preserve">Fig 2. Next-day abnormal return (overnight gap, intraday, and close-to-close) by the size of the day-</w:t>
      </w:r>
      <w:r>
        <w:rPr>
          <w:iCs/>
          <w:i/>
          <w:bCs/>
          <w:b/>
        </w:rPr>
        <w:t xml:space="preserve">d</w:t>
      </w:r>
      <w:r>
        <w:rPr>
          <w:bCs/>
          <w:b/>
        </w:rPr>
        <w:t xml:space="preserve"> </w:t>
      </w:r>
      <w:r>
        <w:rPr>
          <w:bCs/>
          <w:b/>
        </w:rPr>
        <w:t xml:space="preserve">move.</w:t>
      </w:r>
      <w:r>
        <w:t xml:space="preserve"> </w:t>
      </w:r>
      <w:r>
        <w:t xml:space="preserve">Circles are 1-percentage-point bins inside the band, triangles are ceiling and floor events, and squares are other moves of 6.5% to 10% in absolute value. Bars show 95% confidence intervals clustered by date (normal reference, no small-sample factor). Market weights are lagged to day</w:t>
      </w:r>
      <w:r>
        <w:t xml:space="preserve"> </w:t>
      </w:r>
      <w:r>
        <w:rPr>
          <w:iCs/>
          <w:i/>
        </w:rPr>
        <w:t xml:space="preserve">d</w:t>
      </w:r>
      <w:r>
        <w:t xml:space="preserve">; the figure uses event days up to the second-to-last trading day.</w:t>
      </w:r>
    </w:p>
    <w:p>
      <w:pPr>
        <w:pStyle w:val="BodyText"/>
      </w:pPr>
      <w:r>
        <w:t xml:space="preserve">Table 3 quantifies the break. Ceiling closers have a gap 2.66 percentage points larger than stocks that rose 5% to 6.5% (</w:t>
      </w:r>
      <w:r>
        <w:rPr>
          <w:iCs/>
          <w:i/>
        </w:rPr>
        <w:t xml:space="preserve">t</w:t>
      </w:r>
      <w:r>
        <w:t xml:space="preserve"> </w:t>
      </w:r>
      <w:r>
        <w:t xml:space="preserve">= 14.0) and an intraday return 0.31 points lower. Floor closers have a gap 1.59 points lower than stocks that fell 5% to 6.5% (</w:t>
      </w:r>
      <w:r>
        <w:rPr>
          <w:iCs/>
          <w:i/>
        </w:rPr>
        <w:t xml:space="preserve">t</w:t>
      </w:r>
      <w:r>
        <w:t xml:space="preserve"> </w:t>
      </w:r>
      <w:r>
        <w:t xml:space="preserve">= −9.7). Because the event rule requires a close at the day’s high (low), we repeat the comparison with stocks that also closed there. The ceiling gap is then 3.14 points larger (</w:t>
      </w:r>
      <w:r>
        <w:rPr>
          <w:iCs/>
          <w:i/>
        </w:rPr>
        <w:t xml:space="preserve">t</w:t>
      </w:r>
      <w:r>
        <w:t xml:space="preserve"> </w:t>
      </w:r>
      <w:r>
        <w:t xml:space="preserve">= 14.5) and the floor gap 1.81 points lower, so a strong close does not explain the contrast, which supports H</w:t>
      </w:r>
      <w:r>
        <w:rPr>
          <w:vertAlign w:val="subscript"/>
        </w:rPr>
        <w:t xml:space="preserve">3</w:t>
      </w:r>
      <w:r>
        <w:t xml:space="preserve">. Against 3% to 5% moves, the ceiling gap is 2.40 percentage points larger and the floor gap 1.14 points lower. The comparison is an association around a rule-based threshold, and we make no regression-discontinuity claim: the design has no bandwidth choice, manipulation test, or covariate-balance check, and stocks that reach the limit may differ in news content.</w:t>
      </w:r>
    </w:p>
    <w:p>
      <w:pPr>
        <w:pStyle w:val="BodyText"/>
      </w:pPr>
      <w:r>
        <w:rPr>
          <w:bCs/>
          <w:b/>
        </w:rPr>
        <w:t xml:space="preserve">Table 3. Differences in next-day abnormal returns (percentage points) between limit closes and same-direction moves of 3–5% or 5–6.5% that did not close at the limit, with date-clustered</w:t>
      </w:r>
      <w:r>
        <w:rPr>
          <w:bCs/>
          <w:b/>
        </w:rPr>
        <w:t xml:space="preserve"> </w:t>
      </w:r>
      <w:r>
        <w:rPr>
          <w:iCs/>
          <w:i/>
          <w:bCs/>
          <w:b/>
        </w:rPr>
        <w:t xml:space="preserve">t</w:t>
      </w:r>
      <w:r>
        <w:rPr>
          <w:bCs/>
          <w:b/>
        </w:rPr>
        <w:t xml:space="preserve">-statistics in parentheses.</w:t>
      </w:r>
    </w:p>
    <w:tbl>
      <w:tblPr>
        <w:tblStyle w:val="Table"/>
        <w:tblW w:type="pct" w:w="5000"/>
        <w:tblLook w:firstRow="1" w:lastRow="0" w:firstColumn="0" w:lastColumn="0" w:noHBand="0" w:noVBand="0" w:val="0020"/>
        <w:jc w:val="start"/>
      </w:tblPr>
      <w:tblGrid>
        <w:gridCol w:w="2416"/>
        <w:gridCol w:w="939"/>
        <w:gridCol w:w="872"/>
        <w:gridCol w:w="1006"/>
        <w:gridCol w:w="1208"/>
        <w:gridCol w:w="1476"/>
      </w:tblGrid>
      <w:tr>
        <w:trPr>
          <w:tblHeader w:val="true"/>
        </w:trPr>
        <w:tc>
          <w:tcPr/>
          <w:p>
            <w:pPr>
              <w:pStyle w:val="Compact"/>
              <w:jc w:val="left"/>
            </w:pPr>
            <w:r>
              <w:t xml:space="preserve">Contrast</w:t>
            </w:r>
          </w:p>
        </w:tc>
        <w:tc>
          <w:tcPr/>
          <w:p>
            <w:pPr>
              <w:pStyle w:val="Compact"/>
              <w:jc w:val="left"/>
            </w:pPr>
            <w:r>
              <w:t xml:space="preserve">Overnight gap</w:t>
            </w:r>
          </w:p>
        </w:tc>
        <w:tc>
          <w:tcPr/>
          <w:p>
            <w:pPr>
              <w:pStyle w:val="Compact"/>
              <w:jc w:val="left"/>
            </w:pPr>
            <w:r>
              <w:t xml:space="preserve">Intraday</w:t>
            </w:r>
          </w:p>
        </w:tc>
        <w:tc>
          <w:tcPr/>
          <w:p>
            <w:pPr>
              <w:pStyle w:val="Compact"/>
              <w:jc w:val="left"/>
            </w:pPr>
            <w:r>
              <w:t xml:space="preserve">Close-to-close</w:t>
            </w:r>
          </w:p>
        </w:tc>
        <w:tc>
          <w:tcPr/>
          <w:p>
            <w:pPr>
              <w:pStyle w:val="Compact"/>
              <w:jc w:val="left"/>
            </w:pPr>
            <w:r>
              <w:t xml:space="preserve">Open to day</w:t>
            </w:r>
            <w:r>
              <w:t xml:space="preserve"> </w:t>
            </w:r>
            <w:r>
              <w:rPr>
                <w:iCs/>
                <w:i/>
              </w:rPr>
              <w:t xml:space="preserve">d</w:t>
            </w:r>
            <w:r>
              <w:t xml:space="preserve">+5</w:t>
            </w:r>
          </w:p>
        </w:tc>
        <w:tc>
          <w:tcPr/>
          <w:p>
            <w:pPr>
              <w:pStyle w:val="Compact"/>
              <w:jc w:val="left"/>
            </w:pPr>
            <w:r>
              <w:t xml:space="preserve">Comparison stock-days</w:t>
            </w:r>
          </w:p>
        </w:tc>
      </w:tr>
      <w:tr>
        <w:tc>
          <w:tcPr/>
          <w:p>
            <w:pPr>
              <w:pStyle w:val="Compact"/>
              <w:jc w:val="left"/>
            </w:pPr>
            <w:r>
              <w:t xml:space="preserve">Ceiling vs 5–6.5% rises</w:t>
            </w:r>
          </w:p>
        </w:tc>
        <w:tc>
          <w:tcPr/>
          <w:p>
            <w:pPr>
              <w:pStyle w:val="Compact"/>
              <w:jc w:val="left"/>
            </w:pPr>
            <w:r>
              <w:t xml:space="preserve">2.66 (14.0)</w:t>
            </w:r>
          </w:p>
        </w:tc>
        <w:tc>
          <w:tcPr/>
          <w:p>
            <w:pPr>
              <w:pStyle w:val="Compact"/>
              <w:jc w:val="left"/>
            </w:pPr>
            <w:r>
              <w:t xml:space="preserve">−0.31 (−2.1)</w:t>
            </w:r>
          </w:p>
        </w:tc>
        <w:tc>
          <w:tcPr/>
          <w:p>
            <w:pPr>
              <w:pStyle w:val="Compact"/>
              <w:jc w:val="left"/>
            </w:pPr>
            <w:r>
              <w:t xml:space="preserve">2.32 (7.6)</w:t>
            </w:r>
          </w:p>
        </w:tc>
        <w:tc>
          <w:tcPr/>
          <w:p>
            <w:pPr>
              <w:pStyle w:val="Compact"/>
              <w:jc w:val="left"/>
            </w:pPr>
            <w:r>
              <w:t xml:space="preserve">−0.02 (−0.1)</w:t>
            </w:r>
          </w:p>
        </w:tc>
        <w:tc>
          <w:tcPr/>
          <w:p>
            <w:pPr>
              <w:pStyle w:val="Compact"/>
              <w:jc w:val="left"/>
            </w:pPr>
            <w:r>
              <w:t xml:space="preserve">1,751</w:t>
            </w:r>
          </w:p>
        </w:tc>
      </w:tr>
      <w:tr>
        <w:tc>
          <w:tcPr/>
          <w:p>
            <w:pPr>
              <w:pStyle w:val="Compact"/>
              <w:jc w:val="left"/>
            </w:pPr>
            <w:r>
              <w:t xml:space="preserve">same, comparison closes at its high</w:t>
            </w:r>
          </w:p>
        </w:tc>
        <w:tc>
          <w:tcPr/>
          <w:p>
            <w:pPr>
              <w:pStyle w:val="Compact"/>
              <w:jc w:val="left"/>
            </w:pPr>
            <w:r>
              <w:t xml:space="preserve">3.14 (14.5)</w:t>
            </w:r>
          </w:p>
        </w:tc>
        <w:tc>
          <w:tcPr/>
          <w:p>
            <w:pPr>
              <w:pStyle w:val="Compact"/>
              <w:jc w:val="left"/>
            </w:pPr>
            <w:r>
              <w:t xml:space="preserve">−0.66 (−3.4)</w:t>
            </w:r>
          </w:p>
        </w:tc>
        <w:tc>
          <w:tcPr/>
          <w:p>
            <w:pPr>
              <w:pStyle w:val="Compact"/>
              <w:jc w:val="left"/>
            </w:pPr>
            <w:r>
              <w:t xml:space="preserve">2.47 (7.2)</w:t>
            </w:r>
          </w:p>
        </w:tc>
        <w:tc>
          <w:tcPr/>
          <w:p>
            <w:pPr>
              <w:pStyle w:val="Compact"/>
              <w:jc w:val="left"/>
            </w:pPr>
            <w:r>
              <w:t xml:space="preserve">−0.49 (−1.5)</w:t>
            </w:r>
          </w:p>
        </w:tc>
        <w:tc>
          <w:tcPr/>
          <w:p>
            <w:pPr>
              <w:pStyle w:val="Compact"/>
              <w:jc w:val="left"/>
            </w:pPr>
            <w:r>
              <w:t xml:space="preserve">679</w:t>
            </w:r>
          </w:p>
        </w:tc>
      </w:tr>
      <w:tr>
        <w:tc>
          <w:tcPr/>
          <w:p>
            <w:pPr>
              <w:pStyle w:val="Compact"/>
              <w:jc w:val="left"/>
            </w:pPr>
            <w:r>
              <w:t xml:space="preserve">Ceiling vs 3–5% rises</w:t>
            </w:r>
          </w:p>
        </w:tc>
        <w:tc>
          <w:tcPr/>
          <w:p>
            <w:pPr>
              <w:pStyle w:val="Compact"/>
              <w:jc w:val="left"/>
            </w:pPr>
            <w:r>
              <w:t xml:space="preserve">2.40 (11.6)</w:t>
            </w:r>
          </w:p>
        </w:tc>
        <w:tc>
          <w:tcPr/>
          <w:p>
            <w:pPr>
              <w:pStyle w:val="Compact"/>
              <w:jc w:val="left"/>
            </w:pPr>
            <w:r>
              <w:t xml:space="preserve">−0.32 (−2.2)</w:t>
            </w:r>
          </w:p>
        </w:tc>
        <w:tc>
          <w:tcPr/>
          <w:p>
            <w:pPr>
              <w:pStyle w:val="Compact"/>
              <w:jc w:val="left"/>
            </w:pPr>
            <w:r>
              <w:t xml:space="preserve">2.05 (6.1)</w:t>
            </w:r>
          </w:p>
        </w:tc>
        <w:tc>
          <w:tcPr/>
          <w:p>
            <w:pPr>
              <w:pStyle w:val="Compact"/>
              <w:jc w:val="left"/>
            </w:pPr>
            <w:r>
              <w:t xml:space="preserve">−0.45 (−2.2)</w:t>
            </w:r>
          </w:p>
        </w:tc>
        <w:tc>
          <w:tcPr/>
          <w:p>
            <w:pPr>
              <w:pStyle w:val="Compact"/>
              <w:jc w:val="left"/>
            </w:pPr>
            <w:r>
              <w:t xml:space="preserve">5,932</w:t>
            </w:r>
          </w:p>
        </w:tc>
      </w:tr>
      <w:tr>
        <w:tc>
          <w:tcPr/>
          <w:p>
            <w:pPr>
              <w:pStyle w:val="Compact"/>
              <w:jc w:val="left"/>
            </w:pPr>
            <w:r>
              <w:t xml:space="preserve">same, comparison closes at its high</w:t>
            </w:r>
          </w:p>
        </w:tc>
        <w:tc>
          <w:tcPr/>
          <w:p>
            <w:pPr>
              <w:pStyle w:val="Compact"/>
              <w:jc w:val="left"/>
            </w:pPr>
            <w:r>
              <w:t xml:space="preserve">2.81 (13.1)</w:t>
            </w:r>
          </w:p>
        </w:tc>
        <w:tc>
          <w:tcPr/>
          <w:p>
            <w:pPr>
              <w:pStyle w:val="Compact"/>
              <w:jc w:val="left"/>
            </w:pPr>
            <w:r>
              <w:t xml:space="preserve">−0.61 (−3.8)</w:t>
            </w:r>
          </w:p>
        </w:tc>
        <w:tc>
          <w:tcPr/>
          <w:p>
            <w:pPr>
              <w:pStyle w:val="Compact"/>
              <w:jc w:val="left"/>
            </w:pPr>
            <w:r>
              <w:t xml:space="preserve">2.17 (6.4)</w:t>
            </w:r>
          </w:p>
        </w:tc>
        <w:tc>
          <w:tcPr/>
          <w:p>
            <w:pPr>
              <w:pStyle w:val="Compact"/>
              <w:jc w:val="left"/>
            </w:pPr>
            <w:r>
              <w:t xml:space="preserve">−0.64 (−2.7)</w:t>
            </w:r>
          </w:p>
        </w:tc>
        <w:tc>
          <w:tcPr/>
          <w:p>
            <w:pPr>
              <w:pStyle w:val="Compact"/>
              <w:jc w:val="left"/>
            </w:pPr>
            <w:r>
              <w:t xml:space="preserve">1,795</w:t>
            </w:r>
          </w:p>
        </w:tc>
      </w:tr>
      <w:tr>
        <w:tc>
          <w:tcPr/>
          <w:p>
            <w:pPr>
              <w:pStyle w:val="Compact"/>
              <w:jc w:val="left"/>
            </w:pPr>
            <w:r>
              <w:t xml:space="preserve">Floor vs 5–6.5% falls</w:t>
            </w:r>
          </w:p>
        </w:tc>
        <w:tc>
          <w:tcPr/>
          <w:p>
            <w:pPr>
              <w:pStyle w:val="Compact"/>
              <w:jc w:val="left"/>
            </w:pPr>
            <w:r>
              <w:t xml:space="preserve">−1.59 (−9.7)</w:t>
            </w:r>
          </w:p>
        </w:tc>
        <w:tc>
          <w:tcPr/>
          <w:p>
            <w:pPr>
              <w:pStyle w:val="Compact"/>
              <w:jc w:val="left"/>
            </w:pPr>
            <w:r>
              <w:t xml:space="preserve">−0.07 (−0.3)</w:t>
            </w:r>
          </w:p>
        </w:tc>
        <w:tc>
          <w:tcPr/>
          <w:p>
            <w:pPr>
              <w:pStyle w:val="Compact"/>
              <w:jc w:val="left"/>
            </w:pPr>
            <w:r>
              <w:t xml:space="preserve">−1.66 (−11.6)</w:t>
            </w:r>
          </w:p>
        </w:tc>
        <w:tc>
          <w:tcPr/>
          <w:p>
            <w:pPr>
              <w:pStyle w:val="Compact"/>
              <w:jc w:val="left"/>
            </w:pPr>
            <w:r>
              <w:t xml:space="preserve">−1.01 (−2.6)</w:t>
            </w:r>
          </w:p>
        </w:tc>
        <w:tc>
          <w:tcPr/>
          <w:p>
            <w:pPr>
              <w:pStyle w:val="Compact"/>
              <w:jc w:val="left"/>
            </w:pPr>
            <w:r>
              <w:t xml:space="preserve">1,522</w:t>
            </w:r>
          </w:p>
        </w:tc>
      </w:tr>
      <w:tr>
        <w:tc>
          <w:tcPr/>
          <w:p>
            <w:pPr>
              <w:pStyle w:val="Compact"/>
              <w:jc w:val="left"/>
            </w:pPr>
            <w:r>
              <w:t xml:space="preserve">same, comparison closes at its low</w:t>
            </w:r>
          </w:p>
        </w:tc>
        <w:tc>
          <w:tcPr/>
          <w:p>
            <w:pPr>
              <w:pStyle w:val="Compact"/>
              <w:jc w:val="left"/>
            </w:pPr>
            <w:r>
              <w:t xml:space="preserve">−1.81 (−8.7)</w:t>
            </w:r>
          </w:p>
        </w:tc>
        <w:tc>
          <w:tcPr/>
          <w:p>
            <w:pPr>
              <w:pStyle w:val="Compact"/>
              <w:jc w:val="left"/>
            </w:pPr>
            <w:r>
              <w:t xml:space="preserve">−0.13 (−0.6)</w:t>
            </w:r>
          </w:p>
        </w:tc>
        <w:tc>
          <w:tcPr/>
          <w:p>
            <w:pPr>
              <w:pStyle w:val="Compact"/>
              <w:jc w:val="left"/>
            </w:pPr>
            <w:r>
              <w:t xml:space="preserve">−1.95 (−10.7)</w:t>
            </w:r>
          </w:p>
        </w:tc>
        <w:tc>
          <w:tcPr/>
          <w:p>
            <w:pPr>
              <w:pStyle w:val="Compact"/>
              <w:jc w:val="left"/>
            </w:pPr>
            <w:r>
              <w:t xml:space="preserve">−1.23 (−2.8)</w:t>
            </w:r>
          </w:p>
        </w:tc>
        <w:tc>
          <w:tcPr/>
          <w:p>
            <w:pPr>
              <w:pStyle w:val="Compact"/>
              <w:jc w:val="left"/>
            </w:pPr>
            <w:r>
              <w:t xml:space="preserve">722</w:t>
            </w:r>
          </w:p>
        </w:tc>
      </w:tr>
      <w:tr>
        <w:tc>
          <w:tcPr/>
          <w:p>
            <w:pPr>
              <w:pStyle w:val="Compact"/>
              <w:jc w:val="left"/>
            </w:pPr>
            <w:r>
              <w:t xml:space="preserve">Floor vs 3–5% falls</w:t>
            </w:r>
          </w:p>
        </w:tc>
        <w:tc>
          <w:tcPr/>
          <w:p>
            <w:pPr>
              <w:pStyle w:val="Compact"/>
              <w:jc w:val="left"/>
            </w:pPr>
            <w:r>
              <w:t xml:space="preserve">−1.14 (−6.4)</w:t>
            </w:r>
          </w:p>
        </w:tc>
        <w:tc>
          <w:tcPr/>
          <w:p>
            <w:pPr>
              <w:pStyle w:val="Compact"/>
              <w:jc w:val="left"/>
            </w:pPr>
            <w:r>
              <w:t xml:space="preserve">0.14 (0.6)</w:t>
            </w:r>
          </w:p>
        </w:tc>
        <w:tc>
          <w:tcPr/>
          <w:p>
            <w:pPr>
              <w:pStyle w:val="Compact"/>
              <w:jc w:val="left"/>
            </w:pPr>
            <w:r>
              <w:t xml:space="preserve">−1.01 (−7.5)</w:t>
            </w:r>
          </w:p>
        </w:tc>
        <w:tc>
          <w:tcPr/>
          <w:p>
            <w:pPr>
              <w:pStyle w:val="Compact"/>
              <w:jc w:val="left"/>
            </w:pPr>
            <w:r>
              <w:t xml:space="preserve">−0.90 (−2.2)</w:t>
            </w:r>
          </w:p>
        </w:tc>
        <w:tc>
          <w:tcPr/>
          <w:p>
            <w:pPr>
              <w:pStyle w:val="Compact"/>
              <w:jc w:val="left"/>
            </w:pPr>
            <w:r>
              <w:t xml:space="preserve">5,237</w:t>
            </w:r>
          </w:p>
        </w:tc>
      </w:tr>
      <w:tr>
        <w:tc>
          <w:tcPr/>
          <w:p>
            <w:pPr>
              <w:pStyle w:val="Compact"/>
              <w:jc w:val="left"/>
            </w:pPr>
            <w:r>
              <w:t xml:space="preserve">same, comparison closes at its low</w:t>
            </w:r>
          </w:p>
        </w:tc>
        <w:tc>
          <w:tcPr/>
          <w:p>
            <w:pPr>
              <w:pStyle w:val="Compact"/>
              <w:jc w:val="left"/>
            </w:pPr>
            <w:r>
              <w:t xml:space="preserve">−1.35 (−7.4)</w:t>
            </w:r>
          </w:p>
        </w:tc>
        <w:tc>
          <w:tcPr/>
          <w:p>
            <w:pPr>
              <w:pStyle w:val="Compact"/>
              <w:jc w:val="left"/>
            </w:pPr>
            <w:r>
              <w:t xml:space="preserve">0.18 (0.8)</w:t>
            </w:r>
          </w:p>
        </w:tc>
        <w:tc>
          <w:tcPr/>
          <w:p>
            <w:pPr>
              <w:pStyle w:val="Compact"/>
              <w:jc w:val="left"/>
            </w:pPr>
            <w:r>
              <w:t xml:space="preserve">−1.19 (−8.0)</w:t>
            </w:r>
          </w:p>
        </w:tc>
        <w:tc>
          <w:tcPr/>
          <w:p>
            <w:pPr>
              <w:pStyle w:val="Compact"/>
              <w:jc w:val="left"/>
            </w:pPr>
            <w:r>
              <w:t xml:space="preserve">−1.06 (−2.5)</w:t>
            </w:r>
          </w:p>
        </w:tc>
        <w:tc>
          <w:tcPr/>
          <w:p>
            <w:pPr>
              <w:pStyle w:val="Compact"/>
              <w:jc w:val="left"/>
            </w:pPr>
            <w:r>
              <w:t xml:space="preserve">2,228</w:t>
            </w:r>
          </w:p>
        </w:tc>
      </w:tr>
    </w:tbl>
    <w:p>
      <w:pPr>
        <w:pStyle w:val="BodyText"/>
      </w:pPr>
      <w:r>
        <w:t xml:space="preserve">Returns are market-adjusted with lagged weights.</w:t>
      </w:r>
    </w:p>
    <w:p>
      <w:pPr>
        <w:pStyle w:val="BodyText"/>
      </w:pPr>
      <w:r>
        <w:t xml:space="preserve">Three readings fit the pattern, and our data do not separate them: (1) demand or supply that the limit blocked on day</w:t>
      </w:r>
      <w:r>
        <w:t xml:space="preserve"> </w:t>
      </w:r>
      <w:r>
        <w:rPr>
          <w:iCs/>
          <w:i/>
        </w:rPr>
        <w:t xml:space="preserve">d</w:t>
      </w:r>
      <w:r>
        <w:t xml:space="preserve"> </w:t>
      </w:r>
      <w:r>
        <w:t xml:space="preserve">clears at the next opening, the delayed price discovery of Kim and Rhee [13]; (2) news and retail attention persist overnight and produce the overnight gain and intraday reversal of attention-grabbing stocks [26], with or without a limit; and (3) the opening auction overshoots and corrects within the day. Lacking announcements, order books, and limit-free stock-days, we run two partial checks. First, the ceiling gap rises across terciles of day-</w:t>
      </w:r>
      <w:r>
        <w:rPr>
          <w:iCs/>
          <w:i/>
        </w:rPr>
        <w:t xml:space="preserve">d</w:t>
      </w:r>
      <w:r>
        <w:t xml:space="preserve"> </w:t>
      </w:r>
      <w:r>
        <w:t xml:space="preserve">volume relative to its prior 60-day mean (1.97%, 2.16%, and 2.63%) and of the prior 20-day return (1.41%, 2.18%, and 3.16%), which fits readings (1) and (2) alike, and stays positive and significant in the lowest tercile of each proxy (</w:t>
      </w:r>
      <w:r>
        <w:rPr>
          <w:iCs/>
          <w:i/>
        </w:rPr>
        <w:t xml:space="preserve">t</w:t>
      </w:r>
      <w:r>
        <w:t xml:space="preserve"> </w:t>
      </w:r>
      <w:r>
        <w:t xml:space="preserve">= 4.8 and 4.2). For floors the gap moves from −1.20% to −0.68% across volume terciles and is not monotone in the prior return, so the attention reading does not carry over. Second, the comparison with stocks that closed at their high removes selection on the shape of the close but not on news. The intraday giveback fits readings (2) and (3) at least as well as permanent price discovery, so</w:t>
      </w:r>
      <w:r>
        <w:t xml:space="preserve"> </w:t>
      </w:r>
      <w:r>
        <w:t xml:space="preserve">“</w:t>
      </w:r>
      <w:r>
        <w:t xml:space="preserve">break at the limit</w:t>
      </w:r>
      <w:r>
        <w:t xml:space="preserve">”</w:t>
      </w:r>
      <w:r>
        <w:t xml:space="preserve"> </w:t>
      </w:r>
      <w:r>
        <w:t xml:space="preserve">is a description and delayed price discovery one hypothesis. Testing the magnet effect [12,17] needs intraday prices, which we lack.</w:t>
      </w:r>
    </w:p>
    <w:p>
      <w:pPr>
        <w:pStyle w:val="BodyText"/>
      </w:pPr>
      <w:r>
        <w:t xml:space="preserve">Table 4 splits the events at 5 May 2025, when HOSE moved to the KRX platform.</w:t>
      </w:r>
    </w:p>
    <w:p>
      <w:pPr>
        <w:pStyle w:val="BodyText"/>
      </w:pPr>
      <w:r>
        <w:rPr>
          <w:bCs/>
          <w:b/>
        </w:rPr>
        <w:t xml:space="preserve">Table 4. Next-day abnormal returns (percent) before and after the move to the KRX platform on 5 May 2025, with two-way-clustered</w:t>
      </w:r>
      <w:r>
        <w:rPr>
          <w:bCs/>
          <w:b/>
        </w:rPr>
        <w:t xml:space="preserve"> </w:t>
      </w:r>
      <w:r>
        <w:rPr>
          <w:iCs/>
          <w:i/>
          <w:bCs/>
          <w:b/>
        </w:rPr>
        <w:t xml:space="preserve">t</w:t>
      </w:r>
      <w:r>
        <w:rPr>
          <w:bCs/>
          <w:b/>
        </w:rPr>
        <w:t xml:space="preserve">-statistics in parentheses.</w:t>
      </w:r>
    </w:p>
    <w:tbl>
      <w:tblPr>
        <w:tblStyle w:val="Table"/>
        <w:tblW w:type="pct" w:w="5000"/>
        <w:tblLook w:firstRow="1" w:lastRow="0" w:firstColumn="0" w:lastColumn="0" w:noHBand="0" w:noVBand="0" w:val="0020"/>
        <w:jc w:val="start"/>
      </w:tblPr>
      <w:tblGrid>
        <w:gridCol w:w="646"/>
        <w:gridCol w:w="1454"/>
        <w:gridCol w:w="1454"/>
        <w:gridCol w:w="1373"/>
        <w:gridCol w:w="1050"/>
        <w:gridCol w:w="1939"/>
      </w:tblGrid>
      <w:tr>
        <w:trPr>
          <w:tblHeader w:val="true"/>
        </w:trPr>
        <w:tc>
          <w:tcPr/>
          <w:p>
            <w:pPr>
              <w:pStyle w:val="Compact"/>
              <w:jc w:val="left"/>
            </w:pPr>
            <w:r>
              <w:t xml:space="preserve">Event</w:t>
            </w:r>
          </w:p>
        </w:tc>
        <w:tc>
          <w:tcPr/>
          <w:p>
            <w:pPr>
              <w:pStyle w:val="Compact"/>
              <w:jc w:val="left"/>
            </w:pPr>
            <w:r>
              <w:t xml:space="preserve">Outcome</w:t>
            </w:r>
          </w:p>
        </w:tc>
        <w:tc>
          <w:tcPr/>
          <w:p>
            <w:pPr>
              <w:pStyle w:val="Compact"/>
              <w:jc w:val="left"/>
            </w:pPr>
            <w:r>
              <w:t xml:space="preserve">Before the change</w:t>
            </w:r>
          </w:p>
        </w:tc>
        <w:tc>
          <w:tcPr/>
          <w:p>
            <w:pPr>
              <w:pStyle w:val="Compact"/>
              <w:jc w:val="left"/>
            </w:pPr>
            <w:r>
              <w:t xml:space="preserve">After the change</w:t>
            </w:r>
          </w:p>
        </w:tc>
        <w:tc>
          <w:tcPr/>
          <w:p>
            <w:pPr>
              <w:pStyle w:val="Compact"/>
              <w:jc w:val="left"/>
            </w:pPr>
            <w:r>
              <w:t xml:space="preserve">Difference</w:t>
            </w:r>
          </w:p>
        </w:tc>
        <w:tc>
          <w:tcPr/>
          <w:p>
            <w:pPr>
              <w:pStyle w:val="Compact"/>
              <w:jc w:val="left"/>
            </w:pPr>
            <w:r>
              <w:t xml:space="preserve">Events (before / after)</w:t>
            </w:r>
          </w:p>
        </w:tc>
      </w:tr>
      <w:tr>
        <w:tc>
          <w:tcPr/>
          <w:p>
            <w:pPr>
              <w:pStyle w:val="Compact"/>
              <w:jc w:val="left"/>
            </w:pPr>
            <w:r>
              <w:t xml:space="preserve">Ceiling</w:t>
            </w:r>
          </w:p>
        </w:tc>
        <w:tc>
          <w:tcPr/>
          <w:p>
            <w:pPr>
              <w:pStyle w:val="Compact"/>
              <w:jc w:val="left"/>
            </w:pPr>
            <w:r>
              <w:t xml:space="preserve">Overnight gap</w:t>
            </w:r>
          </w:p>
        </w:tc>
        <w:tc>
          <w:tcPr/>
          <w:p>
            <w:pPr>
              <w:pStyle w:val="Compact"/>
              <w:jc w:val="left"/>
            </w:pPr>
            <w:r>
              <w:t xml:space="preserve">1.65 (3.2)</w:t>
            </w:r>
          </w:p>
        </w:tc>
        <w:tc>
          <w:tcPr/>
          <w:p>
            <w:pPr>
              <w:pStyle w:val="Compact"/>
              <w:jc w:val="left"/>
            </w:pPr>
            <w:r>
              <w:t xml:space="preserve">2.49 (17.9)</w:t>
            </w:r>
          </w:p>
        </w:tc>
        <w:tc>
          <w:tcPr/>
          <w:p>
            <w:pPr>
              <w:pStyle w:val="Compact"/>
              <w:jc w:val="left"/>
            </w:pPr>
            <w:r>
              <w:t xml:space="preserve">0.85 (1.6)</w:t>
            </w:r>
          </w:p>
        </w:tc>
        <w:tc>
          <w:tcPr/>
          <w:p>
            <w:pPr>
              <w:pStyle w:val="Compact"/>
              <w:jc w:val="left"/>
            </w:pPr>
            <w:r>
              <w:t xml:space="preserve">936 / 2,263</w:t>
            </w:r>
          </w:p>
        </w:tc>
      </w:tr>
      <w:tr>
        <w:tc>
          <w:tcPr/>
          <w:p>
            <w:pPr>
              <w:pStyle w:val="Compact"/>
              <w:jc w:val="left"/>
            </w:pPr>
            <w:r>
              <w:t xml:space="preserve">Ceiling</w:t>
            </w:r>
          </w:p>
        </w:tc>
        <w:tc>
          <w:tcPr/>
          <w:p>
            <w:pPr>
              <w:pStyle w:val="Compact"/>
              <w:jc w:val="left"/>
            </w:pPr>
            <w:r>
              <w:t xml:space="preserve">Intraday</w:t>
            </w:r>
          </w:p>
        </w:tc>
        <w:tc>
          <w:tcPr/>
          <w:p>
            <w:pPr>
              <w:pStyle w:val="Compact"/>
              <w:jc w:val="left"/>
            </w:pPr>
            <w:r>
              <w:t xml:space="preserve">−0.77 (−2.0)</w:t>
            </w:r>
          </w:p>
        </w:tc>
        <w:tc>
          <w:tcPr/>
          <w:p>
            <w:pPr>
              <w:pStyle w:val="Compact"/>
              <w:jc w:val="left"/>
            </w:pPr>
            <w:r>
              <w:t xml:space="preserve">−0.44 (−4.3)</w:t>
            </w:r>
          </w:p>
        </w:tc>
        <w:tc>
          <w:tcPr/>
          <w:p>
            <w:pPr>
              <w:pStyle w:val="Compact"/>
              <w:jc w:val="left"/>
            </w:pPr>
            <w:r>
              <w:t xml:space="preserve">0.34 (0.8)</w:t>
            </w:r>
          </w:p>
        </w:tc>
        <w:tc>
          <w:tcPr/>
          <w:p>
            <w:pPr>
              <w:pStyle w:val="Compact"/>
              <w:jc w:val="left"/>
            </w:pPr>
            <w:r>
              <w:t xml:space="preserve">936 / 2,263</w:t>
            </w:r>
          </w:p>
        </w:tc>
      </w:tr>
      <w:tr>
        <w:tc>
          <w:tcPr/>
          <w:p>
            <w:pPr>
              <w:pStyle w:val="Compact"/>
              <w:jc w:val="left"/>
            </w:pPr>
            <w:r>
              <w:t xml:space="preserve">Ceiling</w:t>
            </w:r>
          </w:p>
        </w:tc>
        <w:tc>
          <w:tcPr/>
          <w:p>
            <w:pPr>
              <w:pStyle w:val="Compact"/>
              <w:jc w:val="left"/>
            </w:pPr>
            <w:r>
              <w:t xml:space="preserve">Close-to-close</w:t>
            </w:r>
          </w:p>
        </w:tc>
        <w:tc>
          <w:tcPr/>
          <w:p>
            <w:pPr>
              <w:pStyle w:val="Compact"/>
              <w:jc w:val="left"/>
            </w:pPr>
            <w:r>
              <w:t xml:space="preserve">0.83 (1.0)</w:t>
            </w:r>
          </w:p>
        </w:tc>
        <w:tc>
          <w:tcPr/>
          <w:p>
            <w:pPr>
              <w:pStyle w:val="Compact"/>
              <w:jc w:val="left"/>
            </w:pPr>
            <w:r>
              <w:t xml:space="preserve">2.01 (14.6)</w:t>
            </w:r>
          </w:p>
        </w:tc>
        <w:tc>
          <w:tcPr/>
          <w:p>
            <w:pPr>
              <w:pStyle w:val="Compact"/>
              <w:jc w:val="left"/>
            </w:pPr>
            <w:r>
              <w:t xml:space="preserve">1.18 (1.3)</w:t>
            </w:r>
          </w:p>
        </w:tc>
        <w:tc>
          <w:tcPr/>
          <w:p>
            <w:pPr>
              <w:pStyle w:val="Compact"/>
              <w:jc w:val="left"/>
            </w:pPr>
            <w:r>
              <w:t xml:space="preserve">936 / 2,263</w:t>
            </w:r>
          </w:p>
        </w:tc>
      </w:tr>
      <w:tr>
        <w:tc>
          <w:tcPr/>
          <w:p>
            <w:pPr>
              <w:pStyle w:val="Compact"/>
              <w:jc w:val="left"/>
            </w:pPr>
            <w:r>
              <w:t xml:space="preserve">Ceiling</w:t>
            </w:r>
          </w:p>
        </w:tc>
        <w:tc>
          <w:tcPr/>
          <w:p>
            <w:pPr>
              <w:pStyle w:val="Compact"/>
              <w:jc w:val="left"/>
            </w:pPr>
            <w:r>
              <w:t xml:space="preserve">Open to day</w:t>
            </w:r>
            <w:r>
              <w:t xml:space="preserve"> </w:t>
            </w:r>
            <w:r>
              <w:rPr>
                <w:iCs/>
                <w:i/>
              </w:rPr>
              <w:t xml:space="preserve">d</w:t>
            </w:r>
            <w:r>
              <w:t xml:space="preserve">+5</w:t>
            </w:r>
          </w:p>
        </w:tc>
        <w:tc>
          <w:tcPr/>
          <w:p>
            <w:pPr>
              <w:pStyle w:val="Compact"/>
              <w:jc w:val="left"/>
            </w:pPr>
            <w:r>
              <w:t xml:space="preserve">−0.71 (−1.3)</w:t>
            </w:r>
          </w:p>
        </w:tc>
        <w:tc>
          <w:tcPr/>
          <w:p>
            <w:pPr>
              <w:pStyle w:val="Compact"/>
              <w:jc w:val="left"/>
            </w:pPr>
            <w:r>
              <w:t xml:space="preserve">−0.77 (−2.5)</w:t>
            </w:r>
          </w:p>
        </w:tc>
        <w:tc>
          <w:tcPr/>
          <w:p>
            <w:pPr>
              <w:pStyle w:val="Compact"/>
              <w:jc w:val="left"/>
            </w:pPr>
            <w:r>
              <w:t xml:space="preserve">−0.06 (−0.1)</w:t>
            </w:r>
          </w:p>
        </w:tc>
        <w:tc>
          <w:tcPr/>
          <w:p>
            <w:pPr>
              <w:pStyle w:val="Compact"/>
              <w:jc w:val="left"/>
            </w:pPr>
            <w:r>
              <w:t xml:space="preserve">936 / 2,257</w:t>
            </w:r>
          </w:p>
        </w:tc>
      </w:tr>
      <w:tr>
        <w:tc>
          <w:tcPr/>
          <w:p>
            <w:pPr>
              <w:pStyle w:val="Compact"/>
              <w:jc w:val="left"/>
            </w:pPr>
            <w:r>
              <w:t xml:space="preserve">Floor</w:t>
            </w:r>
          </w:p>
        </w:tc>
        <w:tc>
          <w:tcPr/>
          <w:p>
            <w:pPr>
              <w:pStyle w:val="Compact"/>
              <w:jc w:val="left"/>
            </w:pPr>
            <w:r>
              <w:t xml:space="preserve">Overnight gap</w:t>
            </w:r>
          </w:p>
        </w:tc>
        <w:tc>
          <w:tcPr/>
          <w:p>
            <w:pPr>
              <w:pStyle w:val="Compact"/>
              <w:jc w:val="left"/>
            </w:pPr>
            <w:r>
              <w:t xml:space="preserve">−0.42 (−1.9)</w:t>
            </w:r>
          </w:p>
        </w:tc>
        <w:tc>
          <w:tcPr/>
          <w:p>
            <w:pPr>
              <w:pStyle w:val="Compact"/>
              <w:jc w:val="left"/>
            </w:pPr>
            <w:r>
              <w:t xml:space="preserve">−1.37 (−7.0)</w:t>
            </w:r>
          </w:p>
        </w:tc>
        <w:tc>
          <w:tcPr/>
          <w:p>
            <w:pPr>
              <w:pStyle w:val="Compact"/>
              <w:jc w:val="left"/>
            </w:pPr>
            <w:r>
              <w:t xml:space="preserve">−0.95 (−3.2)</w:t>
            </w:r>
          </w:p>
        </w:tc>
        <w:tc>
          <w:tcPr/>
          <w:p>
            <w:pPr>
              <w:pStyle w:val="Compact"/>
              <w:jc w:val="left"/>
            </w:pPr>
            <w:r>
              <w:t xml:space="preserve">891 / 1,220</w:t>
            </w:r>
          </w:p>
        </w:tc>
      </w:tr>
      <w:tr>
        <w:tc>
          <w:tcPr/>
          <w:p>
            <w:pPr>
              <w:pStyle w:val="Compact"/>
              <w:jc w:val="left"/>
            </w:pPr>
            <w:r>
              <w:t xml:space="preserve">Floor</w:t>
            </w:r>
          </w:p>
        </w:tc>
        <w:tc>
          <w:tcPr/>
          <w:p>
            <w:pPr>
              <w:pStyle w:val="Compact"/>
              <w:jc w:val="left"/>
            </w:pPr>
            <w:r>
              <w:t xml:space="preserve">Intraday</w:t>
            </w:r>
          </w:p>
        </w:tc>
        <w:tc>
          <w:tcPr/>
          <w:p>
            <w:pPr>
              <w:pStyle w:val="Compact"/>
              <w:jc w:val="left"/>
            </w:pPr>
            <w:r>
              <w:t xml:space="preserve">−0.15 (−0.4)</w:t>
            </w:r>
          </w:p>
        </w:tc>
        <w:tc>
          <w:tcPr/>
          <w:p>
            <w:pPr>
              <w:pStyle w:val="Compact"/>
              <w:jc w:val="left"/>
            </w:pPr>
            <w:r>
              <w:t xml:space="preserve">0.64 (4.6)</w:t>
            </w:r>
          </w:p>
        </w:tc>
        <w:tc>
          <w:tcPr/>
          <w:p>
            <w:pPr>
              <w:pStyle w:val="Compact"/>
              <w:jc w:val="left"/>
            </w:pPr>
            <w:r>
              <w:t xml:space="preserve">0.79 (2.0)</w:t>
            </w:r>
          </w:p>
        </w:tc>
        <w:tc>
          <w:tcPr/>
          <w:p>
            <w:pPr>
              <w:pStyle w:val="Compact"/>
              <w:jc w:val="left"/>
            </w:pPr>
            <w:r>
              <w:t xml:space="preserve">891 / 1,220</w:t>
            </w:r>
          </w:p>
        </w:tc>
      </w:tr>
      <w:tr>
        <w:tc>
          <w:tcPr/>
          <w:p>
            <w:pPr>
              <w:pStyle w:val="Compact"/>
              <w:jc w:val="left"/>
            </w:pPr>
            <w:r>
              <w:t xml:space="preserve">Floor</w:t>
            </w:r>
          </w:p>
        </w:tc>
        <w:tc>
          <w:tcPr/>
          <w:p>
            <w:pPr>
              <w:pStyle w:val="Compact"/>
              <w:jc w:val="left"/>
            </w:pPr>
            <w:r>
              <w:t xml:space="preserve">Close-to-close</w:t>
            </w:r>
          </w:p>
        </w:tc>
        <w:tc>
          <w:tcPr/>
          <w:p>
            <w:pPr>
              <w:pStyle w:val="Compact"/>
              <w:jc w:val="left"/>
            </w:pPr>
            <w:r>
              <w:t xml:space="preserve">−0.57 (−2.3)</w:t>
            </w:r>
          </w:p>
        </w:tc>
        <w:tc>
          <w:tcPr/>
          <w:p>
            <w:pPr>
              <w:pStyle w:val="Compact"/>
              <w:jc w:val="left"/>
            </w:pPr>
            <w:r>
              <w:t xml:space="preserve">−0.78 (−5.0)</w:t>
            </w:r>
          </w:p>
        </w:tc>
        <w:tc>
          <w:tcPr/>
          <w:p>
            <w:pPr>
              <w:pStyle w:val="Compact"/>
              <w:jc w:val="left"/>
            </w:pPr>
            <w:r>
              <w:t xml:space="preserve">−0.21 (−0.7)</w:t>
            </w:r>
          </w:p>
        </w:tc>
        <w:tc>
          <w:tcPr/>
          <w:p>
            <w:pPr>
              <w:pStyle w:val="Compact"/>
              <w:jc w:val="left"/>
            </w:pPr>
            <w:r>
              <w:t xml:space="preserve">891 / 1,220</w:t>
            </w:r>
          </w:p>
        </w:tc>
      </w:tr>
      <w:tr>
        <w:tc>
          <w:tcPr/>
          <w:p>
            <w:pPr>
              <w:pStyle w:val="Compact"/>
              <w:jc w:val="left"/>
            </w:pPr>
            <w:r>
              <w:t xml:space="preserve">Floor</w:t>
            </w:r>
          </w:p>
        </w:tc>
        <w:tc>
          <w:tcPr/>
          <w:p>
            <w:pPr>
              <w:pStyle w:val="Compact"/>
              <w:jc w:val="left"/>
            </w:pPr>
            <w:r>
              <w:t xml:space="preserve">Open to day</w:t>
            </w:r>
            <w:r>
              <w:t xml:space="preserve"> </w:t>
            </w:r>
            <w:r>
              <w:rPr>
                <w:iCs/>
                <w:i/>
              </w:rPr>
              <w:t xml:space="preserve">d</w:t>
            </w:r>
            <w:r>
              <w:t xml:space="preserve">+5</w:t>
            </w:r>
          </w:p>
        </w:tc>
        <w:tc>
          <w:tcPr/>
          <w:p>
            <w:pPr>
              <w:pStyle w:val="Compact"/>
              <w:jc w:val="left"/>
            </w:pPr>
            <w:r>
              <w:t xml:space="preserve">−1.73 (−4.7)</w:t>
            </w:r>
          </w:p>
        </w:tc>
        <w:tc>
          <w:tcPr/>
          <w:p>
            <w:pPr>
              <w:pStyle w:val="Compact"/>
              <w:jc w:val="left"/>
            </w:pPr>
            <w:r>
              <w:t xml:space="preserve">−0.15 (−0.3)</w:t>
            </w:r>
          </w:p>
        </w:tc>
        <w:tc>
          <w:tcPr/>
          <w:p>
            <w:pPr>
              <w:pStyle w:val="Compact"/>
              <w:jc w:val="left"/>
            </w:pPr>
            <w:r>
              <w:t xml:space="preserve">1.58 (2.5)</w:t>
            </w:r>
          </w:p>
        </w:tc>
        <w:tc>
          <w:tcPr/>
          <w:p>
            <w:pPr>
              <w:pStyle w:val="Compact"/>
              <w:jc w:val="left"/>
            </w:pPr>
            <w:r>
              <w:t xml:space="preserve">891 / 1,217</w:t>
            </w:r>
          </w:p>
        </w:tc>
      </w:tr>
    </w:tbl>
    <w:p>
      <w:pPr>
        <w:pStyle w:val="BodyText"/>
      </w:pPr>
      <w:r>
        <w:t xml:space="preserve">The split uses the date of the opening that defines the gap; the difference</w:t>
      </w:r>
      <w:r>
        <w:t xml:space="preserve"> </w:t>
      </w:r>
      <w:r>
        <w:rPr>
          <w:iCs/>
          <w:i/>
        </w:rPr>
        <w:t xml:space="preserve">t</w:t>
      </w:r>
      <w:r>
        <w:t xml:space="preserve">-statistic treats the periods as independent.</w:t>
      </w:r>
    </w:p>
    <w:p>
      <w:pPr>
        <w:pStyle w:val="BodyText"/>
      </w:pPr>
      <w:r>
        <w:t xml:space="preserve">The ceiling gap, followed by an intraday reversal, appears in both periods (1.65% before and 2.49% after; difference</w:t>
      </w:r>
      <w:r>
        <w:t xml:space="preserve"> </w:t>
      </w:r>
      <w:r>
        <w:rPr>
          <w:iCs/>
          <w:i/>
        </w:rPr>
        <w:t xml:space="preserve">t</w:t>
      </w:r>
      <w:r>
        <w:t xml:space="preserve"> </w:t>
      </w:r>
      <w:r>
        <w:t xml:space="preserve">= 1.6). The floor gap is more negative after the move (−0.42% before, −1.37% after; difference</w:t>
      </w:r>
      <w:r>
        <w:t xml:space="preserve"> </w:t>
      </w:r>
      <w:r>
        <w:rPr>
          <w:iCs/>
          <w:i/>
        </w:rPr>
        <w:t xml:space="preserve">t</w:t>
      </w:r>
      <w:r>
        <w:t xml:space="preserve"> </w:t>
      </w:r>
      <w:r>
        <w:t xml:space="preserve">= −3.2), the intraday return after floor closes turns positive (0.64%), and the floor drift from the next open to day</w:t>
      </w:r>
      <w:r>
        <w:t xml:space="preserve"> </w:t>
      </w:r>
      <w:r>
        <w:rPr>
          <w:iCs/>
          <w:i/>
        </w:rPr>
        <w:t xml:space="preserve">d</w:t>
      </w:r>
      <w:r>
        <w:t xml:space="preserve">+5 exists only before the move (−1.73% before, −0.15% after). The change coincides with a different market period, and the post-change sample holds 71% of the ceiling events and 58% of the floor events. Before the change neither the ceiling close-to-close return (</w:t>
      </w:r>
      <w:r>
        <w:rPr>
          <w:iCs/>
          <w:i/>
        </w:rPr>
        <w:t xml:space="preserve">t</w:t>
      </w:r>
      <w:r>
        <w:t xml:space="preserve"> </w:t>
      </w:r>
      <w:r>
        <w:t xml:space="preserve">= 1.0) nor the floor gap (</w:t>
      </w:r>
      <w:r>
        <w:rPr>
          <w:iCs/>
          <w:i/>
        </w:rPr>
        <w:t xml:space="preserve">t</w:t>
      </w:r>
      <w:r>
        <w:t xml:space="preserve"> </w:t>
      </w:r>
      <w:r>
        <w:t xml:space="preserve">= −1.9) is significant at the 5% level, so the full-sample significance rests mainly on post-change events. We cannot attribute the differences between the periods to the auction rules.</w:t>
      </w:r>
    </w:p>
    <w:p>
      <w:pPr>
        <w:pStyle w:val="BodyText"/>
      </w:pPr>
      <w:r>
        <w:t xml:space="preserve">Because the events are unbalanced in time, Table 5 reports them by calendar quarter. The ceiling gap is positive and significant in each of the 8 quarters (</w:t>
      </w:r>
      <w:r>
        <w:rPr>
          <w:iCs/>
          <w:i/>
        </w:rPr>
        <w:t xml:space="preserve">t</w:t>
      </w:r>
      <w:r>
        <w:t xml:space="preserve"> </w:t>
      </w:r>
      <w:r>
        <w:t xml:space="preserve">from 2.5 to 16.8); its weakest quarter, 2025-Q2, contains the platform change. The floor gap is negative in every quarter and significant at the 5% level in 7 of them. Placebo break dates on the first trading day of each month from January 2025 to April 2026 give ceiling-gap differences between −0.45 and 0.72 percentage points (|</w:t>
      </w:r>
      <w:r>
        <w:rPr>
          <w:iCs/>
          <w:i/>
        </w:rPr>
        <w:t xml:space="preserve">t</w:t>
      </w:r>
      <w:r>
        <w:t xml:space="preserve">| at most 1.4); the split at 5 May 2025 gives the largest difference, 0.85 points, but it is not significant either (</w:t>
      </w:r>
      <w:r>
        <w:rPr>
          <w:iCs/>
          <w:i/>
        </w:rPr>
        <w:t xml:space="preserve">t</w:t>
      </w:r>
      <w:r>
        <w:t xml:space="preserve"> </w:t>
      </w:r>
      <w:r>
        <w:t xml:space="preserve">= 1.6). The floor-gap difference is positive at the 4 placebo dates before the platform change and negative at 11 of the 11 later ones, and the split at 5 May 2025 gives −0.95 points (</w:t>
      </w:r>
      <w:r>
        <w:rPr>
          <w:iCs/>
          <w:i/>
        </w:rPr>
        <w:t xml:space="preserve">t</w:t>
      </w:r>
      <w:r>
        <w:t xml:space="preserve"> </w:t>
      </w:r>
      <w:r>
        <w:t xml:space="preserve">= −3.2), close to the differences at the placebo dates that follow it. Table 5 shows no trend in the floor gap; the pattern coincides with the weak floor gap in 2025-Q2 (−0.34%), the quarter with the most floor events (802), so the placebo dates cannot separate a break at the platform change from a shift specific to that quarter. A difference-in-differences regression that compares limit closes with 5–6.5% movers that also closed at the extreme points the same way for the ceiling (table C31 in S1 File): the excess ceiling gap was 2.91 percentage points before the change (</w:t>
      </w:r>
      <w:r>
        <w:rPr>
          <w:iCs/>
          <w:i/>
        </w:rPr>
        <w:t xml:space="preserve">t</w:t>
      </w:r>
      <w:r>
        <w:t xml:space="preserve"> </w:t>
      </w:r>
      <w:r>
        <w:t xml:space="preserve">= 6.2) and changed by 0.38 points after it (</w:t>
      </w:r>
      <w:r>
        <w:rPr>
          <w:iCs/>
          <w:i/>
        </w:rPr>
        <w:t xml:space="preserve">t</w:t>
      </w:r>
      <w:r>
        <w:t xml:space="preserve"> </w:t>
      </w:r>
      <w:r>
        <w:t xml:space="preserve">= 0.8), and the excess floor gap was −1.62 points before (</w:t>
      </w:r>
      <w:r>
        <w:rPr>
          <w:iCs/>
          <w:i/>
        </w:rPr>
        <w:t xml:space="preserve">t</w:t>
      </w:r>
      <w:r>
        <w:t xml:space="preserve"> </w:t>
      </w:r>
      <w:r>
        <w:t xml:space="preserve">= −6.6) and changed by −0.49 points (</w:t>
      </w:r>
      <w:r>
        <w:rPr>
          <w:iCs/>
          <w:i/>
        </w:rPr>
        <w:t xml:space="preserve">t</w:t>
      </w:r>
      <w:r>
        <w:t xml:space="preserve"> </w:t>
      </w:r>
      <w:r>
        <w:t xml:space="preserve">= −1.5). The break at the limit is therefore present before the change and does not depend on the post-change period, although the significance of the raw ceiling close-to-close return and of the raw floor gap does (Table 4). Like the split in Table 4, these comparisons describe timing and do not identify an effect of the auction rules.</w:t>
      </w:r>
    </w:p>
    <w:p>
      <w:pPr>
        <w:pStyle w:val="BodyText"/>
      </w:pPr>
      <w:r>
        <w:rPr>
          <w:bCs/>
          <w:b/>
        </w:rPr>
        <w:t xml:space="preserve">Table 5. Events and overnight gaps (percent, market-adjusted) by calendar quarter of the opening that defines the gap, with two-way-clustered</w:t>
      </w:r>
      <w:r>
        <w:rPr>
          <w:bCs/>
          <w:b/>
        </w:rPr>
        <w:t xml:space="preserve"> </w:t>
      </w:r>
      <w:r>
        <w:rPr>
          <w:iCs/>
          <w:i/>
          <w:bCs/>
          <w:b/>
        </w:rPr>
        <w:t xml:space="preserve">t</w:t>
      </w:r>
      <w:r>
        <w:rPr>
          <w:bCs/>
          <w:b/>
        </w:rPr>
        <w:t xml:space="preserve">-statistics in parentheses.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Quarter</w:t>
            </w:r>
          </w:p>
        </w:tc>
        <w:tc>
          <w:tcPr/>
          <w:p>
            <w:pPr>
              <w:pStyle w:val="Compact"/>
              <w:jc w:val="left"/>
            </w:pPr>
            <w:r>
              <w:t xml:space="preserve">Ceiling events</w:t>
            </w:r>
          </w:p>
        </w:tc>
        <w:tc>
          <w:tcPr/>
          <w:p>
            <w:pPr>
              <w:pStyle w:val="Compact"/>
              <w:jc w:val="left"/>
            </w:pPr>
            <w:r>
              <w:t xml:space="preserve">Ceiling gap</w:t>
            </w:r>
          </w:p>
        </w:tc>
        <w:tc>
          <w:tcPr/>
          <w:p>
            <w:pPr>
              <w:pStyle w:val="Compact"/>
              <w:jc w:val="left"/>
            </w:pPr>
            <w:r>
              <w:t xml:space="preserve">Floor events</w:t>
            </w:r>
          </w:p>
        </w:tc>
        <w:tc>
          <w:tcPr/>
          <w:p>
            <w:pPr>
              <w:pStyle w:val="Compact"/>
              <w:jc w:val="left"/>
            </w:pPr>
            <w:r>
              <w:t xml:space="preserve">Floor gap</w:t>
            </w:r>
          </w:p>
        </w:tc>
      </w:tr>
      <w:tr>
        <w:tc>
          <w:tcPr/>
          <w:p>
            <w:pPr>
              <w:pStyle w:val="Compact"/>
              <w:jc w:val="left"/>
            </w:pPr>
            <w:r>
              <w:t xml:space="preserve">2024-Q4</w:t>
            </w:r>
          </w:p>
        </w:tc>
        <w:tc>
          <w:tcPr/>
          <w:p>
            <w:pPr>
              <w:pStyle w:val="Compact"/>
              <w:jc w:val="left"/>
            </w:pPr>
            <w:r>
              <w:t xml:space="preserve">177</w:t>
            </w:r>
          </w:p>
        </w:tc>
        <w:tc>
          <w:tcPr/>
          <w:p>
            <w:pPr>
              <w:pStyle w:val="Compact"/>
              <w:jc w:val="left"/>
            </w:pPr>
            <w:r>
              <w:t xml:space="preserve">2.16 (5.6)</w:t>
            </w:r>
          </w:p>
        </w:tc>
        <w:tc>
          <w:tcPr/>
          <w:p>
            <w:pPr>
              <w:pStyle w:val="Compact"/>
              <w:jc w:val="left"/>
            </w:pPr>
            <w:r>
              <w:t xml:space="preserve">48</w:t>
            </w:r>
          </w:p>
        </w:tc>
        <w:tc>
          <w:tcPr/>
          <w:p>
            <w:pPr>
              <w:pStyle w:val="Compact"/>
              <w:jc w:val="left"/>
            </w:pPr>
            <w:r>
              <w:t xml:space="preserve">−1.50 (−2.5)</w:t>
            </w:r>
          </w:p>
        </w:tc>
      </w:tr>
      <w:tr>
        <w:tc>
          <w:tcPr/>
          <w:p>
            <w:pPr>
              <w:pStyle w:val="Compact"/>
              <w:jc w:val="left"/>
            </w:pPr>
            <w:r>
              <w:t xml:space="preserve">2025-Q1</w:t>
            </w:r>
          </w:p>
        </w:tc>
        <w:tc>
          <w:tcPr/>
          <w:p>
            <w:pPr>
              <w:pStyle w:val="Compact"/>
              <w:jc w:val="left"/>
            </w:pPr>
            <w:r>
              <w:t xml:space="preserve">295</w:t>
            </w:r>
          </w:p>
        </w:tc>
        <w:tc>
          <w:tcPr/>
          <w:p>
            <w:pPr>
              <w:pStyle w:val="Compact"/>
              <w:jc w:val="left"/>
            </w:pPr>
            <w:r>
              <w:t xml:space="preserve">2.78 (9.1)</w:t>
            </w:r>
          </w:p>
        </w:tc>
        <w:tc>
          <w:tcPr/>
          <w:p>
            <w:pPr>
              <w:pStyle w:val="Compact"/>
              <w:jc w:val="left"/>
            </w:pPr>
            <w:r>
              <w:t xml:space="preserve">79</w:t>
            </w:r>
          </w:p>
        </w:tc>
        <w:tc>
          <w:tcPr/>
          <w:p>
            <w:pPr>
              <w:pStyle w:val="Compact"/>
              <w:jc w:val="left"/>
            </w:pPr>
            <w:r>
              <w:t xml:space="preserve">−1.70 (−3.9)</w:t>
            </w:r>
          </w:p>
        </w:tc>
      </w:tr>
      <w:tr>
        <w:tc>
          <w:tcPr/>
          <w:p>
            <w:pPr>
              <w:pStyle w:val="Compact"/>
              <w:jc w:val="left"/>
            </w:pPr>
            <w:r>
              <w:t xml:space="preserve">2025-Q2</w:t>
            </w:r>
          </w:p>
        </w:tc>
        <w:tc>
          <w:tcPr/>
          <w:p>
            <w:pPr>
              <w:pStyle w:val="Compact"/>
              <w:jc w:val="left"/>
            </w:pPr>
            <w:r>
              <w:t xml:space="preserve">686</w:t>
            </w:r>
          </w:p>
        </w:tc>
        <w:tc>
          <w:tcPr/>
          <w:p>
            <w:pPr>
              <w:pStyle w:val="Compact"/>
              <w:jc w:val="left"/>
            </w:pPr>
            <w:r>
              <w:t xml:space="preserve">1.33 (2.5)</w:t>
            </w:r>
          </w:p>
        </w:tc>
        <w:tc>
          <w:tcPr/>
          <w:p>
            <w:pPr>
              <w:pStyle w:val="Compact"/>
              <w:jc w:val="left"/>
            </w:pPr>
            <w:r>
              <w:t xml:space="preserve">802</w:t>
            </w:r>
          </w:p>
        </w:tc>
        <w:tc>
          <w:tcPr/>
          <w:p>
            <w:pPr>
              <w:pStyle w:val="Compact"/>
              <w:jc w:val="left"/>
            </w:pPr>
            <w:r>
              <w:t xml:space="preserve">−0.34 (−1.5)</w:t>
            </w:r>
          </w:p>
        </w:tc>
      </w:tr>
      <w:tr>
        <w:tc>
          <w:tcPr/>
          <w:p>
            <w:pPr>
              <w:pStyle w:val="Compact"/>
              <w:jc w:val="left"/>
            </w:pPr>
            <w:r>
              <w:t xml:space="preserve">2025-Q3</w:t>
            </w:r>
          </w:p>
        </w:tc>
        <w:tc>
          <w:tcPr/>
          <w:p>
            <w:pPr>
              <w:pStyle w:val="Compact"/>
              <w:jc w:val="left"/>
            </w:pPr>
            <w:r>
              <w:t xml:space="preserve">624</w:t>
            </w:r>
          </w:p>
        </w:tc>
        <w:tc>
          <w:tcPr/>
          <w:p>
            <w:pPr>
              <w:pStyle w:val="Compact"/>
              <w:jc w:val="left"/>
            </w:pPr>
            <w:r>
              <w:t xml:space="preserve">2.99 (16.8)</w:t>
            </w:r>
          </w:p>
        </w:tc>
        <w:tc>
          <w:tcPr/>
          <w:p>
            <w:pPr>
              <w:pStyle w:val="Compact"/>
              <w:jc w:val="left"/>
            </w:pPr>
            <w:r>
              <w:t xml:space="preserve">195</w:t>
            </w:r>
          </w:p>
        </w:tc>
        <w:tc>
          <w:tcPr/>
          <w:p>
            <w:pPr>
              <w:pStyle w:val="Compact"/>
              <w:jc w:val="left"/>
            </w:pPr>
            <w:r>
              <w:t xml:space="preserve">−0.86 (−4.1)</w:t>
            </w:r>
          </w:p>
        </w:tc>
      </w:tr>
      <w:tr>
        <w:tc>
          <w:tcPr/>
          <w:p>
            <w:pPr>
              <w:pStyle w:val="Compact"/>
              <w:jc w:val="left"/>
            </w:pPr>
            <w:r>
              <w:t xml:space="preserve">2025-Q4</w:t>
            </w:r>
          </w:p>
        </w:tc>
        <w:tc>
          <w:tcPr/>
          <w:p>
            <w:pPr>
              <w:pStyle w:val="Compact"/>
              <w:jc w:val="left"/>
            </w:pPr>
            <w:r>
              <w:t xml:space="preserve">426</w:t>
            </w:r>
          </w:p>
        </w:tc>
        <w:tc>
          <w:tcPr/>
          <w:p>
            <w:pPr>
              <w:pStyle w:val="Compact"/>
              <w:jc w:val="left"/>
            </w:pPr>
            <w:r>
              <w:t xml:space="preserve">2.64 (7.4)</w:t>
            </w:r>
          </w:p>
        </w:tc>
        <w:tc>
          <w:tcPr/>
          <w:p>
            <w:pPr>
              <w:pStyle w:val="Compact"/>
              <w:jc w:val="left"/>
            </w:pPr>
            <w:r>
              <w:t xml:space="preserve">280</w:t>
            </w:r>
          </w:p>
        </w:tc>
        <w:tc>
          <w:tcPr/>
          <w:p>
            <w:pPr>
              <w:pStyle w:val="Compact"/>
              <w:jc w:val="left"/>
            </w:pPr>
            <w:r>
              <w:t xml:space="preserve">−1.39 (−2.4)</w:t>
            </w:r>
          </w:p>
        </w:tc>
      </w:tr>
      <w:tr>
        <w:tc>
          <w:tcPr/>
          <w:p>
            <w:pPr>
              <w:pStyle w:val="Compact"/>
              <w:jc w:val="left"/>
            </w:pPr>
            <w:r>
              <w:t xml:space="preserve">2026-Q1</w:t>
            </w:r>
          </w:p>
        </w:tc>
        <w:tc>
          <w:tcPr/>
          <w:p>
            <w:pPr>
              <w:pStyle w:val="Compact"/>
              <w:jc w:val="left"/>
            </w:pPr>
            <w:r>
              <w:t xml:space="preserve">455</w:t>
            </w:r>
          </w:p>
        </w:tc>
        <w:tc>
          <w:tcPr/>
          <w:p>
            <w:pPr>
              <w:pStyle w:val="Compact"/>
              <w:jc w:val="left"/>
            </w:pPr>
            <w:r>
              <w:t xml:space="preserve">2.35 (10.4)</w:t>
            </w:r>
          </w:p>
        </w:tc>
        <w:tc>
          <w:tcPr/>
          <w:p>
            <w:pPr>
              <w:pStyle w:val="Compact"/>
              <w:jc w:val="left"/>
            </w:pPr>
            <w:r>
              <w:t xml:space="preserve">433</w:t>
            </w:r>
          </w:p>
        </w:tc>
        <w:tc>
          <w:tcPr/>
          <w:p>
            <w:pPr>
              <w:pStyle w:val="Compact"/>
              <w:jc w:val="left"/>
            </w:pPr>
            <w:r>
              <w:t xml:space="preserve">−1.39 (−7.8)</w:t>
            </w:r>
          </w:p>
        </w:tc>
      </w:tr>
      <w:tr>
        <w:tc>
          <w:tcPr/>
          <w:p>
            <w:pPr>
              <w:pStyle w:val="Compact"/>
              <w:jc w:val="left"/>
            </w:pPr>
            <w:r>
              <w:t xml:space="preserve">2026-Q2</w:t>
            </w:r>
          </w:p>
        </w:tc>
        <w:tc>
          <w:tcPr/>
          <w:p>
            <w:pPr>
              <w:pStyle w:val="Compact"/>
              <w:jc w:val="left"/>
            </w:pPr>
            <w:r>
              <w:t xml:space="preserve">297</w:t>
            </w:r>
          </w:p>
        </w:tc>
        <w:tc>
          <w:tcPr/>
          <w:p>
            <w:pPr>
              <w:pStyle w:val="Compact"/>
              <w:jc w:val="left"/>
            </w:pPr>
            <w:r>
              <w:t xml:space="preserve">2.08 (7.0)</w:t>
            </w:r>
          </w:p>
        </w:tc>
        <w:tc>
          <w:tcPr/>
          <w:p>
            <w:pPr>
              <w:pStyle w:val="Compact"/>
              <w:jc w:val="left"/>
            </w:pPr>
            <w:r>
              <w:t xml:space="preserve">99</w:t>
            </w:r>
          </w:p>
        </w:tc>
        <w:tc>
          <w:tcPr/>
          <w:p>
            <w:pPr>
              <w:pStyle w:val="Compact"/>
              <w:jc w:val="left"/>
            </w:pPr>
            <w:r>
              <w:t xml:space="preserve">−1.46 (−3.3)</w:t>
            </w:r>
          </w:p>
        </w:tc>
      </w:tr>
      <w:tr>
        <w:tc>
          <w:tcPr/>
          <w:p>
            <w:pPr>
              <w:pStyle w:val="Compact"/>
              <w:jc w:val="left"/>
            </w:pPr>
            <w:r>
              <w:t xml:space="preserve">2026-Q3</w:t>
            </w:r>
          </w:p>
        </w:tc>
        <w:tc>
          <w:tcPr/>
          <w:p>
            <w:pPr>
              <w:pStyle w:val="Compact"/>
              <w:jc w:val="left"/>
            </w:pPr>
            <w:r>
              <w:t xml:space="preserve">239</w:t>
            </w:r>
          </w:p>
        </w:tc>
        <w:tc>
          <w:tcPr/>
          <w:p>
            <w:pPr>
              <w:pStyle w:val="Compact"/>
              <w:jc w:val="left"/>
            </w:pPr>
            <w:r>
              <w:t xml:space="preserve">1.61 (5.4)</w:t>
            </w:r>
          </w:p>
        </w:tc>
        <w:tc>
          <w:tcPr/>
          <w:p>
            <w:pPr>
              <w:pStyle w:val="Compact"/>
              <w:jc w:val="left"/>
            </w:pPr>
            <w:r>
              <w:t xml:space="preserve">175</w:t>
            </w:r>
          </w:p>
        </w:tc>
        <w:tc>
          <w:tcPr/>
          <w:p>
            <w:pPr>
              <w:pStyle w:val="Compact"/>
              <w:jc w:val="left"/>
            </w:pPr>
            <w:r>
              <w:t xml:space="preserve">−1.55 (−2.8)</w:t>
            </w:r>
          </w:p>
        </w:tc>
      </w:tr>
    </w:tbl>
    <w:p>
      <w:pPr>
        <w:pStyle w:val="BodyText"/>
      </w:pPr>
      <w:r>
        <w:t xml:space="preserve">Counts are events with a day-</w:t>
      </w:r>
      <w:r>
        <w:rPr>
          <w:iCs/>
          <w:i/>
        </w:rPr>
        <w:t xml:space="preserve">d</w:t>
      </w:r>
      <w:r>
        <w:t xml:space="preserve">+1 open. The first and last quarters are partial. The KRX platform change falls in 2025-Q2.</w:t>
      </w:r>
    </w:p>
    <w:p>
      <w:pPr>
        <w:pStyle w:val="BodyText"/>
      </w:pPr>
      <w:r>
        <w:t xml:space="preserve">Returns beyond ±8%, which a 7% band does not allow, occur on 96 stock-days and may reflect unadjusted corporate actions or listing-day bands. Dropping every event within five trading days of such a return moves the ceiling gap from 2.24% to 2.26% and the floor gap from −0.97% to −0.98%; the outlier days stay in the market benchmark.</w:t>
      </w:r>
    </w:p>
    <w:p>
      <w:pPr>
        <w:pStyle w:val="BodyText"/>
      </w:pPr>
      <w:r>
        <w:t xml:space="preserve">To bound the effect of a wider search, let</w:t>
      </w:r>
      <w:r>
        <w:t xml:space="preserve"> </w:t>
      </w:r>
      <w:r>
        <w:rPr>
          <w:iCs/>
          <w:i/>
        </w:rPr>
        <w:t xml:space="preserve">p</w:t>
      </w:r>
      <w:r>
        <w:rPr>
          <w:vertAlign w:val="subscript"/>
        </w:rPr>
        <w:t xml:space="preserve">max</w:t>
      </w:r>
      <w:r>
        <w:t xml:space="preserve"> </w:t>
      </w:r>
      <w:r>
        <w:t xml:space="preserve">be the largest event-test</w:t>
      </w:r>
      <w:r>
        <w:t xml:space="preserve"> </w:t>
      </w:r>
      <w:r>
        <w:rPr>
          <w:iCs/>
          <w:i/>
        </w:rPr>
        <w:t xml:space="preserve">p</w:t>
      </w:r>
      <w:r>
        <w:t xml:space="preserve">-value computed with the factor</w:t>
      </w:r>
      <w:r>
        <w:t xml:space="preserve"> </w:t>
      </w:r>
      <w:r>
        <w:rPr>
          <w:iCs/>
          <w:i/>
        </w:rPr>
        <w:t xml:space="preserve">G</w:t>
      </w:r>
      <w:r>
        <w:t xml:space="preserve">/(</w:t>
      </w:r>
      <w:r>
        <w:rPr>
          <w:iCs/>
          <w:i/>
        </w:rPr>
        <w:t xml:space="preserve">G</w:t>
      </w:r>
      <w:r>
        <w:t xml:space="preserve"> </w:t>
      </w:r>
      <w:r>
        <w:t xml:space="preserve">− 1) and a</w:t>
      </w:r>
      <w:r>
        <w:t xml:space="preserve"> </w:t>
      </w:r>
      <w:r>
        <w:rPr>
          <w:iCs/>
          <w:i/>
        </w:rPr>
        <w:t xml:space="preserve">t</w:t>
      </w:r>
      <w:r>
        <w:t xml:space="preserve"> </w:t>
      </w:r>
      <w:r>
        <w:t xml:space="preserve">reference. All four event tests survive a Bonferroni correction at 5% in families of up to</w:t>
      </w:r>
      <w:r>
        <w:t xml:space="preserve"> </w:t>
      </w:r>
      <w:r>
        <w:rPr>
          <w:iCs/>
          <w:i/>
        </w:rPr>
        <w:t xml:space="preserve">m</w:t>
      </w:r>
      <w:r>
        <w:rPr>
          <w:vertAlign w:val="subscript"/>
        </w:rPr>
        <w:t xml:space="preserve">max</w:t>
      </w:r>
      <w:r>
        <w:t xml:space="preserve"> </w:t>
      </w:r>
      <w:r>
        <w:t xml:space="preserve">= ⌊ 0.05 /</w:t>
      </w:r>
      <w:r>
        <w:t xml:space="preserve"> </w:t>
      </w:r>
      <w:r>
        <w:rPr>
          <w:iCs/>
          <w:i/>
        </w:rPr>
        <w:t xml:space="preserve">p</w:t>
      </w:r>
      <w:r>
        <w:rPr>
          <w:vertAlign w:val="subscript"/>
        </w:rPr>
        <w:t xml:space="preserve">max</w:t>
      </w:r>
      <w:r>
        <w:t xml:space="preserve"> </w:t>
      </w:r>
      <w:r>
        <w:t xml:space="preserve">⌋ tests: 683 with date clusters and 125 with calendar-week clusters (</w:t>
      </w:r>
      <w:r>
        <w:rPr>
          <w:iCs/>
          <w:i/>
        </w:rPr>
        <w:t xml:space="preserve">p</w:t>
      </w:r>
      <w:r>
        <w:rPr>
          <w:vertAlign w:val="subscript"/>
        </w:rPr>
        <w:t xml:space="preserve">max</w:t>
      </w:r>
      <w:r>
        <w:t xml:space="preserve"> </w:t>
      </w:r>
      <w:r>
        <w:t xml:space="preserve">of 0.00007 and 0.00040). The bound limits false discoveries but leaves the upward bias in effect sizes untouched. The four event tests also survive every alternative family definition we consider: the four event tests as their own family, separate ceiling and floor families, the 26 tests under Holm or Bonferroni adjustment, a 28-test family that adds the days</w:t>
      </w:r>
      <w:r>
        <w:t xml:space="preserve"> </w:t>
      </w:r>
      <w:r>
        <w:rPr>
          <w:iCs/>
          <w:i/>
        </w:rPr>
        <w:t xml:space="preserve">d</w:t>
      </w:r>
      <w:r>
        <w:t xml:space="preserve">+2 to</w:t>
      </w:r>
      <w:r>
        <w:t xml:space="preserve"> </w:t>
      </w:r>
      <w:r>
        <w:rPr>
          <w:iCs/>
          <w:i/>
        </w:rPr>
        <w:t xml:space="preserve">d</w:t>
      </w:r>
      <w:r>
        <w:t xml:space="preserve">+5 outcomes, and week-clustered event</w:t>
      </w:r>
      <w:r>
        <w:t xml:space="preserve"> </w:t>
      </w:r>
      <w:r>
        <w:rPr>
          <w:iCs/>
          <w:i/>
        </w:rPr>
        <w:t xml:space="preserve">p</w:t>
      </w:r>
      <w:r>
        <w:t xml:space="preserve">-values; the largest adjusted</w:t>
      </w:r>
      <w:r>
        <w:t xml:space="preserve"> </w:t>
      </w:r>
      <w:r>
        <w:rPr>
          <w:iCs/>
          <w:i/>
        </w:rPr>
        <w:t xml:space="preserve">p</w:t>
      </w:r>
      <w:r>
        <w:t xml:space="preserve">-value across these definitions is 0.0026 (table C32 in S1 File).</w:t>
      </w:r>
    </w:p>
    <w:p>
      <w:pPr>
        <w:pStyle w:val="BodyText"/>
      </w:pPr>
      <w:r>
        <w:t xml:space="preserve">Event definitions that do not depend on the tick grid give the same picture (table C28 in S1 File). The ceiling gap is 2.07% for returns of at least 6.0% that close at the high, 2.33% at 6.8%, 2.35% for returns between 6.7% and 7.3%, 2.10% without the close-at-high condition, and 2.91% on days locked at one price (all</w:t>
      </w:r>
      <w:r>
        <w:t xml:space="preserve"> </w:t>
      </w:r>
      <w:r>
        <w:rPr>
          <w:iCs/>
          <w:i/>
        </w:rPr>
        <w:t xml:space="preserve">t</w:t>
      </w:r>
      <w:r>
        <w:t xml:space="preserve"> </w:t>
      </w:r>
      <w:r>
        <w:t xml:space="preserve">above 2.9); the floor gap ranges from −0.79% to −2.50%.</w:t>
      </w:r>
    </w:p>
    <w:p>
      <w:pPr>
        <w:pStyle w:val="BodyText"/>
      </w:pPr>
      <w:r>
        <w:t xml:space="preserve">The results support H</w:t>
      </w:r>
      <w:r>
        <w:rPr>
          <w:vertAlign w:val="subscript"/>
        </w:rPr>
        <w:t xml:space="preserve">1</w:t>
      </w:r>
      <w:r>
        <w:t xml:space="preserve"> </w:t>
      </w:r>
      <w:r>
        <w:t xml:space="preserve">to H</w:t>
      </w:r>
      <w:r>
        <w:rPr>
          <w:vertAlign w:val="subscript"/>
        </w:rPr>
        <w:t xml:space="preserve">4</w:t>
      </w:r>
      <w:r>
        <w:t xml:space="preserve">. The ceiling effect survives alternative benchmarks, clusters, and event definitions and takes the form of a one-day gap with a partial reversal that a buyer at the quoted next open cannot capture. The floor effect combines a gap with drift that appears only before the 2025 platform change, and its size depends on the benchmark.</w:t>
      </w:r>
    </w:p>
    <w:bookmarkEnd w:id="31"/>
    <w:bookmarkStart w:id="33" w:name="discussion"/>
    <w:p>
      <w:pPr>
        <w:pStyle w:val="Heading1"/>
      </w:pPr>
      <w:r>
        <w:t xml:space="preserve">Discussion</w:t>
      </w:r>
    </w:p>
    <w:p>
      <w:pPr>
        <w:pStyle w:val="FirstParagraph"/>
      </w:pPr>
      <w:r>
        <w:t xml:space="preserve">Our decomposition adds timing to the evidence of Kim and Rhee [13]: on HOSE the continuation after ceiling closes arrives at the next opening and ends after the first day, and the intraday giveback is a one-day analogue of the cross-period reversal in Lou et al. [28]. A pure attention reading must explain the contrast with stocks that moved almost as far, including those that also closed at their high, and a gap-only reading cannot explain the pre-change post-open drift after floor closes.</w:t>
      </w:r>
    </w:p>
    <w:p>
      <w:pPr>
        <w:pStyle w:val="BodyText"/>
      </w:pPr>
      <w:r>
        <w:t xml:space="preserve">None of the studies identified by our search (S1 Appendix) reports the next-day abnormal return, overnight gap, or intraday return after a limit close in a form that matches ours, so Table 6 compares signs, timing, and mechanism.</w:t>
      </w:r>
    </w:p>
    <w:p>
      <w:pPr>
        <w:pStyle w:val="BodyText"/>
      </w:pPr>
      <w:r>
        <w:rPr>
          <w:bCs/>
          <w:b/>
        </w:rPr>
        <w:t xml:space="preserve">Table 6. Comparison with earlier studies.</w:t>
      </w:r>
    </w:p>
    <w:tbl>
      <w:tblPr>
        <w:tblStyle w:val="Table"/>
        <w:tblW w:type="pct" w:w="5000"/>
        <w:tblLook w:firstRow="1" w:lastRow="0" w:firstColumn="0" w:lastColumn="0" w:noHBand="0" w:noVBand="0" w:val="0020"/>
        <w:jc w:val="start"/>
      </w:tblPr>
      <w:tblGrid>
        <w:gridCol w:w="955"/>
        <w:gridCol w:w="682"/>
        <w:gridCol w:w="2785"/>
        <w:gridCol w:w="3495"/>
      </w:tblGrid>
      <w:tr>
        <w:trPr>
          <w:tblHeader w:val="true"/>
        </w:trPr>
        <w:tc>
          <w:tcPr/>
          <w:p>
            <w:pPr>
              <w:pStyle w:val="Compact"/>
              <w:jc w:val="left"/>
            </w:pPr>
            <w:r>
              <w:t xml:space="preserve">Study</w:t>
            </w:r>
          </w:p>
        </w:tc>
        <w:tc>
          <w:tcPr/>
          <w:p>
            <w:pPr>
              <w:pStyle w:val="Compact"/>
              <w:jc w:val="left"/>
            </w:pPr>
            <w:r>
              <w:t xml:space="preserve">Setting</w:t>
            </w:r>
          </w:p>
        </w:tc>
        <w:tc>
          <w:tcPr/>
          <w:p>
            <w:pPr>
              <w:pStyle w:val="Compact"/>
              <w:jc w:val="left"/>
            </w:pPr>
            <w:r>
              <w:t xml:space="preserve">Reported finding</w:t>
            </w:r>
          </w:p>
        </w:tc>
        <w:tc>
          <w:tcPr/>
          <w:p>
            <w:pPr>
              <w:pStyle w:val="Compact"/>
              <w:jc w:val="left"/>
            </w:pPr>
            <w:r>
              <w:t xml:space="preserve">Relation to our result</w:t>
            </w:r>
          </w:p>
        </w:tc>
      </w:tr>
      <w:tr>
        <w:tc>
          <w:tcPr/>
          <w:p>
            <w:pPr>
              <w:pStyle w:val="Compact"/>
              <w:jc w:val="left"/>
            </w:pPr>
            <w:r>
              <w:t xml:space="preserve">Kim and Rhee [13]</w:t>
            </w:r>
          </w:p>
        </w:tc>
        <w:tc>
          <w:tcPr/>
          <w:p>
            <w:pPr>
              <w:pStyle w:val="Compact"/>
              <w:jc w:val="left"/>
            </w:pPr>
            <w:r>
              <w:t xml:space="preserve">Tokyo; limit hits</w:t>
            </w:r>
          </w:p>
        </w:tc>
        <w:tc>
          <w:tcPr/>
          <w:p>
            <w:pPr>
              <w:pStyle w:val="Compact"/>
              <w:jc w:val="left"/>
            </w:pPr>
            <w:r>
              <w:t xml:space="preserve">Volatility spillover, delayed price discovery, and trading interference</w:t>
            </w:r>
          </w:p>
        </w:tc>
        <w:tc>
          <w:tcPr/>
          <w:p>
            <w:pPr>
              <w:pStyle w:val="Compact"/>
              <w:jc w:val="left"/>
            </w:pPr>
            <w:r>
              <w:t xml:space="preserve">Ceiling next-day return consistent with delayed price discovery; spillover and interference not tested</w:t>
            </w:r>
          </w:p>
        </w:tc>
      </w:tr>
      <w:tr>
        <w:tc>
          <w:tcPr/>
          <w:p>
            <w:pPr>
              <w:pStyle w:val="Compact"/>
              <w:jc w:val="left"/>
            </w:pPr>
            <w:r>
              <w:t xml:space="preserve">Berkman and Lee [16]</w:t>
            </w:r>
          </w:p>
        </w:tc>
        <w:tc>
          <w:tcPr/>
          <w:p>
            <w:pPr>
              <w:pStyle w:val="Compact"/>
              <w:jc w:val="left"/>
            </w:pPr>
            <w:r>
              <w:t xml:space="preserve">Korea; limit revision</w:t>
            </w:r>
          </w:p>
        </w:tc>
        <w:tc>
          <w:tcPr/>
          <w:p>
            <w:pPr>
              <w:pStyle w:val="Compact"/>
              <w:jc w:val="left"/>
            </w:pPr>
            <w:r>
              <w:t xml:space="preserve">Volatility and trading activity around the revision</w:t>
            </w:r>
          </w:p>
        </w:tc>
        <w:tc>
          <w:tcPr/>
          <w:p>
            <w:pPr>
              <w:pStyle w:val="Compact"/>
              <w:jc w:val="left"/>
            </w:pPr>
            <w:r>
              <w:t xml:space="preserve">Different question</w:t>
            </w:r>
          </w:p>
        </w:tc>
      </w:tr>
      <w:tr>
        <w:tc>
          <w:tcPr/>
          <w:p>
            <w:pPr>
              <w:pStyle w:val="Compact"/>
              <w:jc w:val="left"/>
            </w:pPr>
            <w:r>
              <w:t xml:space="preserve">Huang et al. [5]</w:t>
            </w:r>
          </w:p>
        </w:tc>
        <w:tc>
          <w:tcPr/>
          <w:p>
            <w:pPr>
              <w:pStyle w:val="Compact"/>
              <w:jc w:val="left"/>
            </w:pPr>
            <w:r>
              <w:t xml:space="preserve">Taiwan; limit hits</w:t>
            </w:r>
          </w:p>
        </w:tc>
        <w:tc>
          <w:tcPr/>
          <w:p>
            <w:pPr>
              <w:pStyle w:val="Compact"/>
              <w:jc w:val="left"/>
            </w:pPr>
            <w:r>
              <w:t xml:space="preserve">Overnight overreaction after limit hits corrected the next day</w:t>
            </w:r>
          </w:p>
        </w:tc>
        <w:tc>
          <w:tcPr/>
          <w:p>
            <w:pPr>
              <w:pStyle w:val="Compact"/>
              <w:jc w:val="left"/>
            </w:pPr>
            <w:r>
              <w:t xml:space="preserve">Same timing: positive gap, partial intraday reversal</w:t>
            </w:r>
          </w:p>
        </w:tc>
      </w:tr>
      <w:tr>
        <w:tc>
          <w:tcPr/>
          <w:p>
            <w:pPr>
              <w:pStyle w:val="Compact"/>
              <w:jc w:val="left"/>
            </w:pPr>
            <w:r>
              <w:t xml:space="preserve">Cho et al. [17]</w:t>
            </w:r>
          </w:p>
        </w:tc>
        <w:tc>
          <w:tcPr/>
          <w:p>
            <w:pPr>
              <w:pStyle w:val="Compact"/>
              <w:jc w:val="left"/>
            </w:pPr>
            <w:r>
              <w:t xml:space="preserve">Taiwan; five-minute data</w:t>
            </w:r>
          </w:p>
        </w:tc>
        <w:tc>
          <w:tcPr/>
          <w:p>
            <w:pPr>
              <w:pStyle w:val="Compact"/>
              <w:jc w:val="left"/>
            </w:pPr>
            <w:r>
              <w:t xml:space="preserve">Prices accelerate toward the upper limit</w:t>
            </w:r>
          </w:p>
        </w:tc>
        <w:tc>
          <w:tcPr/>
          <w:p>
            <w:pPr>
              <w:pStyle w:val="Compact"/>
              <w:jc w:val="left"/>
            </w:pPr>
            <w:r>
              <w:t xml:space="preserve">Not tested; no intraday prices</w:t>
            </w:r>
          </w:p>
        </w:tc>
      </w:tr>
      <w:tr>
        <w:tc>
          <w:tcPr/>
          <w:p>
            <w:pPr>
              <w:pStyle w:val="Compact"/>
              <w:jc w:val="left"/>
            </w:pPr>
            <w:r>
              <w:t xml:space="preserve">Chen et al. [4]</w:t>
            </w:r>
          </w:p>
        </w:tc>
        <w:tc>
          <w:tcPr/>
          <w:p>
            <w:pPr>
              <w:pStyle w:val="Compact"/>
              <w:jc w:val="left"/>
            </w:pPr>
            <w:r>
              <w:t xml:space="preserve">Shenzhen; accounts</w:t>
            </w:r>
          </w:p>
        </w:tc>
        <w:tc>
          <w:tcPr/>
          <w:p>
            <w:pPr>
              <w:pStyle w:val="Compact"/>
              <w:jc w:val="left"/>
            </w:pPr>
            <w:r>
              <w:t xml:space="preserve">Large investors buy on the limit day and sell the next; their net buying predicts long-run reversal</w:t>
            </w:r>
          </w:p>
        </w:tc>
        <w:tc>
          <w:tcPr/>
          <w:p>
            <w:pPr>
              <w:pStyle w:val="Compact"/>
              <w:jc w:val="left"/>
            </w:pPr>
            <w:r>
              <w:t xml:space="preserve">Consistent with our intraday reversal; no account identities</w:t>
            </w:r>
          </w:p>
        </w:tc>
      </w:tr>
      <w:tr>
        <w:tc>
          <w:tcPr/>
          <w:p>
            <w:pPr>
              <w:pStyle w:val="Compact"/>
              <w:jc w:val="left"/>
            </w:pPr>
            <w:r>
              <w:t xml:space="preserve">Qi [3]</w:t>
            </w:r>
          </w:p>
        </w:tc>
        <w:tc>
          <w:tcPr/>
          <w:p>
            <w:pPr>
              <w:pStyle w:val="Compact"/>
              <w:jc w:val="left"/>
            </w:pPr>
            <w:r>
              <w:t xml:space="preserve">ChiNext; band 10% to 20%</w:t>
            </w:r>
          </w:p>
        </w:tc>
        <w:tc>
          <w:tcPr/>
          <w:p>
            <w:pPr>
              <w:pStyle w:val="Compact"/>
              <w:jc w:val="left"/>
            </w:pPr>
            <w:r>
              <w:t xml:space="preserve">Delayed price discovery, spillover, and interference, stronger at the lower limit; no magnet effect</w:t>
            </w:r>
          </w:p>
        </w:tc>
        <w:tc>
          <w:tcPr/>
          <w:p>
            <w:pPr>
              <w:pStyle w:val="Compact"/>
              <w:jc w:val="left"/>
            </w:pPr>
            <w:r>
              <w:t xml:space="preserve">Different outcome (market quality); here both limit closes carry a next-day return, the floor effect depending on the benchmark</w:t>
            </w:r>
          </w:p>
        </w:tc>
      </w:tr>
      <w:tr>
        <w:tc>
          <w:tcPr/>
          <w:p>
            <w:pPr>
              <w:pStyle w:val="Compact"/>
              <w:jc w:val="left"/>
            </w:pPr>
            <w:r>
              <w:t xml:space="preserve">Lin et al. [22]; Zeng et al. [23]</w:t>
            </w:r>
          </w:p>
        </w:tc>
        <w:tc>
          <w:tcPr/>
          <w:p>
            <w:pPr>
              <w:pStyle w:val="Compact"/>
              <w:jc w:val="left"/>
            </w:pPr>
            <w:r>
              <w:t xml:space="preserve">China; cross-section</w:t>
            </w:r>
          </w:p>
        </w:tc>
        <w:tc>
          <w:tcPr/>
          <w:p>
            <w:pPr>
              <w:pStyle w:val="Compact"/>
              <w:jc w:val="left"/>
            </w:pPr>
            <w:r>
              <w:t xml:space="preserve">Large limit exposure or frequent upper-limit hits predict lower returns</w:t>
            </w:r>
          </w:p>
        </w:tc>
        <w:tc>
          <w:tcPr/>
          <w:p>
            <w:pPr>
              <w:pStyle w:val="Compact"/>
              <w:jc w:val="left"/>
            </w:pPr>
            <w:r>
              <w:t xml:space="preserve">Different horizon; a one-day gain can coexist with later reversal, which we do not measure</w:t>
            </w:r>
          </w:p>
        </w:tc>
      </w:tr>
      <w:tr>
        <w:tc>
          <w:tcPr/>
          <w:p>
            <w:pPr>
              <w:pStyle w:val="Compact"/>
              <w:jc w:val="left"/>
            </w:pPr>
            <w:r>
              <w:t xml:space="preserve">Berkman et al. [26]</w:t>
            </w:r>
          </w:p>
        </w:tc>
        <w:tc>
          <w:tcPr/>
          <w:p>
            <w:pPr>
              <w:pStyle w:val="Compact"/>
              <w:jc w:val="left"/>
            </w:pPr>
            <w:r>
              <w:t xml:space="preserve">U.S.; intraday data</w:t>
            </w:r>
          </w:p>
        </w:tc>
        <w:tc>
          <w:tcPr/>
          <w:p>
            <w:pPr>
              <w:pStyle w:val="Compact"/>
              <w:jc w:val="left"/>
            </w:pPr>
            <w:r>
              <w:t xml:space="preserve">Overnight gains, intraday reversals, concentrated in high-attention stocks</w:t>
            </w:r>
          </w:p>
        </w:tc>
        <w:tc>
          <w:tcPr/>
          <w:p>
            <w:pPr>
              <w:pStyle w:val="Compact"/>
              <w:jc w:val="left"/>
            </w:pPr>
            <w:r>
              <w:t xml:space="preserve">Same signs; the gap also rises with volume and prior return</w:t>
            </w:r>
          </w:p>
        </w:tc>
      </w:tr>
      <w:tr>
        <w:tc>
          <w:tcPr/>
          <w:p>
            <w:pPr>
              <w:pStyle w:val="Compact"/>
              <w:jc w:val="left"/>
            </w:pPr>
            <w:r>
              <w:t xml:space="preserve">Lou et al. [28]</w:t>
            </w:r>
          </w:p>
        </w:tc>
        <w:tc>
          <w:tcPr/>
          <w:p>
            <w:pPr>
              <w:pStyle w:val="Compact"/>
              <w:jc w:val="left"/>
            </w:pPr>
            <w:r>
              <w:t xml:space="preserve">U.S.; stock returns</w:t>
            </w:r>
          </w:p>
        </w:tc>
        <w:tc>
          <w:tcPr/>
          <w:p>
            <w:pPr>
              <w:pStyle w:val="Compact"/>
              <w:jc w:val="left"/>
            </w:pPr>
            <w:r>
              <w:t xml:space="preserve">Overnight and intraday continuation, offsetting cross-period reversal</w:t>
            </w:r>
          </w:p>
        </w:tc>
        <w:tc>
          <w:tcPr/>
          <w:p>
            <w:pPr>
              <w:pStyle w:val="Compact"/>
              <w:jc w:val="left"/>
            </w:pPr>
            <w:r>
              <w:t xml:space="preserve">Gap-then-reversal has the sign of that cross-period reversal at one day</w:t>
            </w:r>
          </w:p>
        </w:tc>
      </w:tr>
      <w:tr>
        <w:tc>
          <w:tcPr/>
          <w:p>
            <w:pPr>
              <w:pStyle w:val="Compact"/>
              <w:jc w:val="left"/>
            </w:pPr>
            <w:r>
              <w:t xml:space="preserve">Qiao and Dam [32]</w:t>
            </w:r>
          </w:p>
        </w:tc>
        <w:tc>
          <w:tcPr/>
          <w:p>
            <w:pPr>
              <w:pStyle w:val="Compact"/>
              <w:jc w:val="left"/>
            </w:pPr>
            <w:r>
              <w:t xml:space="preserve">China A-shares</w:t>
            </w:r>
          </w:p>
        </w:tc>
        <w:tc>
          <w:tcPr/>
          <w:p>
            <w:pPr>
              <w:pStyle w:val="Compact"/>
              <w:jc w:val="left"/>
            </w:pPr>
            <w:r>
              <w:t xml:space="preserve">Negative average overnight return; T+1 rule lowers opening prices</w:t>
            </w:r>
          </w:p>
        </w:tc>
        <w:tc>
          <w:tcPr/>
          <w:p>
            <w:pPr>
              <w:pStyle w:val="Compact"/>
              <w:jc w:val="left"/>
            </w:pPr>
            <w:r>
              <w:t xml:space="preserve">Opposite sign: positive overnight return after ceiling closes</w:t>
            </w:r>
          </w:p>
        </w:tc>
      </w:tr>
      <w:tr>
        <w:tc>
          <w:tcPr/>
          <w:p>
            <w:pPr>
              <w:pStyle w:val="Compact"/>
              <w:jc w:val="left"/>
            </w:pPr>
            <w:r>
              <w:t xml:space="preserve">Hou et al. [38]; Harvey et al. [7]</w:t>
            </w:r>
          </w:p>
        </w:tc>
        <w:tc>
          <w:tcPr/>
          <w:p>
            <w:pPr>
              <w:pStyle w:val="Compact"/>
              <w:jc w:val="left"/>
            </w:pPr>
            <w:r>
              <w:t xml:space="preserve">U.S.; anomalies</w:t>
            </w:r>
          </w:p>
        </w:tc>
        <w:tc>
          <w:tcPr/>
          <w:p>
            <w:pPr>
              <w:pStyle w:val="Compact"/>
              <w:jc w:val="left"/>
            </w:pPr>
            <w:r>
              <w:t xml:space="preserve">With microcaps mitigated, 65% of 452 anomalies fail the 1.96 hurdle; a new factor needs</w:t>
            </w:r>
            <w:r>
              <w:t xml:space="preserve"> </w:t>
            </w:r>
            <w:r>
              <w:rPr>
                <w:iCs/>
                <w:i/>
              </w:rPr>
              <w:t xml:space="preserve">t</w:t>
            </w:r>
            <w:r>
              <w:t xml:space="preserve"> </w:t>
            </w:r>
            <w:r>
              <w:t xml:space="preserve">above 3.0</w:t>
            </w:r>
          </w:p>
        </w:tc>
        <w:tc>
          <w:tcPr/>
          <w:p>
            <w:pPr>
              <w:pStyle w:val="Compact"/>
              <w:jc w:val="left"/>
            </w:pPr>
            <w:r>
              <w:t xml:space="preserve">None of our 22 characteristics reaches 1.96 in the full sample</w:t>
            </w:r>
          </w:p>
        </w:tc>
      </w:tr>
    </w:tbl>
    <w:p>
      <w:pPr>
        <w:pStyle w:val="BodyText"/>
      </w:pPr>
      <w:r>
        <w:t xml:space="preserve">Findings are as reported in each source’s abstract or in the records we could access.</w:t>
      </w:r>
    </w:p>
    <w:p>
      <w:pPr>
        <w:pStyle w:val="BodyText"/>
      </w:pPr>
      <w:r>
        <w:t xml:space="preserve">A 7% band leaves room for a large overnight gap, so the opening auction may do much of the adjustment that a wider band would allow on day</w:t>
      </w:r>
      <w:r>
        <w:t xml:space="preserve"> </w:t>
      </w:r>
      <w:r>
        <w:rPr>
          <w:iCs/>
          <w:i/>
        </w:rPr>
        <w:t xml:space="preserve">d</w:t>
      </w:r>
      <w:r>
        <w:t xml:space="preserve">. The floor results after at-the-open orders lost priority (Table 4) fit auction design shaping how the opening absorbs overnight pressure, but the market period changed at the same time; a band change on HOSE, like the ChiNext widening that Qi [3] studies, would give a natural experiment.</w:t>
      </w:r>
    </w:p>
    <w:p>
      <w:pPr>
        <w:pStyle w:val="BodyText"/>
      </w:pPr>
      <w:r>
        <w:t xml:space="preserve">The volume and prior-return results also fit an attention channel in which the limit amplifies demand: a stock at its ceiling may appear on screens and rankings the next morning, and a queue at the limit may signal excess demand. With noise traders overnight, arbitrageurs by day, and market makers absorbing retail imbalances near the open [29,31], a limit would add a visible, rule-based trigger to an attention mechanism that operates without limits.</w:t>
      </w:r>
    </w:p>
    <w:p>
      <w:pPr>
        <w:pStyle w:val="BodyText"/>
      </w:pPr>
      <w:r>
        <w:t xml:space="preserve">Ceiling closes cover about 2.0% of stock-days in the event window, and the low-powered characteristic null says little about the cross-section, so we make no claim that limit closes explain the cross-section of returns.</w:t>
      </w:r>
    </w:p>
    <w:p>
      <w:pPr>
        <w:pStyle w:val="BodyText"/>
      </w:pPr>
      <w:r>
        <w:t xml:space="preserve">The estimates describe what follows limit closes on HOSE in 2024 to 2026. They cannot show what the limit does to price discovery: the band does not vary, no period lacks a limit, and we measure none of the benefits a limit is meant to deliver. For investors, buying ceiling stocks at the quoted next open lost money against the market by the fifth close, excluding costs and rationing at the open.</w:t>
      </w:r>
    </w:p>
    <w:bookmarkStart w:id="32" w:name="limitations"/>
    <w:p>
      <w:pPr>
        <w:pStyle w:val="Heading2"/>
      </w:pPr>
      <w:r>
        <w:t xml:space="preserve">Limitations</w:t>
      </w:r>
    </w:p>
    <w:p>
      <w:pPr>
        <w:numPr>
          <w:ilvl w:val="0"/>
          <w:numId w:val="1001"/>
        </w:numPr>
        <w:pStyle w:val="Compact"/>
      </w:pPr>
      <w:r>
        <w:t xml:space="preserve">The sample covers 519 trading days on one exchange, with one platform change and a period of market stress. (ii) Without order-book, investor-type, announcement, or news data, we infer the unfilled-demand mechanism and cannot separate it from selection on news. (iii) The 7% band, reference price, and platform change come from brokerage and press descriptions, checked against returns but not against exchange circulars; tick sizes, reference prices on corporate-action days, and wider bands for first-day listings and resumed trading are assumptions. (iv) The vendor appears to adjust earlier prices for later corporate actions. For stocks priced at 10 thousand dong or more, 25%, 31%, and 58% of 2024, 2025, and 2026 closes are tick multiples, against 100% below 10 thousand dong (an uninformative check, since the 0.01 tick equals the two-decimal resolution of the files), and near hits make up 62% of ceiling events for the higher-priced stocks against 23% for the others. Proportional adjustment leaves returns (except on ex-dates), the close-at-high rule, and locked days unchanged but makes the exact-hit classification of Equation (3) unreliable, so we treat that split as a data check, not a measure of distance to the limit. The listing snapshot excludes stocks delisted before the download. (v) Events in one market episode may depend on each other beyond our clustering, and we computed no calendar-time portfolio estimates or standard errors robust to both cross-sectional and serial dependence. (vi) Several characteristics (5-day return, MAX, MIN, move frequency, overnight return) share inputs with the event definition, and the Corwin–Schultz spread and range volatility use limit-censored highs and lows. (vii) The floor effect depends on the benchmark, and we built no beta- and size-matched control for the five-day outcome. (viii) The characteristic tests have limited power, and effect sizes may carry winner’s-curse bias from choosing this question among several screened on the same data.</w:t>
      </w:r>
    </w:p>
    <w:bookmarkEnd w:id="32"/>
    <w:bookmarkEnd w:id="33"/>
    <w:bookmarkStart w:id="34" w:name="conclusions"/>
    <w:p>
      <w:pPr>
        <w:pStyle w:val="Heading1"/>
      </w:pPr>
      <w:r>
        <w:t xml:space="preserve">Conclusions</w:t>
      </w:r>
    </w:p>
    <w:p>
      <w:pPr>
        <w:pStyle w:val="FirstParagraph"/>
      </w:pPr>
      <w:r>
        <w:t xml:space="preserve">Of 26 tests on 347 HOSE stocks, the four price-limit tests survive FDR control and the confirmation-half check, and the 22 lower-powered characteristic tests do not. After a ceiling close, the next-day abnormal return of 1.7% is an overnight gap of 2.2% less an intraday reversal of 0.5%. The gap is 2.7 percentage points larger than for stocks that rose 5% to 6.5% and 3.1 points larger than for those among them that also closed at their high. After a floor close, the overnight gap is −1.0%. An outside buyer at the next open loses 0.7% against the market by the fifth close. The pattern is consistent with delayed price discovery at the limit, but news, attention, and opening-auction overshooting remain possible explanations; longer samples, announcement time stamps, and order-book queues would let future work separate them.</w:t>
      </w:r>
    </w:p>
    <w:bookmarkEnd w:id="34"/>
    <w:bookmarkStart w:id="35" w:name="acknowledgments"/>
    <w:p>
      <w:pPr>
        <w:pStyle w:val="Heading1"/>
      </w:pPr>
      <w:r>
        <w:t xml:space="preserve">Acknowledgments</w:t>
      </w:r>
    </w:p>
    <w:p>
      <w:pPr>
        <w:pStyle w:val="FirstParagraph"/>
      </w:pPr>
      <w:r>
        <w:t xml:space="preserve">The authors used Claude (Anthropic), a generative AI assistant, to run the literature searches (S1 Appendix), write analysis code, draft text, and check numbers against output files. The authors reviewed all AI-assisted output and are responsible for the content. References and the institutional facts on the Ho Chi Minh Stock Exchange were checked by web search; exchange circulars were not consulted.</w:t>
      </w:r>
    </w:p>
    <w:bookmarkEnd w:id="35"/>
    <w:bookmarkStart w:id="38" w:name="references"/>
    <w:p>
      <w:pPr>
        <w:pStyle w:val="Heading1"/>
      </w:pPr>
      <w:r>
        <w:t xml:space="preserve">References</w:t>
      </w:r>
    </w:p>
    <w:p>
      <w:pPr>
        <w:numPr>
          <w:ilvl w:val="0"/>
          <w:numId w:val="1002"/>
        </w:numPr>
      </w:pPr>
      <w:r>
        <w:t xml:space="preserve">Jia S, An Y, Yang L, Zhou F. Price limit relaxation and stock price crash risk: Evidence from China. Finance Research Letters. 2024;59: 104715. doi: 10.1016/j.frl.2023.104715</w:t>
      </w:r>
    </w:p>
    <w:p>
      <w:pPr>
        <w:numPr>
          <w:ilvl w:val="0"/>
          <w:numId w:val="1002"/>
        </w:numPr>
      </w:pPr>
      <w:r>
        <w:t xml:space="preserve">Lien D, Hung PH, Zhu JD, Chen YH. Price limit changes and market quality in the Taiwan Stock Exchange. Pacific-Basin Finance Journal. 2019;55: 239–258.</w:t>
      </w:r>
    </w:p>
    <w:p>
      <w:pPr>
        <w:numPr>
          <w:ilvl w:val="0"/>
          <w:numId w:val="1002"/>
        </w:numPr>
      </w:pPr>
      <w:r>
        <w:t xml:space="preserve">Qi B. Effectiveness of price limits: Evidence from China’s ChiNext market. PLOS ONE. 2023;18(6): e0287548. doi: 10.1371/journal.pone.0287548</w:t>
      </w:r>
    </w:p>
    <w:p>
      <w:pPr>
        <w:numPr>
          <w:ilvl w:val="0"/>
          <w:numId w:val="1002"/>
        </w:numPr>
      </w:pPr>
      <w:r>
        <w:t xml:space="preserve">Chen T, Gao Z, He J, Jiang W, Xiong W. Daily price limits and destructive market behavior. Journal of Econometrics. 2019;208(1): 249–264. doi: 10.1016/j.jeconom.2018.09.014</w:t>
      </w:r>
    </w:p>
    <w:p>
      <w:pPr>
        <w:numPr>
          <w:ilvl w:val="0"/>
          <w:numId w:val="1002"/>
        </w:numPr>
      </w:pPr>
      <w:r>
        <w:t xml:space="preserve">Huang YS, Fu TW, Ke MC. Daily price limits and stock price behavior: Evidence from the Taiwan Stock Exchange. International Review of Economics &amp; Finance. 2001;10(3): 263–288.</w:t>
      </w:r>
    </w:p>
    <w:p>
      <w:pPr>
        <w:numPr>
          <w:ilvl w:val="0"/>
          <w:numId w:val="1002"/>
        </w:numPr>
      </w:pPr>
      <w:r>
        <w:t xml:space="preserve">Benjamini Y, Hochberg Y. Controlling the false discovery rate: A practical and powerful approach to multiple testing. Journal of the Royal Statistical Society: Series B. 1995;57(1): 289–300. doi: 10.1111/j.2517-6161.1995.tb02031.x</w:t>
      </w:r>
    </w:p>
    <w:p>
      <w:pPr>
        <w:numPr>
          <w:ilvl w:val="0"/>
          <w:numId w:val="1002"/>
        </w:numPr>
      </w:pPr>
      <w:r>
        <w:t xml:space="preserve">Harvey CR, Liu Y, Zhu H. …and the cross-section of expected returns. Review of Financial Studies. 2016;29(1): 5–68. doi: 10.1093/rfs/hhv059</w:t>
      </w:r>
    </w:p>
    <w:p>
      <w:pPr>
        <w:numPr>
          <w:ilvl w:val="0"/>
          <w:numId w:val="1002"/>
        </w:numPr>
      </w:pPr>
      <w:r>
        <w:t xml:space="preserve">Brennan MJ. A theory of price limits in futures markets. Journal of Financial Economics. 1986;16(2): 213–233. doi: 10.1016/0304-405X(86)90061-9</w:t>
      </w:r>
    </w:p>
    <w:p>
      <w:pPr>
        <w:numPr>
          <w:ilvl w:val="0"/>
          <w:numId w:val="1002"/>
        </w:numPr>
      </w:pPr>
      <w:r>
        <w:t xml:space="preserve">Kodres LE, O’Brien DP. The existence of Pareto-superior price limits. American Economic Review. 1994;84(4): 919–932.</w:t>
      </w:r>
    </w:p>
    <w:p>
      <w:pPr>
        <w:numPr>
          <w:ilvl w:val="0"/>
          <w:numId w:val="1002"/>
        </w:numPr>
      </w:pPr>
      <w:r>
        <w:t xml:space="preserve">Greenwald BC, Stein JC. Transactional risk, market crashes, and the role of circuit breakers. Journal of Business. 1991;64(4): 443–462.</w:t>
      </w:r>
    </w:p>
    <w:p>
      <w:pPr>
        <w:numPr>
          <w:ilvl w:val="0"/>
          <w:numId w:val="1002"/>
        </w:numPr>
      </w:pPr>
      <w:r>
        <w:t xml:space="preserve">Subrahmanyam A. Circuit breakers and market volatility: A theoretical perspective. Journal of Finance. 1994;49(1): 237–254. doi: 10.1111/j.1540-6261.1994.tb04427.x</w:t>
      </w:r>
    </w:p>
    <w:p>
      <w:pPr>
        <w:numPr>
          <w:ilvl w:val="0"/>
          <w:numId w:val="1002"/>
        </w:numPr>
      </w:pPr>
      <w:r>
        <w:t xml:space="preserve">Chen H, Petukhov A, Wang J, Xing H. The dark side of circuit breakers. Journal of Finance. 2024;79(2): 1405–1455. doi: 10.1111/jofi.13310</w:t>
      </w:r>
    </w:p>
    <w:p>
      <w:pPr>
        <w:numPr>
          <w:ilvl w:val="0"/>
          <w:numId w:val="1002"/>
        </w:numPr>
      </w:pPr>
      <w:r>
        <w:t xml:space="preserve">Kim KA, Rhee SG. Price limit performance: Evidence from the Tokyo Stock Exchange. Journal of Finance. 1997;52(2): 885–901. doi: 10.1111/j.1540-6261.1997.tb04827.x</w:t>
      </w:r>
    </w:p>
    <w:p>
      <w:pPr>
        <w:numPr>
          <w:ilvl w:val="0"/>
          <w:numId w:val="1002"/>
        </w:numPr>
      </w:pPr>
      <w:r>
        <w:t xml:space="preserve">Bildik R, Gülay G. Are price limits effective? Evidence from the Istanbul Stock Exchange. Journal of Financial Research. 2006;29(3): 383–403. doi: 10.1111/j.1475-6803.2006.00185.x</w:t>
      </w:r>
    </w:p>
    <w:p>
      <w:pPr>
        <w:numPr>
          <w:ilvl w:val="0"/>
          <w:numId w:val="1002"/>
        </w:numPr>
      </w:pPr>
      <w:r>
        <w:t xml:space="preserve">Chen YM. Price limits and stock market volatility in Taiwan. Pacific-Basin Finance Journal. 1993;1(2): 139–153. doi: 10.1016/0927-538X(93)90005-3</w:t>
      </w:r>
    </w:p>
    <w:p>
      <w:pPr>
        <w:numPr>
          <w:ilvl w:val="0"/>
          <w:numId w:val="1002"/>
        </w:numPr>
      </w:pPr>
      <w:r>
        <w:t xml:space="preserve">Berkman H, Lee JBT. The effectiveness of price limits in an emerging market: Evidence from the Korean Stock Exchange. Pacific-Basin Finance Journal. 2002;10(5): 517–530. doi: 10.1016/S0927-538X(02)00040-9</w:t>
      </w:r>
    </w:p>
    <w:p>
      <w:pPr>
        <w:numPr>
          <w:ilvl w:val="0"/>
          <w:numId w:val="1002"/>
        </w:numPr>
      </w:pPr>
      <w:r>
        <w:t xml:space="preserve">Cho DD, Russell J, Tiao GC, Tsay RS. The magnet effect of price limits: Evidence from high-frequency data on Taiwan Stock Exchange. Journal of Empirical Finance. 2003;10(1–2): 133–168. doi: 10.1016/S0927-5398(02)00024-5</w:t>
      </w:r>
    </w:p>
    <w:p>
      <w:pPr>
        <w:numPr>
          <w:ilvl w:val="0"/>
          <w:numId w:val="1002"/>
        </w:numPr>
      </w:pPr>
      <w:r>
        <w:t xml:space="preserve">Kim KA, Limpaphayom P. Characteristics of stocks that frequently hit price limits: Empirical evidence from Taiwan and Thailand. Journal of Financial Markets. 2000;3(3): 315–332.</w:t>
      </w:r>
    </w:p>
    <w:p>
      <w:pPr>
        <w:numPr>
          <w:ilvl w:val="0"/>
          <w:numId w:val="1002"/>
        </w:numPr>
      </w:pPr>
      <w:r>
        <w:t xml:space="preserve">Deb SS, Kalev PS, Marisetty VB. Flexible price limits: The case of Tokyo Stock Exchange. Journal of International Financial Markets, Institutions and Money. 2013;24: 66–84.</w:t>
      </w:r>
    </w:p>
    <w:p>
      <w:pPr>
        <w:numPr>
          <w:ilvl w:val="0"/>
          <w:numId w:val="1002"/>
        </w:numPr>
      </w:pPr>
      <w:r>
        <w:t xml:space="preserve">Zhang X, Wang Z, Hao J, He F. Price limit and stock market quality: Evidence from a quasi-natural experiment in the Chinese stock market. Pacific-Basin Finance Journal. 2022;74: 101778.</w:t>
      </w:r>
    </w:p>
    <w:p>
      <w:pPr>
        <w:numPr>
          <w:ilvl w:val="0"/>
          <w:numId w:val="1002"/>
        </w:numPr>
      </w:pPr>
      <w:r>
        <w:t xml:space="preserve">Kim W, Jun S. Effects of a price limit change on market stability at the intraday horizon in the Korean stock market. Applied Economics Letters. 2019;26(7): 582–586.</w:t>
      </w:r>
    </w:p>
    <w:p>
      <w:pPr>
        <w:numPr>
          <w:ilvl w:val="0"/>
          <w:numId w:val="1002"/>
        </w:numPr>
      </w:pPr>
      <w:r>
        <w:t xml:space="preserve">Lin F, Qiu Z, Zheng W. Cranes among chickens: The general-attention-grabbing effect of daily price limits in China’s stock market. Journal of Banking &amp; Finance. 2023;150: 106818. doi: 10.1016/j.jbankfin.2023.106818</w:t>
      </w:r>
    </w:p>
    <w:p>
      <w:pPr>
        <w:numPr>
          <w:ilvl w:val="0"/>
          <w:numId w:val="1002"/>
        </w:numPr>
      </w:pPr>
      <w:r>
        <w:t xml:space="preserve">Zeng Z, Wang G, Tang G. Price limits hitting effect and cross-sectional stock returns: Evidence from China. Finance Research Letters. 2024;60: 104803. doi: 10.1016/j.frl.2023.104803</w:t>
      </w:r>
    </w:p>
    <w:p>
      <w:pPr>
        <w:numPr>
          <w:ilvl w:val="0"/>
          <w:numId w:val="1002"/>
        </w:numPr>
      </w:pPr>
      <w:r>
        <w:t xml:space="preserve">Liang H, Hu Y. Stock price limit and its predictability in the Chinese stock market. Journal of Forecasting. 2025;44: 297–319. doi: 10.1002/for.3197</w:t>
      </w:r>
    </w:p>
    <w:p>
      <w:pPr>
        <w:numPr>
          <w:ilvl w:val="0"/>
          <w:numId w:val="1002"/>
        </w:numPr>
      </w:pPr>
      <w:r>
        <w:t xml:space="preserve">Kelly MA, Clark SP. Returns in trading versus non-trading hours: The difference is day and night. Journal of Asset Management. 2011;12: 132–145. doi: 10.1057/jam.2011.2</w:t>
      </w:r>
    </w:p>
    <w:p>
      <w:pPr>
        <w:numPr>
          <w:ilvl w:val="0"/>
          <w:numId w:val="1002"/>
        </w:numPr>
      </w:pPr>
      <w:r>
        <w:t xml:space="preserve">Berkman H, Koch PD, Tuttle L, Zhang YJ. Paying attention: Overnight returns and the hidden cost of buying at the open. Journal of Financial and Quantitative Analysis. 2012;47(4): 715–741. doi: 10.1017/S0022109012000270</w:t>
      </w:r>
    </w:p>
    <w:p>
      <w:pPr>
        <w:numPr>
          <w:ilvl w:val="0"/>
          <w:numId w:val="1002"/>
        </w:numPr>
      </w:pPr>
      <w:r>
        <w:t xml:space="preserve">Aboody D, Even-Tov O, Lehavy R, Trueman B. Overnight returns and firm-specific investor sentiment. Journal of Financial and Quantitative Analysis. 2018;53(2): 485–505.</w:t>
      </w:r>
    </w:p>
    <w:p>
      <w:pPr>
        <w:numPr>
          <w:ilvl w:val="0"/>
          <w:numId w:val="1002"/>
        </w:numPr>
      </w:pPr>
      <w:r>
        <w:t xml:space="preserve">Lou D, Polk C, Skouras S. A tug of war: Overnight versus intraday expected returns. Journal of Financial Economics. 2019;134(1): 192–213. doi: 10.1016/j.jfineco.2019.03.011</w:t>
      </w:r>
    </w:p>
    <w:p>
      <w:pPr>
        <w:numPr>
          <w:ilvl w:val="0"/>
          <w:numId w:val="1002"/>
        </w:numPr>
      </w:pPr>
      <w:r>
        <w:t xml:space="preserve">Akbas F, Boehmer E, Jiang C, Koch PD. Overnight returns, daytime reversals, and future stock returns. Journal of Financial Economics. 2022;145(3): 850–875. doi: 10.1016/j.jfineco.2021.09.019</w:t>
      </w:r>
    </w:p>
    <w:p>
      <w:pPr>
        <w:numPr>
          <w:ilvl w:val="0"/>
          <w:numId w:val="1002"/>
        </w:numPr>
      </w:pPr>
      <w:r>
        <w:t xml:space="preserve">Bogousslavsky V. The cross-section of intraday and overnight returns. Journal of Financial Economics. 2021;141(1): 172–194.</w:t>
      </w:r>
    </w:p>
    <w:p>
      <w:pPr>
        <w:numPr>
          <w:ilvl w:val="0"/>
          <w:numId w:val="1002"/>
        </w:numPr>
      </w:pPr>
      <w:r>
        <w:t xml:space="preserve">Lu Z, Malliaris SG, Qin Z. Heterogeneous liquidity providers and night-minus-day return predictability. Journal of Financial Economics. 2023;148(3): 175–200.</w:t>
      </w:r>
    </w:p>
    <w:p>
      <w:pPr>
        <w:numPr>
          <w:ilvl w:val="0"/>
          <w:numId w:val="1002"/>
        </w:numPr>
      </w:pPr>
      <w:r>
        <w:t xml:space="preserve">Qiao K, Dam L. The overnight return puzzle and the</w:t>
      </w:r>
      <w:r>
        <w:t xml:space="preserve"> </w:t>
      </w:r>
      <w:r>
        <w:t xml:space="preserve">“</w:t>
      </w:r>
      <w:r>
        <w:t xml:space="preserve">T+1</w:t>
      </w:r>
      <w:r>
        <w:t xml:space="preserve">”</w:t>
      </w:r>
      <w:r>
        <w:t xml:space="preserve"> </w:t>
      </w:r>
      <w:r>
        <w:t xml:space="preserve">trading rule in Chinese stock markets. Journal of Financial Markets. 2020;50: 100534.</w:t>
      </w:r>
    </w:p>
    <w:p>
      <w:pPr>
        <w:numPr>
          <w:ilvl w:val="0"/>
          <w:numId w:val="1002"/>
        </w:numPr>
      </w:pPr>
      <w:r>
        <w:t xml:space="preserve">Gu M, Hu Y, Xiong Z. Dissecting the lottery-like anomaly: Evidence from China. Accounting &amp; Finance. 2025;65(1): 883–911. doi: 10.1111/acfi.13354</w:t>
      </w:r>
    </w:p>
    <w:p>
      <w:pPr>
        <w:numPr>
          <w:ilvl w:val="0"/>
          <w:numId w:val="1002"/>
        </w:numPr>
      </w:pPr>
      <w:r>
        <w:t xml:space="preserve">Qiu J, Huang W, Jiang Y. Day-night anomaly returns in China: The role of institutions. Research in International Business and Finance. 2025;75: 102776.</w:t>
      </w:r>
    </w:p>
    <w:p>
      <w:pPr>
        <w:numPr>
          <w:ilvl w:val="0"/>
          <w:numId w:val="1002"/>
        </w:numPr>
      </w:pPr>
      <w:r>
        <w:t xml:space="preserve">Jones CM, Shi D, Zhang X, Zhang X. Retail trading and return predictability in China. Journal of Financial and Quantitative Analysis. 2025;60(1): 68–104.</w:t>
      </w:r>
    </w:p>
    <w:p>
      <w:pPr>
        <w:numPr>
          <w:ilvl w:val="0"/>
          <w:numId w:val="1002"/>
        </w:numPr>
      </w:pPr>
      <w:r>
        <w:t xml:space="preserve">Harvey CR, Liu Y. False (and missed) discoveries in financial economics. Journal of Finance. 2020;75(5): 2503–2553. doi: 10.1111/jofi.12951</w:t>
      </w:r>
    </w:p>
    <w:p>
      <w:pPr>
        <w:numPr>
          <w:ilvl w:val="0"/>
          <w:numId w:val="1002"/>
        </w:numPr>
      </w:pPr>
      <w:r>
        <w:t xml:space="preserve">Chordia T, Goyal A, Saretto A. Anomalies and false rejections. Review of Financial Studies. 2020;33(5): 2134–2179.</w:t>
      </w:r>
    </w:p>
    <w:p>
      <w:pPr>
        <w:numPr>
          <w:ilvl w:val="0"/>
          <w:numId w:val="1002"/>
        </w:numPr>
      </w:pPr>
      <w:r>
        <w:t xml:space="preserve">Hou K, Xue C, Zhang L. Replicating anomalies. Review of Financial Studies. 2020;33(5): 2019–2133.</w:t>
      </w:r>
    </w:p>
    <w:p>
      <w:pPr>
        <w:numPr>
          <w:ilvl w:val="0"/>
          <w:numId w:val="1002"/>
        </w:numPr>
      </w:pPr>
      <w:r>
        <w:t xml:space="preserve">Petersen MA. Estimating standard errors in finance panel data sets: Comparing approaches. Review of Financial Studies. 2009;22(1): 435–480.</w:t>
      </w:r>
    </w:p>
    <w:p>
      <w:pPr>
        <w:numPr>
          <w:ilvl w:val="0"/>
          <w:numId w:val="1002"/>
        </w:numPr>
      </w:pPr>
      <w:r>
        <w:t xml:space="preserve">Gutierrez RC Jr, Kelley EK. The long-lasting momentum in weekly returns. Journal of Finance. 2008;63(1): 415–447. doi: 10.1111/j.1540-6261.2008.01320.x</w:t>
      </w:r>
    </w:p>
    <w:p>
      <w:pPr>
        <w:numPr>
          <w:ilvl w:val="0"/>
          <w:numId w:val="1002"/>
        </w:numPr>
      </w:pPr>
      <w:r>
        <w:t xml:space="preserve">Huang X, Liu C, Shu T. Factors and anomalies in the Vietnamese stock market. Pacific-Basin Finance Journal. 2023;82: 102176.</w:t>
      </w:r>
    </w:p>
    <w:p>
      <w:pPr>
        <w:numPr>
          <w:ilvl w:val="0"/>
          <w:numId w:val="1002"/>
        </w:numPr>
      </w:pPr>
      <w:r>
        <w:t xml:space="preserve">Ho Chi Minh City Securities Corporation. Important changes of new trading system [Internet]. Ho Chi Minh City: Ho Chi Minh City Securities Corporation; 2025 [cited 2026 Oct 5]. Available from:</w:t>
      </w:r>
      <w:r>
        <w:t xml:space="preserve"> </w:t>
      </w:r>
      <w:hyperlink r:id="rId36">
        <w:r>
          <w:rPr>
            <w:rStyle w:val="Hyperlink"/>
          </w:rPr>
          <w:t xml:space="preserve">https://www.hsc.com.vn/en/important-changes-of-new-trading-system</w:t>
        </w:r>
      </w:hyperlink>
    </w:p>
    <w:p>
      <w:pPr>
        <w:numPr>
          <w:ilvl w:val="0"/>
          <w:numId w:val="1002"/>
        </w:numPr>
      </w:pPr>
      <w:r>
        <w:t xml:space="preserve">Viet Nam News. KRX system officially goes live. Viet Nam News. 2025 [cited 2026 Oct 5]. Available from:</w:t>
      </w:r>
      <w:r>
        <w:t xml:space="preserve"> </w:t>
      </w:r>
      <w:hyperlink r:id="rId37">
        <w:r>
          <w:rPr>
            <w:rStyle w:val="Hyperlink"/>
          </w:rPr>
          <w:t xml:space="preserve">https://vietnamnews.vn/economy/1717047/krx-system-officially-goes-live.html</w:t>
        </w:r>
      </w:hyperlink>
    </w:p>
    <w:p>
      <w:pPr>
        <w:numPr>
          <w:ilvl w:val="0"/>
          <w:numId w:val="1002"/>
        </w:numPr>
      </w:pPr>
      <w:r>
        <w:t xml:space="preserve">Cameron AC, Gelbach JB, Miller DL. Robust inference with multiway clustering. Journal of Business &amp; Economic Statistics. 2011;29(2): 238–249. doi: 10.1198/jbes.2010.07136</w:t>
      </w:r>
    </w:p>
    <w:p>
      <w:pPr>
        <w:numPr>
          <w:ilvl w:val="0"/>
          <w:numId w:val="1002"/>
        </w:numPr>
      </w:pPr>
      <w:r>
        <w:t xml:space="preserve">Fama EF, MacBeth JD. Risk, return, and equilibrium: Empirical tests. Journal of Political Economy. 1973;81(3): 607–636. doi: 10.1086/260061</w:t>
      </w:r>
    </w:p>
    <w:p>
      <w:pPr>
        <w:numPr>
          <w:ilvl w:val="0"/>
          <w:numId w:val="1002"/>
        </w:numPr>
      </w:pPr>
      <w:r>
        <w:t xml:space="preserve">Newey WK, West KD. A simple, positive semi-definite, heteroskedasticity and autocorrelation consistent covariance matrix. Econometrica. 1987;55(3): 703–708. doi: 10.2307/1913610</w:t>
      </w:r>
    </w:p>
    <w:p>
      <w:pPr>
        <w:numPr>
          <w:ilvl w:val="0"/>
          <w:numId w:val="1002"/>
        </w:numPr>
      </w:pPr>
      <w:r>
        <w:t xml:space="preserve">Holm S. A simple sequentially rejective multiple test procedure. Scandinavian Journal of Statistics. 1979;6(2): 65–70.</w:t>
      </w:r>
    </w:p>
    <w:bookmarkEnd w:id="38"/>
    <w:bookmarkStart w:id="39" w:name="supporting-information"/>
    <w:p>
      <w:pPr>
        <w:pStyle w:val="Heading1"/>
      </w:pPr>
      <w:r>
        <w:t xml:space="preserve">Supporting information</w:t>
      </w:r>
    </w:p>
    <w:p>
      <w:pPr>
        <w:pStyle w:val="FirstParagraph"/>
      </w:pPr>
      <w:r>
        <w:rPr>
          <w:bCs/>
          <w:b/>
        </w:rPr>
        <w:t xml:space="preserve">S1 Appendix. Characteristic definitions and literature search.</w:t>
      </w:r>
      <w:r>
        <w:t xml:space="preserve"> </w:t>
      </w:r>
      <w:r>
        <w:t xml:space="preserve">Definitions of the 22 price- and volume-based characteristics and the literature search strategy.</w:t>
      </w:r>
    </w:p>
    <w:p>
      <w:pPr>
        <w:pStyle w:val="BodyText"/>
      </w:pPr>
      <w:r>
        <w:rPr>
          <w:bCs/>
          <w:b/>
        </w:rPr>
        <w:t xml:space="preserve">S1 File. Output tables.</w:t>
      </w:r>
      <w:r>
        <w:t xml:space="preserve"> </w:t>
      </w:r>
      <w:r>
        <w:t xml:space="preserve">The C-series tables written by the R code (comma-separated files), including the full regression and family-control results behind every number in the article.</w:t>
      </w:r>
    </w:p>
    <w:bookmarkEnd w:id="39"/>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color w:val="000000"/>
      <w:sz w:val="24"/>
    </w:rPr>
  </w:style>
  <w:style w:styleId="BodyText" w:type="paragraph">
    <w:name w:val="Body Text"/>
    <w:basedOn w:val="Normal"/>
    <w:link w:val="BodyTextChar"/>
    <w:pPr>
      <w:spacing w:after="0" w:before="0" w:line="480" w:lineRule="auto"/>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0" w:before="0" w:line="480" w:lineRule="auto"/>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480" w:lineRule="auto"/>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80" w:before="240"/>
      <w:jc w:val="center"/>
    </w:pPr>
    <w:rPr>
      <w:rFonts w:ascii="Times New Roman" w:cs="Times New Roman" w:eastAsia="Times New Roman" w:hAnsi="Times New Roman"/>
      <w:b/>
      <w:bCs/>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0" w:before="0" w:line="480" w:lineRule="auto"/>
    </w:pPr>
    <w:rPr>
      <w:rFonts w:ascii="Times New Roman" w:hAnsi="Times New Roman"/>
      <w:sz w:val="24"/>
      <w:szCs w:val="20"/>
    </w:rPr>
  </w:style>
  <w:style w:styleId="Bibliography" w:type="paragraph">
    <w:name w:val="Bibliography"/>
    <w:basedOn w:val="Normal"/>
    <w:next w:val="Bibliography"/>
    <w:qFormat/>
    <w:pPr>
      <w:spacing w:after="0" w:before="0" w:line="480" w:lineRule="auto"/>
    </w:pPr>
    <w:rPr>
      <w:rFonts w:ascii="Times New Roman" w:hAnsi="Times New Roman"/>
      <w:sz w:val="24"/>
    </w:rPr>
  </w:style>
  <w:style w:styleId="Heading1" w:type="paragraph">
    <w:name w:val="Heading 1"/>
    <w:basedOn w:val="Normal"/>
    <w:next w:val="BodyText"/>
    <w:uiPriority w:val="9"/>
    <w:qFormat/>
    <w:pPr>
      <w:keepNext/>
      <w:keepLines/>
      <w:spacing w:after="80" w:before="240"/>
      <w:outlineLvl w:val="0"/>
    </w:pPr>
    <w:rPr>
      <w:rFonts w:ascii="Times New Roman" w:cs="Times New Roman" w:eastAsia="Times New Roman" w:hAnsi="Times New Roman"/>
      <w:b/>
      <w:bCs/>
      <w:color w:val="000000"/>
      <w:sz w:val="26"/>
      <w:szCs w:val="32"/>
    </w:rPr>
  </w:style>
  <w:style w:styleId="Heading2" w:type="paragraph">
    <w:name w:val="Heading 2"/>
    <w:basedOn w:val="Normal"/>
    <w:next w:val="BodyText"/>
    <w:uiPriority w:val="9"/>
    <w:unhideWhenUsed/>
    <w:qFormat/>
    <w:pPr>
      <w:keepNext/>
      <w:keepLines/>
      <w:spacing w:after="80" w:before="240"/>
      <w:outlineLvl w:val="1"/>
    </w:pPr>
    <w:rPr>
      <w:rFonts w:ascii="Times New Roman" w:cs="Times New Roman" w:eastAsia="Times New Roman" w:hAnsi="Times New Roman"/>
      <w:b/>
      <w:bCs/>
      <w:color w:val="000000"/>
      <w:sz w:val="23"/>
      <w:szCs w:val="28"/>
    </w:rPr>
  </w:style>
  <w:style w:styleId="Heading3" w:type="paragraph">
    <w:name w:val="Heading 3"/>
    <w:basedOn w:val="Normal"/>
    <w:next w:val="BodyText"/>
    <w:uiPriority w:val="9"/>
    <w:unhideWhenUsed/>
    <w:qFormat/>
    <w:pPr>
      <w:keepNext/>
      <w:keepLines/>
      <w:spacing w:after="80" w:before="240"/>
      <w:outlineLvl w:val="2"/>
    </w:pPr>
    <w:rPr>
      <w:rFonts w:ascii="Times New Roman" w:cs="Times New Roman" w:eastAsia="Times New Roman" w:hAnsi="Times New Roman"/>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0" w:line="276" w:lineRule="auto"/>
      <w:ind w:firstLine="0" w:left="480" w:right="480"/>
    </w:pPr>
    <w:rPr>
      <w:rFonts w:ascii="Times New Roman" w:cs="Times New Roman" w:eastAsia="Times New Roman" w:hAnsi="Times New Roman"/>
      <w:color w:val="000000"/>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20" w:before="0" w:line="276" w:lineRule="auto"/>
    </w:pPr>
    <w:rPr>
      <w:rFonts w:ascii="Times New Roman" w:cs="Times New Roman" w:eastAsia="Times New Roman" w:hAnsi="Times New Roman"/>
      <w:color w:val="000000"/>
      <w:sz w:val="22"/>
    </w:rPr>
  </w:style>
  <w:style w:customStyle="1" w:styleId="ImageCaption" w:type="paragraph">
    <w:name w:val="Image Caption"/>
    <w:basedOn w:val="Caption"/>
    <w:pPr>
      <w:spacing w:after="120" w:before="0" w:line="276" w:lineRule="auto"/>
    </w:pPr>
    <w:rPr>
      <w:rFonts w:ascii="Times New Roman" w:cs="Times New Roman" w:eastAsia="Times New Roman" w:hAnsi="Times New Roman"/>
      <w:color w:val="000000"/>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github.com/trungcandygit/black_litterman_2" TargetMode="External" /><Relationship Type="http://schemas.openxmlformats.org/officeDocument/2006/relationships/hyperlink" Id="rId37" Target="https://vietnamnews.vn/economy/1717047/krx-system-officially-goes-live.html" TargetMode="External" /><Relationship Type="http://schemas.openxmlformats.org/officeDocument/2006/relationships/hyperlink" Id="rId36" Target="https://www.hsc.com.vn/en/important-changes-of-new-trading-system" TargetMode="External" /><Relationship Type="http://schemas.openxmlformats.org/officeDocument/2006/relationships/hyperlink" Id="rId23" Target="mailto:diepnb@apd.edu.vn" TargetMode="External" /><Relationship Type="http://schemas.openxmlformats.org/officeDocument/2006/relationships/hyperlink" Id="rId22" Target="mailto:hanhhh@neu.edu.vn" TargetMode="External" /><Relationship Type="http://schemas.openxmlformats.org/officeDocument/2006/relationships/hyperlink" Id="rId20" Target="mailto:kontrungcany@gmail.com" TargetMode="External" /><Relationship Type="http://schemas.openxmlformats.org/officeDocument/2006/relationships/hyperlink" Id="rId21" Target="mailto:nguyenthanhbinhapd@apd.edu.vn" TargetMode="External" /></Relationships>
</file>

<file path=word/_rels/footnotes.xml.rels><?xml version="1.0" encoding="UTF-8"?><Relationships xmlns="http://schemas.openxmlformats.org/package/2006/relationships"><Relationship Type="http://schemas.openxmlformats.org/officeDocument/2006/relationships/hyperlink" Id="rId28" Target="https://github.com/trungcandygit/black_litterman_2" TargetMode="External" /><Relationship Type="http://schemas.openxmlformats.org/officeDocument/2006/relationships/hyperlink" Id="rId37" Target="https://vietnamnews.vn/economy/1717047/krx-system-officially-goes-live.html" TargetMode="External" /><Relationship Type="http://schemas.openxmlformats.org/officeDocument/2006/relationships/hyperlink" Id="rId36" Target="https://www.hsc.com.vn/en/important-changes-of-new-trading-system" TargetMode="External" /><Relationship Type="http://schemas.openxmlformats.org/officeDocument/2006/relationships/hyperlink" Id="rId23" Target="mailto:diepnb@apd.edu.vn" TargetMode="External" /><Relationship Type="http://schemas.openxmlformats.org/officeDocument/2006/relationships/hyperlink" Id="rId22" Target="mailto:hanhhh@neu.edu.vn" TargetMode="External" /><Relationship Type="http://schemas.openxmlformats.org/officeDocument/2006/relationships/hyperlink" Id="rId20" Target="mailto:kontrungcany@gmail.com" TargetMode="External" /><Relationship Type="http://schemas.openxmlformats.org/officeDocument/2006/relationships/hyperlink" Id="rId21" Target="mailto:nguyenthanhbinhapd@apd.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2026-10-06T02:35:50Z</dcterms:created>
  <dcterms:modified xsi:type="dcterms:W3CDTF">2026-10-06T02:35:50Z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