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25.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Closing</w:t>
      </w:r>
      <w:r>
        <w:t xml:space="preserve"> </w:t>
      </w:r>
      <w:r>
        <w:t xml:space="preserve">at</w:t>
      </w:r>
      <w:r>
        <w:t xml:space="preserve"> </w:t>
      </w:r>
      <w:r>
        <w:t xml:space="preserve">the</w:t>
      </w:r>
      <w:r>
        <w:t xml:space="preserve"> </w:t>
      </w:r>
      <w:r>
        <w:t xml:space="preserve">limit:</w:t>
      </w:r>
      <w:r>
        <w:t xml:space="preserve"> </w:t>
      </w:r>
      <w:r>
        <w:t xml:space="preserve">price</w:t>
      </w:r>
      <w:r>
        <w:t xml:space="preserve"> </w:t>
      </w:r>
      <w:r>
        <w:t xml:space="preserve">limits,</w:t>
      </w:r>
      <w:r>
        <w:t xml:space="preserve"> </w:t>
      </w:r>
      <w:r>
        <w:t xml:space="preserve">overnight</w:t>
      </w:r>
      <w:r>
        <w:t xml:space="preserve"> </w:t>
      </w:r>
      <w:r>
        <w:t xml:space="preserve">gaps</w:t>
      </w:r>
      <w:r>
        <w:t xml:space="preserve"> </w:t>
      </w:r>
      <w:r>
        <w:t xml:space="preserve">and</w:t>
      </w:r>
      <w:r>
        <w:t xml:space="preserve"> </w:t>
      </w:r>
      <w:r>
        <w:t xml:space="preserve">next-day</w:t>
      </w:r>
      <w:r>
        <w:t xml:space="preserve"> </w:t>
      </w:r>
      <w:r>
        <w:t xml:space="preserve">returns</w:t>
      </w:r>
      <w:r>
        <w:t xml:space="preserve"> </w:t>
      </w:r>
      <w:r>
        <w:t xml:space="preserve">on</w:t>
      </w:r>
      <w:r>
        <w:t xml:space="preserve"> </w:t>
      </w:r>
      <w:r>
        <w:t xml:space="preserve">the</w:t>
      </w:r>
      <w:r>
        <w:t xml:space="preserve"> </w:t>
      </w:r>
      <w:r>
        <w:t xml:space="preserve">Ho</w:t>
      </w:r>
      <w:r>
        <w:t xml:space="preserve"> </w:t>
      </w:r>
      <w:r>
        <w:t xml:space="preserve">Chi</w:t>
      </w:r>
      <w:r>
        <w:t xml:space="preserve"> </w:t>
      </w:r>
      <w:r>
        <w:t xml:space="preserve">Minh</w:t>
      </w:r>
      <w:r>
        <w:t xml:space="preserve"> </w:t>
      </w:r>
      <w:r>
        <w:t xml:space="preserve">Stock</w:t>
      </w:r>
      <w:r>
        <w:t xml:space="preserve"> </w:t>
      </w:r>
      <w:r>
        <w:t xml:space="preserve">Exchange</w:t>
      </w:r>
    </w:p>
    <w:p>
      <w:pPr>
        <w:pStyle w:val="Author"/>
      </w:pPr>
      <w:r>
        <w:t xml:space="preserve">[Author</w:t>
      </w:r>
      <w:r>
        <w:t xml:space="preserve"> </w:t>
      </w:r>
      <w:r>
        <w:t xml:space="preserve">names</w:t>
      </w:r>
      <w:r>
        <w:t xml:space="preserve"> </w:t>
      </w:r>
      <w:r>
        <w:t xml:space="preserve">and</w:t>
      </w:r>
      <w:r>
        <w:t xml:space="preserve"> </w:t>
      </w:r>
      <w:r>
        <w:t xml:space="preserve">affiliations</w:t>
      </w:r>
      <w:r>
        <w:t xml:space="preserve"> </w:t>
      </w:r>
      <w:r>
        <w:t xml:space="preserve">to</w:t>
      </w:r>
      <w:r>
        <w:t xml:space="preserve"> </w:t>
      </w:r>
      <w:r>
        <w:t xml:space="preserve">be</w:t>
      </w:r>
      <w:r>
        <w:t xml:space="preserve"> </w:t>
      </w:r>
      <w:r>
        <w:t xml:space="preserve">added]</w:t>
      </w:r>
    </w:p>
    <w:p>
      <w:pPr>
        <w:pStyle w:val="Date"/>
      </w:pPr>
      <w:r>
        <w:t xml:space="preserve">Draft</w:t>
      </w:r>
      <w:r>
        <w:t xml:space="preserve"> </w:t>
      </w:r>
      <w:r>
        <w:t xml:space="preserve">of</w:t>
      </w:r>
      <w:r>
        <w:t xml:space="preserve"> </w:t>
      </w:r>
      <w:r>
        <w:t xml:space="preserve">4</w:t>
      </w:r>
      <w:r>
        <w:t xml:space="preserve"> </w:t>
      </w:r>
      <w:r>
        <w:t xml:space="preserve">October</w:t>
      </w:r>
      <w:r>
        <w:t xml:space="preserve"> </w:t>
      </w:r>
      <w:r>
        <w:t xml:space="preserve">2026</w:t>
      </w:r>
      <w:r>
        <w:t xml:space="preserve"> </w:t>
      </w:r>
      <w:r>
        <w:t xml:space="preserve">(journal-neutral;</w:t>
      </w:r>
      <w:r>
        <w:t xml:space="preserve"> </w:t>
      </w:r>
      <w:r>
        <w:t xml:space="preserve">not</w:t>
      </w:r>
      <w:r>
        <w:t xml:space="preserve"> </w:t>
      </w:r>
      <w:r>
        <w:t xml:space="preserve">yet</w:t>
      </w:r>
      <w:r>
        <w:t xml:space="preserve"> </w:t>
      </w:r>
      <w:r>
        <w:t xml:space="preserve">submitted)</w:t>
      </w:r>
    </w:p>
    <w:p>
      <w:pPr>
        <w:pStyle w:val="FirstParagraph"/>
      </w:pPr>
      <w:r>
        <w:rPr>
          <w:bCs/>
          <w:b/>
        </w:rPr>
        <w:t xml:space="preserve">Abstract.</w:t>
      </w:r>
      <w:r>
        <w:t xml:space="preserve"> </w:t>
      </w:r>
      <w:r>
        <w:t xml:space="preserve">Daily price limits are meant to cool markets, but they can also postpone price discovery. Using daily open–high–low–close–volume data on 347 stocks of the Ho Chi Minh Stock Exchange (HOSE; 21 August 2024 to 23 September 2026, 178,773 stock-days), we examine a family of 26 tests whose specification was fixed in a version-controlled project log before the results were computed (it is not an external registry entry): 22 price- and volume-based characteristics as predictors of next-week returns and four price-limit event tests. After false-discovery-rate control and a confirmation half-sample (not a strict hold-out), 0 of the 22 characteristics survive (largest absolute Fama–MacBeth t-statistic 1.45; the tests can rule out only slopes above roughly 0.1–0.3 percentage points per week), while the four limit tests survive, also with calendar-week-clustered errors. For ceilings, survival at the five-day horizon is carried by day t+1: abnormal returns over days t+2 to t+5 are not significant (-0.24%, t = -1.5); for floors, days t+2 to t+5 add a further -1.10% that does not pass the confirmation half. A stock that closes at its daily ceiling earns an abnormal return of 1.66% on the next day (date-clustered t = 4.9, 3,187 events), and a stock that closes at its floor earns -0.71% (t = -5.3; the floor figure depends on the benchmark and is -1.65% against same-date controls). Analyses added after seeing these results show that the ceiling effect is an overnight gap (2.23%, two-way-clustered t = 9.8) followed by a partial intraday reversal (-0.53%, t = -3.5), and that the gap is 2.66 percentage points larger than for stocks that rose 5–6.5% without reaching the limit (t = 14.0), and 3.14 points larger when those comparison stocks also closed at their day’s high. We read this as a break at the limit that is consistent with demand blocked by the limit being realized at the next opening, but the design cannot separate that from news and attention: the gap is larger after strong prior run-ups and heavy volume. The effect is not available to an outside buyer: buying at the quoted next open and holding to the fifth close returns -0.75% relative to the market (t = -2.7) and -0.53% relative to same-date liquidity-matched controls (t = -1.8). A public, non-peer-reviewed analysis whose longer sample contains our window reports a close-to-close ceiling effect of similar size; our incremental content is the overnight–intraday decomposition, the comparison with moves just below the limit, and the multiplicity-controlled frame, and the sample is a single exchange with a trading-platform change in May 2025.</w:t>
      </w:r>
    </w:p>
    <w:p>
      <w:pPr>
        <w:pStyle w:val="BodyText"/>
      </w:pPr>
      <w:r>
        <w:rPr>
          <w:bCs/>
          <w:b/>
        </w:rPr>
        <w:t xml:space="preserve">Keywords:</w:t>
      </w:r>
      <w:r>
        <w:t xml:space="preserve"> </w:t>
      </w:r>
      <w:r>
        <w:t xml:space="preserve">price limits; overnight returns; multiple testing; Vietnam; retail investors</w:t>
      </w:r>
    </w:p>
    <w:p>
      <w:pPr>
        <w:pStyle w:val="BodyText"/>
      </w:pPr>
      <w:r>
        <w:rPr>
          <w:bCs/>
          <w:b/>
        </w:rPr>
        <w:t xml:space="preserve">JEL classification:</w:t>
      </w:r>
      <w:r>
        <w:t xml:space="preserve"> </w:t>
      </w:r>
      <w:r>
        <w:t xml:space="preserve">G14; G15; G18</w:t>
      </w:r>
    </w:p>
    <w:p>
      <w:pPr>
        <w:pStyle w:val="BodyText"/>
      </w:pPr>
      <w:r>
        <w:rPr>
          <w:bCs/>
          <w:b/>
        </w:rPr>
        <w:t xml:space="preserve">Tóm tắt.</w:t>
      </w:r>
      <w:r>
        <w:t xml:space="preserve"> </w:t>
      </w:r>
      <w:r>
        <w:t xml:space="preserve">Bài viết kiểm định một họ 26 giả thuyết trên 347 cổ phiếu HOSE (8/2024–9/2026): 22 đặc trưng giá–khối lượng và 4 kiểm định sự kiện chạm giá trần/giá sàn. Đặc tả được cố định trong nhật ký dự án có kiểm soát phiên bản trước khi tính kết quả; đây không phải đăng ký với cơ quan bên ngoài, và nhóm tác giả đã hoàn thành các bản thảo trước trên dữ liệu liên quan. Sau khi kiểm soát tỷ lệ phát hiện sai và dùng nửa mẫu xác nhận (không phải mẫu giữ lại nghiêm ngặt), 0 đặc trưng sống sót và 4 kiểm định sự kiện sống sót; kiểm định 5 ngày chủ yếu do ngày t+1 quyết định. Cổ phiếu đóng cửa ở giá trần có lợi suất bất thường ngày kế tiếp 1.66% (t = 4.9), toàn bộ đến từ khoảng trống giá qua đêm (2.23%), sau đó đảo chiều một phần trong phiên (-0.53%). Nhà đầu tư mua ở giá mở cửa kế tiếp không có lợi nhuận bất thường dương. Cơ chế (nhu cầu bị giới hạn chặn lại hay tin tức và sự chú ý) chưa thể phân biệt bằng dữ liệu hiện có. Một phân tích công khai chưa qua bình duyệt đã báo cáo hiệu ứng đóng cửa–đóng cửa tương tự.</w:t>
      </w:r>
    </w:p>
    <w:bookmarkStart w:id="20" w:name="introduction"/>
    <w:p>
      <w:pPr>
        <w:pStyle w:val="Heading1"/>
      </w:pPr>
      <w:r>
        <w:t xml:space="preserve">1. Introduction</w:t>
      </w:r>
    </w:p>
    <w:p>
      <w:pPr>
        <w:pStyle w:val="FirstParagraph"/>
      </w:pPr>
      <w:r>
        <w:t xml:space="preserve">A daily price limit stops a stock from moving beyond a fixed band on a single day. Price limits have a theoretical rationale in futures markets (Brennan, 1986). In equity markets, advocates argue that limits reduce volatility and counter overreaction, while critics argue that they delay price discovery, spill volatility into later days and interfere with trading (Kim &amp; Rhee, 1997). Theory also warns that trading halts can advance trades in time and raise price variability (Subrahmanyam, 1994). Kim and Rhee (1997) find support for all three critical hypotheses on the Tokyo Stock Exchange, Bildik and Gülay (2006) report support for volatility spillover, delayed price discovery and trading interference on the Istanbul Stock Exchange, Chen (1993) finds that return serial correlation falls as the limit widens in Taiwan, Berkman and Lee (2002) report more frequent price continuations after limit hits on the Korean Stock Exchange, and Cho et al. (2003) document a magnet effect toward the upper limit in intraday Taiwanese data. For the closest institutional analogue, the Chinese A-share market with retail-dominated trading and daily bands, Qi (2023) studies the widening of the ChiNext band from 10% to 20% and reports delayed price discovery, volatility spillover and trading interference, stronger at the lower limit, and no magnet effect; the Chinese evidence is mixed across studies and designs. Evidence for Vietnam is thinner. Le (2012) studies the effect of narrowing the fluctuation limit on stock price risk in Vietnam with GARCH models, Veeraraghavan et al. (2007; an SSRN working paper) study momentum and price limits on the Vietnamese exchange for 2000–2006, and an open analysis posted on GitHub (tungtran0911, 2026; not peer reviewed) reports that stocks closing at the HOSE ceiling earn a further 1.69% the next session while stocks that rise 3–6.5% give back 0.39%.</w:t>
      </w:r>
    </w:p>
    <w:p>
      <w:pPr>
        <w:pStyle w:val="BodyText"/>
      </w:pPr>
      <w:r>
        <w:t xml:space="preserve">We ask a narrower question than whether limits</w:t>
      </w:r>
      <w:r>
        <w:t xml:space="preserve"> </w:t>
      </w:r>
      <w:r>
        <w:t xml:space="preserve">“</w:t>
      </w:r>
      <w:r>
        <w:t xml:space="preserve">work</w:t>
      </w:r>
      <w:r>
        <w:t xml:space="preserve">”</w:t>
      </w:r>
      <w:r>
        <w:t xml:space="preserve">. On a stock-day basis, does closing at the limit predict the next day’s return, how much of that prediction is the overnight gap versus the trading session that follows, and is the prediction available to an investor who was not already holding the stock? The limit result is the contribution; the 22 characteristics play a supporting role. Because an investigator who searches many ideas will find a large effect by luck, we place the four limit tests in one family of 26 tests with the 22 familiar price- and volume-based characteristics, apply false-discovery-rate control (Benjamini &amp; Hochberg, 1995; Harvey et al., 2016) and ask whether the limit effect survives while the characteristics do not. The characteristic half has limited power (Section 4.7) and is reported as a multiplicity device and a null benchmark, not as a separate finding about the cross-section.</w:t>
      </w:r>
    </w:p>
    <w:p>
      <w:pPr>
        <w:pStyle w:val="BodyText"/>
      </w:pPr>
      <w:r>
        <w:rPr>
          <w:bCs/>
          <w:b/>
        </w:rPr>
        <w:t xml:space="preserve">Contributions and novelty.</w:t>
      </w:r>
      <w:r>
        <w:t xml:space="preserve"> </w:t>
      </w:r>
      <w:r>
        <w:t xml:space="preserve">To our knowledge, among the sources our search reached (Appendix C), no peer-reviewed study documents the following for HOSE: (i) a decomposition of the next-day effect into the overnight gap and the intraday return, showing that the continuation is a gap and that the following session reverses part of it; (ii) a comparison with stocks that moved nearly as far without reaching the limit, including stocks that also closed at their day’s high; and (iii) a multiplicity-controlled frame in which the same data yield no surviving characteristic. We separate what is confirmatory from what is exploratory. Confirmatory in the weak sense of fixed before computation in a project log: the four close-to-close and five-day event tests and the null for the 22 characteristics. Exploratory (post hoc): the decomposition, the comparison groups, the exact tick-rule definition, the sub-samples, the platform-change split and the attention proxies. The close-to-close ceiling effect is the confirmatory part and is also the part that is already public; the decomposition and the comparison with sub-limit moves are the new part and are exploratory.</w:t>
      </w:r>
    </w:p>
    <w:p>
      <w:pPr>
        <w:pStyle w:val="BodyText"/>
      </w:pPr>
      <w:r>
        <w:t xml:space="preserve">We do not claim to be first to document the close-to-close ceiling effect, nor its interpretation. tungtran0911 (2026) reports a close-to-close next-session effect of 1.69% after closes at or near the ceiling, a reversal after 3–6.5% rises, a mechanism in which the close is not a market-clearing price and the next session completes the move, and the inference that outsiders cannot capture the gap. Their sample (404 stocks, 2016–2026) contains our window, they define events by a return of at least 6.5% without requiring the close to equal the day’s high, and they use an equal-weighted benchmark; our estimate under their definition (a return of at least 6.5%) and an equal-weighted benchmark is 1.75% (1.87% under our stricter rule that also requires the close to equal the day’s high). Our result is therefore consistent with theirs but is not an independent replication: it uses the same exchange, an overlapping period and, at least partly, the same data vendor family. The overnight-gain-then-intraday-reversal signature is known from U.S. data for attention-grabbing stocks without any price limit (Berkman et al., 2012), so the gap-then-giveback pattern alone does not point to the limit. What a price limit adds is a testable contrast: if the limit is irrelevant, stocks that rose almost as much (5–6.5%) and also closed at their high should show the same gap. We test that contrast (Section 4.4); the answer is that they do not, although a difference in news content cannot be excluded.</w:t>
      </w:r>
    </w:p>
    <w:p>
      <w:pPr>
        <w:pStyle w:val="BodyText"/>
      </w:pPr>
      <w:r>
        <w:t xml:space="preserve">The remainder of the paper describes the data and design (Sections 2 and 3), reports results (Section 4), and discusses implications and limitations (Sections 5 and 6).</w:t>
      </w:r>
    </w:p>
    <w:bookmarkEnd w:id="20"/>
    <w:bookmarkStart w:id="21" w:name="data"/>
    <w:p>
      <w:pPr>
        <w:pStyle w:val="Heading1"/>
      </w:pPr>
      <w:r>
        <w:t xml:space="preserve">2. Data</w:t>
      </w:r>
    </w:p>
    <w:p>
      <w:pPr>
        <w:pStyle w:val="FirstParagraph"/>
      </w:pPr>
      <w:r>
        <w:t xml:space="preserve">The raw data are daily open, high, low, close and volume for 405 HOSE-listed stocks from 21 August 2024 to 23 September 2026, retrieved with the vnstock library; the stock list is a listing file from the VCI source dated 24 September 2026, so the universe is a snapshot of stocks listed at that date. We keep the 347 stocks with at least 95% non-missing prices (178,773 stock-days with a return). Returns are close-to-close. The market return is the dollar-volume-weighted return of all stocks, with weights from the trailing 60-day average dollar volume; stock abnormal returns are stock returns minus the market return over the same interval. The vendor does not document whether prices are adjusted for corporate actions.</w:t>
      </w:r>
    </w:p>
    <w:p>
      <w:pPr>
        <w:pStyle w:val="BodyText"/>
      </w:pPr>
      <w:r>
        <w:t xml:space="preserve">HOSE’s daily price limit is 7% around the reference price (the previous close on normal trading days), with a wider band on the first trading day of a newly listed stock, and the band was not changed by the move to the KRX trading platform on 5 May 2025 (HSC, 2025; Viet Nam News, 2025; these are brokerage and press descriptions of the exchange rules, not the exchange circulars, which we did not consult, so the rule is still treated as an assumption that we check against the data). The platform change matters for our design: the closing price that defines an event and the opening price that defines the gap are both call-auction prices, and under the new system the at-the-open (ATO) and at-the-close (ATC) orders no longer have priority over limit orders in the auctions (HSC, 2025; Viet Nam News, 2025). The window therefore contains a trading-system regime change at about month 9 of 25 (Section 4.8). Table 1 shows that 1.98% of stock-days have a return between +6.5% and +7.1% and 1.30% between −7.1% and −6.5%, against 0.29% between +6.0% and +6.5%, 0.010% between +7.1% and +8.0%, and 0.064% beyond ±7.1%, which is the pile-up expected from a 7% limit. Returns beyond ±7.1% can arise from first-day listing bands, resumed trading, or unadjusted corporate actions; Section 4.7 reports that excluding events within five days of such returns leaves the estimates unchanged, but we do not investigate their individual causes.</w:t>
      </w:r>
    </w:p>
    <w:p>
      <w:pPr>
        <w:pStyle w:val="BodyText"/>
      </w:pPr>
      <w:r>
        <w:t xml:space="preserve">Table 1. Distribution of daily returns around the 7% limit, 347 analysed stocks.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Close-to-close return</w:t>
            </w:r>
          </w:p>
        </w:tc>
        <w:tc>
          <w:tcPr/>
          <w:p>
            <w:pPr>
              <w:pStyle w:val="Compact"/>
              <w:jc w:val="left"/>
            </w:pPr>
            <w:r>
              <w:t xml:space="preserve">Stock-days</w:t>
            </w:r>
          </w:p>
        </w:tc>
        <w:tc>
          <w:tcPr/>
          <w:p>
            <w:pPr>
              <w:pStyle w:val="Compact"/>
              <w:jc w:val="left"/>
            </w:pPr>
            <w:r>
              <w:t xml:space="preserve">Share (%)</w:t>
            </w:r>
          </w:p>
        </w:tc>
      </w:tr>
      <w:tr>
        <w:tc>
          <w:tcPr/>
          <w:p>
            <w:pPr>
              <w:pStyle w:val="Compact"/>
              <w:jc w:val="left"/>
            </w:pPr>
            <w:r>
              <w:t xml:space="preserve">&lt; -8.0%</w:t>
            </w:r>
          </w:p>
        </w:tc>
        <w:tc>
          <w:tcPr/>
          <w:p>
            <w:pPr>
              <w:pStyle w:val="Compact"/>
              <w:jc w:val="left"/>
            </w:pPr>
            <w:r>
              <w:t xml:space="preserve">38</w:t>
            </w:r>
          </w:p>
        </w:tc>
        <w:tc>
          <w:tcPr/>
          <w:p>
            <w:pPr>
              <w:pStyle w:val="Compact"/>
              <w:jc w:val="left"/>
            </w:pPr>
            <w:r>
              <w:t xml:space="preserve">0.021</w:t>
            </w:r>
          </w:p>
        </w:tc>
      </w:tr>
      <w:tr>
        <w:tc>
          <w:tcPr/>
          <w:p>
            <w:pPr>
              <w:pStyle w:val="Compact"/>
              <w:jc w:val="left"/>
            </w:pPr>
            <w:r>
              <w:t xml:space="preserve">-8.0% to -7.1%</w:t>
            </w:r>
          </w:p>
        </w:tc>
        <w:tc>
          <w:tcPr/>
          <w:p>
            <w:pPr>
              <w:pStyle w:val="Compact"/>
              <w:jc w:val="left"/>
            </w:pPr>
            <w:r>
              <w:t xml:space="preserve">2</w:t>
            </w:r>
          </w:p>
        </w:tc>
        <w:tc>
          <w:tcPr/>
          <w:p>
            <w:pPr>
              <w:pStyle w:val="Compact"/>
              <w:jc w:val="left"/>
            </w:pPr>
            <w:r>
              <w:t xml:space="preserve">0.001</w:t>
            </w:r>
          </w:p>
        </w:tc>
      </w:tr>
      <w:tr>
        <w:tc>
          <w:tcPr/>
          <w:p>
            <w:pPr>
              <w:pStyle w:val="Compact"/>
              <w:jc w:val="left"/>
            </w:pPr>
            <w:r>
              <w:t xml:space="preserve">-7.1% to -6.9%</w:t>
            </w:r>
          </w:p>
        </w:tc>
        <w:tc>
          <w:tcPr/>
          <w:p>
            <w:pPr>
              <w:pStyle w:val="Compact"/>
              <w:jc w:val="left"/>
            </w:pPr>
            <w:r>
              <w:t xml:space="preserve">1,136</w:t>
            </w:r>
          </w:p>
        </w:tc>
        <w:tc>
          <w:tcPr/>
          <w:p>
            <w:pPr>
              <w:pStyle w:val="Compact"/>
              <w:jc w:val="left"/>
            </w:pPr>
            <w:r>
              <w:t xml:space="preserve">0.635</w:t>
            </w:r>
          </w:p>
        </w:tc>
      </w:tr>
      <w:tr>
        <w:tc>
          <w:tcPr/>
          <w:p>
            <w:pPr>
              <w:pStyle w:val="Compact"/>
              <w:jc w:val="left"/>
            </w:pPr>
            <w:r>
              <w:t xml:space="preserve">-6.9% to -6.5%</w:t>
            </w:r>
          </w:p>
        </w:tc>
        <w:tc>
          <w:tcPr/>
          <w:p>
            <w:pPr>
              <w:pStyle w:val="Compact"/>
              <w:jc w:val="left"/>
            </w:pPr>
            <w:r>
              <w:t xml:space="preserve">1,193</w:t>
            </w:r>
          </w:p>
        </w:tc>
        <w:tc>
          <w:tcPr/>
          <w:p>
            <w:pPr>
              <w:pStyle w:val="Compact"/>
              <w:jc w:val="left"/>
            </w:pPr>
            <w:r>
              <w:t xml:space="preserve">0.667</w:t>
            </w:r>
          </w:p>
        </w:tc>
      </w:tr>
      <w:tr>
        <w:tc>
          <w:tcPr/>
          <w:p>
            <w:pPr>
              <w:pStyle w:val="Compact"/>
              <w:jc w:val="left"/>
            </w:pPr>
            <w:r>
              <w:t xml:space="preserve">-6.5% to -6.0%</w:t>
            </w:r>
          </w:p>
        </w:tc>
        <w:tc>
          <w:tcPr/>
          <w:p>
            <w:pPr>
              <w:pStyle w:val="Compact"/>
              <w:jc w:val="left"/>
            </w:pPr>
            <w:r>
              <w:t xml:space="preserve">459</w:t>
            </w:r>
          </w:p>
        </w:tc>
        <w:tc>
          <w:tcPr/>
          <w:p>
            <w:pPr>
              <w:pStyle w:val="Compact"/>
              <w:jc w:val="left"/>
            </w:pPr>
            <w:r>
              <w:t xml:space="preserve">0.257</w:t>
            </w:r>
          </w:p>
        </w:tc>
      </w:tr>
      <w:tr>
        <w:tc>
          <w:tcPr/>
          <w:p>
            <w:pPr>
              <w:pStyle w:val="Compact"/>
              <w:jc w:val="left"/>
            </w:pPr>
            <w:r>
              <w:t xml:space="preserve">-6.0% to 6.0%</w:t>
            </w:r>
          </w:p>
        </w:tc>
        <w:tc>
          <w:tcPr/>
          <w:p>
            <w:pPr>
              <w:pStyle w:val="Compact"/>
              <w:jc w:val="left"/>
            </w:pPr>
            <w:r>
              <w:t xml:space="preserve">171,809</w:t>
            </w:r>
          </w:p>
        </w:tc>
        <w:tc>
          <w:tcPr/>
          <w:p>
            <w:pPr>
              <w:pStyle w:val="Compact"/>
              <w:jc w:val="left"/>
            </w:pPr>
            <w:r>
              <w:t xml:space="preserve">96.105</w:t>
            </w:r>
          </w:p>
        </w:tc>
      </w:tr>
      <w:tr>
        <w:tc>
          <w:tcPr/>
          <w:p>
            <w:pPr>
              <w:pStyle w:val="Compact"/>
              <w:jc w:val="left"/>
            </w:pPr>
            <w:r>
              <w:t xml:space="preserve">6.0% to 6.5%</w:t>
            </w:r>
          </w:p>
        </w:tc>
        <w:tc>
          <w:tcPr/>
          <w:p>
            <w:pPr>
              <w:pStyle w:val="Compact"/>
              <w:jc w:val="left"/>
            </w:pPr>
            <w:r>
              <w:t xml:space="preserve">514</w:t>
            </w:r>
          </w:p>
        </w:tc>
        <w:tc>
          <w:tcPr/>
          <w:p>
            <w:pPr>
              <w:pStyle w:val="Compact"/>
              <w:jc w:val="left"/>
            </w:pPr>
            <w:r>
              <w:t xml:space="preserve">0.288</w:t>
            </w:r>
          </w:p>
        </w:tc>
      </w:tr>
      <w:tr>
        <w:tc>
          <w:tcPr/>
          <w:p>
            <w:pPr>
              <w:pStyle w:val="Compact"/>
              <w:jc w:val="left"/>
            </w:pPr>
            <w:r>
              <w:t xml:space="preserve">6.5% to 6.9%</w:t>
            </w:r>
          </w:p>
        </w:tc>
        <w:tc>
          <w:tcPr/>
          <w:p>
            <w:pPr>
              <w:pStyle w:val="Compact"/>
              <w:jc w:val="left"/>
            </w:pPr>
            <w:r>
              <w:t xml:space="preserve">1,925</w:t>
            </w:r>
          </w:p>
        </w:tc>
        <w:tc>
          <w:tcPr/>
          <w:p>
            <w:pPr>
              <w:pStyle w:val="Compact"/>
              <w:jc w:val="left"/>
            </w:pPr>
            <w:r>
              <w:t xml:space="preserve">1.077</w:t>
            </w:r>
          </w:p>
        </w:tc>
      </w:tr>
      <w:tr>
        <w:tc>
          <w:tcPr/>
          <w:p>
            <w:pPr>
              <w:pStyle w:val="Compact"/>
              <w:jc w:val="left"/>
            </w:pPr>
            <w:r>
              <w:t xml:space="preserve">6.9% to 7.1%</w:t>
            </w:r>
          </w:p>
        </w:tc>
        <w:tc>
          <w:tcPr/>
          <w:p>
            <w:pPr>
              <w:pStyle w:val="Compact"/>
              <w:jc w:val="left"/>
            </w:pPr>
            <w:r>
              <w:t xml:space="preserve">1,622</w:t>
            </w:r>
          </w:p>
        </w:tc>
        <w:tc>
          <w:tcPr/>
          <w:p>
            <w:pPr>
              <w:pStyle w:val="Compact"/>
              <w:jc w:val="left"/>
            </w:pPr>
            <w:r>
              <w:t xml:space="preserve">0.907</w:t>
            </w:r>
          </w:p>
        </w:tc>
      </w:tr>
      <w:tr>
        <w:tc>
          <w:tcPr/>
          <w:p>
            <w:pPr>
              <w:pStyle w:val="Compact"/>
              <w:jc w:val="left"/>
            </w:pPr>
            <w:r>
              <w:t xml:space="preserve">7.1% to 8.0%</w:t>
            </w:r>
          </w:p>
        </w:tc>
        <w:tc>
          <w:tcPr/>
          <w:p>
            <w:pPr>
              <w:pStyle w:val="Compact"/>
              <w:jc w:val="left"/>
            </w:pPr>
            <w:r>
              <w:t xml:space="preserve">17</w:t>
            </w:r>
          </w:p>
        </w:tc>
        <w:tc>
          <w:tcPr/>
          <w:p>
            <w:pPr>
              <w:pStyle w:val="Compact"/>
              <w:jc w:val="left"/>
            </w:pPr>
            <w:r>
              <w:t xml:space="preserve">0.010</w:t>
            </w:r>
          </w:p>
        </w:tc>
      </w:tr>
      <w:tr>
        <w:tc>
          <w:tcPr/>
          <w:p>
            <w:pPr>
              <w:pStyle w:val="Compact"/>
              <w:jc w:val="left"/>
            </w:pPr>
            <w:r>
              <w:t xml:space="preserve">&gt; 8.0%</w:t>
            </w:r>
          </w:p>
        </w:tc>
        <w:tc>
          <w:tcPr/>
          <w:p>
            <w:pPr>
              <w:pStyle w:val="Compact"/>
              <w:jc w:val="left"/>
            </w:pPr>
            <w:r>
              <w:t xml:space="preserve">58</w:t>
            </w:r>
          </w:p>
        </w:tc>
        <w:tc>
          <w:tcPr/>
          <w:p>
            <w:pPr>
              <w:pStyle w:val="Compact"/>
              <w:jc w:val="left"/>
            </w:pPr>
            <w:r>
              <w:t xml:space="preserve">0.032</w:t>
            </w:r>
          </w:p>
        </w:tc>
      </w:tr>
    </w:tbl>
    <w:p>
      <w:pPr>
        <w:pStyle w:val="BodyText"/>
      </w:pPr>
      <w:r>
        <w:t xml:space="preserve">We do not observe order books, trade sizes by investor type, or intraday prices beyond the high and the low. Market capitalization is also unavailable for this sample, which is why the market return uses dollar-volume weights.</w:t>
      </w:r>
    </w:p>
    <w:bookmarkEnd w:id="21"/>
    <w:bookmarkStart w:id="24" w:name="design"/>
    <w:p>
      <w:pPr>
        <w:pStyle w:val="Heading1"/>
      </w:pPr>
      <w:r>
        <w:t xml:space="preserve">3. Design</w:t>
      </w:r>
    </w:p>
    <w:bookmarkStart w:id="22" w:name="a-log-specified-family-of-26-tests"/>
    <w:p>
      <w:pPr>
        <w:pStyle w:val="Heading2"/>
      </w:pPr>
      <w:r>
        <w:t xml:space="preserve">3.1 A log-specified family of 26 tests</w:t>
      </w:r>
    </w:p>
    <w:p>
      <w:pPr>
        <w:pStyle w:val="FirstParagraph"/>
      </w:pPr>
      <w:r>
        <w:t xml:space="preserve">Before computing any result we fixed the family, the estimators, the multiplicity controls and the survival rule in a time-stamped internal decision log (</w:t>
      </w:r>
      <w:r>
        <w:rPr>
          <w:rStyle w:val="VerbatimChar"/>
        </w:rPr>
        <w:t xml:space="preserve">process/03_brainstorm_round2.md</w:t>
      </w:r>
      <w:r>
        <w:t xml:space="preserve">,</w:t>
      </w:r>
      <w:r>
        <w:t xml:space="preserve"> </w:t>
      </w:r>
      <w:r>
        <w:rPr>
          <w:rStyle w:val="VerbatimChar"/>
        </w:rPr>
        <w:t xml:space="preserve">process/decisions.md</w:t>
      </w:r>
      <w:r>
        <w:t xml:space="preserve"> </w:t>
      </w:r>
      <w:r>
        <w:t xml:space="preserve">A3).</w:t>
      </w:r>
      <w:r>
        <w:t xml:space="preserve"> </w:t>
      </w:r>
      <w:r>
        <w:t xml:space="preserve">“</w:t>
      </w:r>
      <w:r>
        <w:t xml:space="preserve">Specified in advance</w:t>
      </w:r>
      <w:r>
        <w:t xml:space="preserve">”</w:t>
      </w:r>
      <w:r>
        <w:t xml:space="preserve"> </w:t>
      </w:r>
      <w:r>
        <w:t xml:space="preserve">here means fixed in that log before the results were computed; it is not an external registry entry, and the earlier manuscripts of the same project (on portfolio construction) had already been completed on related data, so the specification is not independent of the project’s prior results (Section 6). What can be checked from outside is the order of events in the version-controlled repository: the file</w:t>
      </w:r>
      <w:r>
        <w:t xml:space="preserve"> </w:t>
      </w:r>
      <w:r>
        <w:rPr>
          <w:rStyle w:val="VerbatimChar"/>
        </w:rPr>
        <w:t xml:space="preserve">process/03_brainstorm_round2.md</w:t>
      </w:r>
      <w:r>
        <w:t xml:space="preserve">, which contains the family, the estimators, the multiplicity controls and the survival rule, was committed at 07:23:38 UTC on 4 October 2026 (commit 63bdc6d; SHA-256 of the file as committed 3d6dc7e1ff57…026effaf; full value in Appendix A), and the first commit that contains the analysis code and any result tables (commit 9b8644b) is dated 07:36:19 UTC the same day. Commit dates are set by the committer and are not an independent time stamp; only the push times recorded by the repository host are external, and the authors should deposit the files with an independent time stamp before submission. We use the words</w:t>
      </w:r>
      <w:r>
        <w:t xml:space="preserve"> </w:t>
      </w:r>
      <w:r>
        <w:t xml:space="preserve">“</w:t>
      </w:r>
      <w:r>
        <w:t xml:space="preserve">log-specified</w:t>
      </w:r>
      <w:r>
        <w:t xml:space="preserve">”</w:t>
      </w:r>
      <w:r>
        <w:t xml:space="preserve"> </w:t>
      </w:r>
      <w:r>
        <w:t xml:space="preserve">in the sense just defined and not as</w:t>
      </w:r>
      <w:r>
        <w:t xml:space="preserve"> </w:t>
      </w:r>
      <w:r>
        <w:t xml:space="preserve">“</w:t>
      </w:r>
      <w:r>
        <w:t xml:space="preserve">pre-registered</w:t>
      </w:r>
      <w:r>
        <w:t xml:space="preserve">”</w:t>
      </w:r>
      <w:r>
        <w:t xml:space="preserve">. The family is 22 characteristics measured at the end of each week and four price-limit event tests.</w:t>
      </w:r>
    </w:p>
    <w:p>
      <w:pPr>
        <w:pStyle w:val="BodyText"/>
      </w:pPr>
      <w:r>
        <w:rPr>
          <w:iCs/>
          <w:i/>
        </w:rPr>
        <w:t xml:space="preserve">Characteristics.</w:t>
      </w:r>
      <w:r>
        <w:t xml:space="preserve"> </w:t>
      </w:r>
      <w:r>
        <w:t xml:space="preserve">Momentum and reversal: 5-day return (REV1W), 20-day return (REV1M), 60-day return skipping 5 days (MOM3M), 110-day return skipping 5 days (MOM6M), 60-day idiosyncratic momentum (IMOM). Risk: 60-day volatility (VOL), idiosyncratic volatility (IVOL), market beta (BETA), downside deviation (DOWNVOL), Parkinson (1980) range volatility (RANGEVOL), maximum daily return in 20 days (MAX; Bali et al., 2011), minimum daily return (MIN), skewness (SKEW), kurtosis (KURT). Liquidity and volume: Amihud (2002) illiquidity (AMIHUD), log dollar volume (LNDVOL), 20/60-day dollar-volume ratio (DVOLCHG) and volume ratio (TURNCHG), the Corwin and Schultz (2012) spread (CSSPREAD). Intraday: mean overnight return (OVERNIGHT), mean intraday return (INTRADAY), share of days with a move of 6.5% or more (LIMITFREQ). Each is rank-normalized in the cross-section.</w:t>
      </w:r>
    </w:p>
    <w:p>
      <w:pPr>
        <w:pStyle w:val="BodyText"/>
      </w:pPr>
      <w:r>
        <w:rPr>
          <w:iCs/>
          <w:i/>
        </w:rPr>
        <w:t xml:space="preserve">Estimator.</w:t>
      </w:r>
      <w:r>
        <w:t xml:space="preserve"> </w:t>
      </w:r>
      <w:r>
        <w:t xml:space="preserve">Weekly Fama and MacBeth (1973) cross-sectional regressions of the next five trading days’ abnormal return on one standardized characteristic at a time, with Newey and West (1987) t-statistics (4 lags) on the time series of slopes; 79 weekly cross-sections (the first decision is on trading day 120 to allow the longest lookback, then every fifth day, giving 79 decisions in the 519-day sample). The first 39 weeks are the discovery half and the remaining 40 the confirmation half. For each characteristic we also report the long–short quintile spread (equal weighted) net of a cost of 25 basis points per unit of traded value, and the t-statistic after excluding the least liquid 20% of stocks.</w:t>
      </w:r>
    </w:p>
    <w:p>
      <w:pPr>
        <w:pStyle w:val="BodyText"/>
      </w:pPr>
      <w:r>
        <w:rPr>
          <w:iCs/>
          <w:i/>
        </w:rPr>
        <w:t xml:space="preserve">Limit events.</w:t>
      </w:r>
      <w:r>
        <w:t xml:space="preserve"> </w:t>
      </w:r>
      <w:r>
        <w:t xml:space="preserve">A ceiling event is a day with a return of at least +6.5% and a close equal to the day’s high; a floor event is a return of at most −6.5% with a close equal to the day’s low. Outcomes are the market-adjusted return on day</w:t>
      </w:r>
      <w:r>
        <w:t xml:space="preserve"> </w:t>
      </w:r>
      <m:oMath>
        <m:r>
          <m:t>t</m:t>
        </m:r>
        <m:r>
          <m:rPr>
            <m:sty m:val="p"/>
          </m:rPr>
          <m:t>+</m:t>
        </m:r>
        <m:r>
          <m:t>1</m:t>
        </m:r>
      </m:oMath>
      <w:r>
        <w:t xml:space="preserve"> </w:t>
      </w:r>
      <w:r>
        <w:t xml:space="preserve">and cumulatively over days</w:t>
      </w:r>
      <w:r>
        <w:t xml:space="preserve"> </w:t>
      </w:r>
      <m:oMath>
        <m:r>
          <m:t>t</m:t>
        </m:r>
        <m:r>
          <m:rPr>
            <m:sty m:val="p"/>
          </m:rPr>
          <m:t>+</m:t>
        </m:r>
        <m:r>
          <m:t>1</m:t>
        </m:r>
      </m:oMath>
      <w:r>
        <w:t xml:space="preserve"> </w:t>
      </w:r>
      <w:r>
        <w:t xml:space="preserve">to</w:t>
      </w:r>
      <w:r>
        <w:t xml:space="preserve"> </w:t>
      </w:r>
      <m:oMath>
        <m:r>
          <m:t>t</m:t>
        </m:r>
        <m:r>
          <m:rPr>
            <m:sty m:val="p"/>
          </m:rPr>
          <m:t>+</m:t>
        </m:r>
        <m:r>
          <m:t>5</m:t>
        </m:r>
      </m:oMath>
      <w:r>
        <w:t xml:space="preserve"> </w:t>
      </w:r>
      <w:r>
        <w:t xml:space="preserve">(the specification names the horizons both as</w:t>
      </w:r>
      <w:r>
        <w:t xml:space="preserve"> </w:t>
      </w:r>
      <w:r>
        <w:t xml:space="preserve">“</w:t>
      </w:r>
      <m:oMath>
        <m:r>
          <m:t>t</m:t>
        </m:r>
        <m:r>
          <m:rPr>
            <m:sty m:val="p"/>
          </m:rPr>
          <m:t>+</m:t>
        </m:r>
        <m:r>
          <m:t>1</m:t>
        </m:r>
      </m:oMath>
      <w:r>
        <w:t xml:space="preserve"> </w:t>
      </w:r>
      <w:r>
        <w:t xml:space="preserve">and</w:t>
      </w:r>
      <w:r>
        <w:t xml:space="preserve"> </w:t>
      </w:r>
      <m:oMath>
        <m:r>
          <m:t>t</m:t>
        </m:r>
        <m:r>
          <m:rPr>
            <m:sty m:val="p"/>
          </m:rPr>
          <m:t>+</m:t>
        </m:r>
        <m:r>
          <m:t>2</m:t>
        </m:r>
      </m:oMath>
      <w:r>
        <w:t xml:space="preserve"> </w:t>
      </w:r>
      <w:r>
        <w:t xml:space="preserve">to</w:t>
      </w:r>
      <w:r>
        <w:t xml:space="preserve"> </w:t>
      </w:r>
      <m:oMath>
        <m:r>
          <m:t>t</m:t>
        </m:r>
        <m:r>
          <m:rPr>
            <m:sty m:val="p"/>
          </m:rPr>
          <m:t>+</m:t>
        </m:r>
        <m:r>
          <m:t>5</m:t>
        </m:r>
      </m:oMath>
      <w:r>
        <w:t xml:space="preserve">”</w:t>
      </w:r>
      <w:r>
        <w:t xml:space="preserve"> </w:t>
      </w:r>
      <w:r>
        <w:t xml:space="preserve">and, when it counts the family, as</w:t>
      </w:r>
      <w:r>
        <w:t xml:space="preserve"> </w:t>
      </w:r>
      <w:r>
        <w:t xml:space="preserve">“</w:t>
      </w:r>
      <m:oMath>
        <m:r>
          <m:t>t</m:t>
        </m:r>
        <m:r>
          <m:rPr>
            <m:sty m:val="p"/>
          </m:rPr>
          <m:t>+</m:t>
        </m:r>
        <m:r>
          <m:t>1</m:t>
        </m:r>
      </m:oMath>
      <w:r>
        <w:t xml:space="preserve">,</w:t>
      </w:r>
      <w:r>
        <w:t xml:space="preserve"> </w:t>
      </w:r>
      <m:oMath>
        <m:r>
          <m:t>t</m:t>
        </m:r>
        <m:r>
          <m:rPr>
            <m:sty m:val="p"/>
          </m:rPr>
          <m:t>+</m:t>
        </m:r>
        <m:r>
          <m:t>1</m:t>
        </m:r>
      </m:oMath>
      <w:r>
        <w:t xml:space="preserve"> </w:t>
      </w:r>
      <w:r>
        <w:t xml:space="preserve">to</w:t>
      </w:r>
      <w:r>
        <w:t xml:space="preserve"> </w:t>
      </w:r>
      <m:oMath>
        <m:r>
          <m:t>t</m:t>
        </m:r>
        <m:r>
          <m:rPr>
            <m:sty m:val="p"/>
          </m:rPr>
          <m:t>+</m:t>
        </m:r>
        <m:r>
          <m:t>5</m:t>
        </m:r>
      </m:oMath>
      <w:r>
        <w:t xml:space="preserve">”</w:t>
      </w:r>
      <w:r>
        <w:t xml:space="preserve">; we implemented the second reading and report the days</w:t>
      </w:r>
      <w:r>
        <w:t xml:space="preserve"> </w:t>
      </w:r>
      <m:oMath>
        <m:r>
          <m:t>t</m:t>
        </m:r>
        <m:r>
          <m:rPr>
            <m:sty m:val="p"/>
          </m:rPr>
          <m:t>+</m:t>
        </m:r>
        <m:r>
          <m:t>2</m:t>
        </m:r>
      </m:oMath>
      <w:r>
        <w:t xml:space="preserve"> </w:t>
      </w:r>
      <w:r>
        <w:t xml:space="preserve">to</w:t>
      </w:r>
      <w:r>
        <w:t xml:space="preserve"> </w:t>
      </w:r>
      <m:oMath>
        <m:r>
          <m:t>t</m:t>
        </m:r>
        <m:r>
          <m:rPr>
            <m:sty m:val="p"/>
          </m:rPr>
          <m:t>+</m:t>
        </m:r>
        <m:r>
          <m:t>5</m:t>
        </m:r>
      </m:oMath>
      <w:r>
        <w:t xml:space="preserve"> </w:t>
      </w:r>
      <w:r>
        <w:t xml:space="preserve">outcome in Section 4.2). Inference uses the cross-sectional mean with standard errors clustered by date. These are the four event tests (ceiling and floor, two horizons).</w:t>
      </w:r>
    </w:p>
    <w:p>
      <w:pPr>
        <w:pStyle w:val="BodyText"/>
      </w:pPr>
      <w:r>
        <w:rPr>
          <w:iCs/>
          <w:i/>
        </w:rPr>
        <w:t xml:space="preserve">Multiplicity.</w:t>
      </w:r>
      <w:r>
        <w:t xml:space="preserve"> </w:t>
      </w:r>
      <w:r>
        <w:t xml:space="preserve">The 26 p-values are adjusted by Benjamini–Hochberg (5% false-discovery rate) and by Holm (1979); we also report the Harvey et al. (2016) threshold of |t| = 3. A test</w:t>
      </w:r>
      <w:r>
        <w:t xml:space="preserve"> </w:t>
      </w:r>
      <w:r>
        <w:rPr>
          <w:iCs/>
          <w:i/>
        </w:rPr>
        <w:t xml:space="preserve">survives</w:t>
      </w:r>
      <w:r>
        <w:t xml:space="preserve"> </w:t>
      </w:r>
      <w:r>
        <w:t xml:space="preserve">if its adjusted p-value is below 5% and, in addition, its sign in the discovery half agrees with the full sample and the confirmation-half |t| exceeds 1.96.</w:t>
      </w:r>
    </w:p>
    <w:p>
      <w:pPr>
        <w:pStyle w:val="BodyText"/>
      </w:pPr>
      <w:r>
        <w:rPr>
          <w:iCs/>
          <w:i/>
        </w:rPr>
        <w:t xml:space="preserve">Deviations between the specification and the implementation.</w:t>
      </w:r>
      <w:r>
        <w:t xml:space="preserve"> </w:t>
      </w:r>
      <w:r>
        <w:t xml:space="preserve">(a) The specification described the event horizons as day</w:t>
      </w:r>
      <w:r>
        <w:t xml:space="preserve"> </w:t>
      </w:r>
      <m:oMath>
        <m:r>
          <m:t>t</m:t>
        </m:r>
        <m:r>
          <m:rPr>
            <m:sty m:val="p"/>
          </m:rPr>
          <m:t>+</m:t>
        </m:r>
        <m:r>
          <m:t>1</m:t>
        </m:r>
      </m:oMath>
      <w:r>
        <w:t xml:space="preserve"> </w:t>
      </w:r>
      <w:r>
        <w:t xml:space="preserve">and days</w:t>
      </w:r>
      <w:r>
        <w:t xml:space="preserve"> </w:t>
      </w:r>
      <m:oMath>
        <m:r>
          <m:t>t</m:t>
        </m:r>
        <m:r>
          <m:rPr>
            <m:sty m:val="p"/>
          </m:rPr>
          <m:t>+</m:t>
        </m:r>
        <m:r>
          <m:t>2</m:t>
        </m:r>
      </m:oMath>
      <w:r>
        <w:t xml:space="preserve"> </w:t>
      </w:r>
      <w:r>
        <w:t xml:space="preserve">to</w:t>
      </w:r>
      <w:r>
        <w:t xml:space="preserve"> </w:t>
      </w:r>
      <m:oMath>
        <m:r>
          <m:t>t</m:t>
        </m:r>
        <m:r>
          <m:rPr>
            <m:sty m:val="p"/>
          </m:rPr>
          <m:t>+</m:t>
        </m:r>
        <m:r>
          <m:t>5</m:t>
        </m:r>
      </m:oMath>
      <w:r>
        <w:t xml:space="preserve"> </w:t>
      </w:r>
      <w:r>
        <w:t xml:space="preserve">in one place and as</w:t>
      </w:r>
      <w:r>
        <w:t xml:space="preserve"> </w:t>
      </w:r>
      <m:oMath>
        <m:r>
          <m:t>t</m:t>
        </m:r>
        <m:r>
          <m:rPr>
            <m:sty m:val="p"/>
          </m:rPr>
          <m:t>+</m:t>
        </m:r>
        <m:r>
          <m:t>1</m:t>
        </m:r>
      </m:oMath>
      <w:r>
        <w:t xml:space="preserve"> </w:t>
      </w:r>
      <w:r>
        <w:t xml:space="preserve">and</w:t>
      </w:r>
      <w:r>
        <w:t xml:space="preserve"> </w:t>
      </w:r>
      <m:oMath>
        <m:r>
          <m:t>t</m:t>
        </m:r>
        <m:r>
          <m:rPr>
            <m:sty m:val="p"/>
          </m:rPr>
          <m:t>+</m:t>
        </m:r>
        <m:r>
          <m:t>1</m:t>
        </m:r>
      </m:oMath>
      <w:r>
        <w:t xml:space="preserve"> </w:t>
      </w:r>
      <w:r>
        <w:t xml:space="preserve">to</w:t>
      </w:r>
      <w:r>
        <w:t xml:space="preserve"> </w:t>
      </w:r>
      <m:oMath>
        <m:r>
          <m:t>t</m:t>
        </m:r>
        <m:r>
          <m:rPr>
            <m:sty m:val="p"/>
          </m:rPr>
          <m:t>+</m:t>
        </m:r>
        <m:r>
          <m:t>5</m:t>
        </m:r>
      </m:oMath>
      <w:r>
        <w:t xml:space="preserve"> </w:t>
      </w:r>
      <w:r>
        <w:t xml:space="preserve">in the family count; we implemented the cumulative return over days</w:t>
      </w:r>
      <w:r>
        <w:t xml:space="preserve"> </w:t>
      </w:r>
      <m:oMath>
        <m:r>
          <m:t>t</m:t>
        </m:r>
        <m:r>
          <m:rPr>
            <m:sty m:val="p"/>
          </m:rPr>
          <m:t>+</m:t>
        </m:r>
        <m:r>
          <m:t>1</m:t>
        </m:r>
      </m:oMath>
      <w:r>
        <w:t xml:space="preserve"> </w:t>
      </w:r>
      <w:r>
        <w:t xml:space="preserve">to</w:t>
      </w:r>
      <w:r>
        <w:t xml:space="preserve"> </w:t>
      </w:r>
      <m:oMath>
        <m:r>
          <m:t>t</m:t>
        </m:r>
        <m:r>
          <m:rPr>
            <m:sty m:val="p"/>
          </m:rPr>
          <m:t>+</m:t>
        </m:r>
        <m:r>
          <m:t>5</m:t>
        </m:r>
      </m:oMath>
      <w:r>
        <w:t xml:space="preserve"> </w:t>
      </w:r>
      <w:r>
        <w:t xml:space="preserve">and report the other horizon in Section 4.2. (b) The specification asked for decile spreads and we report quintile spreads; it listed a same-stock non-event control and a multivariate model of the surviving characteristics; neither was implemented (no characteristic survived; the control was replaced by a same-date control in Section 4.7). (c) For the event tests the first-half and second-half samples are split at the median event date, not at weeks 39 and 40 (the split at weeks 39 and 40 is reported in Table 3b). (d) The specification of the 3-month momentum and idiosyncratic momentum windows was 60 days; an early version of the code used 59 days; the window was corrected to 60 days after the first independent integrity review and all dependent tables were regenerated (the t-statistics changed from 1.55 to 1.45 and from 1.53 to 1.45). (e) Table 3 uses dollar-volume weights through day</w:t>
      </w:r>
      <w:r>
        <w:t xml:space="preserve"> </w:t>
      </w:r>
      <m:oMath>
        <m:r>
          <m:t>t</m:t>
        </m:r>
        <m:r>
          <m:rPr>
            <m:sty m:val="p"/>
          </m:rPr>
          <m:t>+</m:t>
        </m:r>
        <m:r>
          <m:t>1</m:t>
        </m:r>
      </m:oMath>
      <w:r>
        <w:t xml:space="preserve"> </w:t>
      </w:r>
      <w:r>
        <w:t xml:space="preserve">for the market return; on the same events, lagged weights give 1.667% instead of 1.660%, and lagged weights are used in Tables 4 to 8.</w:t>
      </w:r>
    </w:p>
    <w:p>
      <w:pPr>
        <w:pStyle w:val="BodyText"/>
      </w:pPr>
      <w:r>
        <w:t xml:space="preserve">The event window runs from trading day 61 (so that 60 days of trailing dollar volume exist) to five trading days before the last day; stock-days outside it are not events.</w:t>
      </w:r>
    </w:p>
    <w:bookmarkEnd w:id="22"/>
    <w:bookmarkStart w:id="23" w:name="post-hoc-analyses"/>
    <w:p>
      <w:pPr>
        <w:pStyle w:val="Heading2"/>
      </w:pPr>
      <w:r>
        <w:t xml:space="preserve">3.2 Post hoc analyses</w:t>
      </w:r>
    </w:p>
    <w:p>
      <w:pPr>
        <w:pStyle w:val="FirstParagraph"/>
      </w:pPr>
      <w:r>
        <w:t xml:space="preserve">The following analyses were added</w:t>
      </w:r>
      <w:r>
        <w:t xml:space="preserve"> </w:t>
      </w:r>
      <w:r>
        <w:rPr>
          <w:bCs/>
          <w:b/>
        </w:rPr>
        <w:t xml:space="preserve">after</w:t>
      </w:r>
      <w:r>
        <w:t xml:space="preserve"> </w:t>
      </w:r>
      <w:r>
        <w:t xml:space="preserve">seeing that the limit tests survive; they are labelled post hoc throughout (</w:t>
      </w:r>
      <w:r>
        <w:rPr>
          <w:rStyle w:val="VerbatimChar"/>
        </w:rPr>
        <w:t xml:space="preserve">process/decisions.md</w:t>
      </w:r>
      <w:r>
        <w:t xml:space="preserve"> </w:t>
      </w:r>
      <w:r>
        <w:t xml:space="preserve">A4): (a) decomposition of day</w:t>
      </w:r>
      <w:r>
        <w:t xml:space="preserve"> </w:t>
      </w:r>
      <m:oMath>
        <m:r>
          <m:t>t</m:t>
        </m:r>
        <m:r>
          <m:rPr>
            <m:sty m:val="p"/>
          </m:rPr>
          <m:t>+</m:t>
        </m:r>
        <m:r>
          <m:t>1</m:t>
        </m:r>
      </m:oMath>
      <w:r>
        <w:t xml:space="preserve"> </w:t>
      </w:r>
      <w:r>
        <w:t xml:space="preserve">into the overnight gap (open at</w:t>
      </w:r>
      <w:r>
        <w:t xml:space="preserve"> </w:t>
      </w:r>
      <m:oMath>
        <m:r>
          <m:t>t</m:t>
        </m:r>
        <m:r>
          <m:rPr>
            <m:sty m:val="p"/>
          </m:rPr>
          <m:t>+</m:t>
        </m:r>
        <m:r>
          <m:t>1</m:t>
        </m:r>
      </m:oMath>
      <w:r>
        <w:t xml:space="preserve"> </w:t>
      </w:r>
      <w:r>
        <w:t xml:space="preserve">over close at</w:t>
      </w:r>
      <w:r>
        <w:t xml:space="preserve"> </w:t>
      </w:r>
      <m:oMath>
        <m:r>
          <m:t>t</m:t>
        </m:r>
      </m:oMath>
      <w:r>
        <w:t xml:space="preserve">) and the intraday return (close over open at</w:t>
      </w:r>
      <w:r>
        <w:t xml:space="preserve"> </w:t>
      </w:r>
      <m:oMath>
        <m:r>
          <m:t>t</m:t>
        </m:r>
        <m:r>
          <m:rPr>
            <m:sty m:val="p"/>
          </m:rPr>
          <m:t>+</m:t>
        </m:r>
        <m:r>
          <m:t>1</m:t>
        </m:r>
      </m:oMath>
      <w:r>
        <w:t xml:space="preserve">); (b) returns measured from the next open, which is what an investor entering after the close can obtain, since a stock that closes at its ceiling usually cannot be bought at that close; (c) a control group of stocks in the same liquidity tercile on the same date; (d) a comparison with days on which stocks rose or fell 3–5% or 5–6.5% without hitting the limit; (e) an exact tick-rule definition of the limit hit (the close equals the previous close times 1.07, rounded to the price tick, assuming ticks of 0.01, 0.05 and 0.10 thousand VND below 10, below 50 and from 50); (f) two-way (date and stock) clustering (Cameron et al., 2011); (g) sub-samples (halves, market-crash days, liquidity terciles, days with the stock locked at one price from open to close); (h) a plot of next-day returns by the size of the day-</w:t>
      </w:r>
      <m:oMath>
        <m:r>
          <m:t>t</m:t>
        </m:r>
      </m:oMath>
      <w:r>
        <w:t xml:space="preserve"> </w:t>
      </w:r>
      <w:r>
        <w:t xml:space="preserve">move (Imbens &amp; Lemieux, 2008); and, added after the first round of independent review, (i) inference for the event tests with calendar-week and 10-day-block clusters and a t reference, and the outcome for days</w:t>
      </w:r>
      <w:r>
        <w:t xml:space="preserve"> </w:t>
      </w:r>
      <m:oMath>
        <m:r>
          <m:t>t</m:t>
        </m:r>
        <m:r>
          <m:rPr>
            <m:sty m:val="p"/>
          </m:rPr>
          <m:t>+</m:t>
        </m:r>
        <m:r>
          <m:t>2</m:t>
        </m:r>
      </m:oMath>
      <w:r>
        <w:t xml:space="preserve"> </w:t>
      </w:r>
      <w:r>
        <w:t xml:space="preserve">to</w:t>
      </w:r>
      <w:r>
        <w:t xml:space="preserve"> </w:t>
      </w:r>
      <m:oMath>
        <m:r>
          <m:t>t</m:t>
        </m:r>
        <m:r>
          <m:rPr>
            <m:sty m:val="p"/>
          </m:rPr>
          <m:t>+</m:t>
        </m:r>
        <m:r>
          <m:t>5</m:t>
        </m:r>
      </m:oMath>
      <w:r>
        <w:t xml:space="preserve">; (j) a split at the trading-platform change of 5 May 2025; (k) comparison groups that also close at their day’s high or low; (l) volume and prior-return terciles as proxies for news and attention; and (m) an exclusion of events near returns beyond ±8%.</w:t>
      </w:r>
    </w:p>
    <w:bookmarkEnd w:id="23"/>
    <w:bookmarkEnd w:id="24"/>
    <w:bookmarkStart w:id="42" w:name="results"/>
    <w:p>
      <w:pPr>
        <w:pStyle w:val="Heading1"/>
      </w:pPr>
      <w:r>
        <w:t xml:space="preserve">4. Results</w:t>
      </w:r>
    </w:p>
    <w:bookmarkStart w:id="28" w:name="the-22-characteristics"/>
    <w:p>
      <w:pPr>
        <w:pStyle w:val="Heading2"/>
      </w:pPr>
      <w:r>
        <w:t xml:space="preserve">4.1 The 22 characteristics</w:t>
      </w:r>
    </w:p>
    <w:p>
      <w:pPr>
        <w:pStyle w:val="FirstParagraph"/>
      </w:pPr>
      <w:r>
        <w:t xml:space="preserve">Table 2. Fama–MacBeth results for the 22 characteristics specified in the log (ordered by absolute full-sample t-statistic).</w:t>
      </w:r>
    </w:p>
    <w:tbl>
      <w:tblPr>
        <w:tblStyle w:val="Table"/>
        <w:tblW w:type="pct" w:w="5000"/>
        <w:tblLook w:firstRow="1" w:lastRow="0" w:firstColumn="0" w:lastColumn="0" w:noHBand="0" w:noVBand="0" w:val="0020"/>
        <w:jc w:val="start"/>
      </w:tblPr>
      <w:tblGrid>
        <w:gridCol w:w="766"/>
        <w:gridCol w:w="1481"/>
        <w:gridCol w:w="459"/>
        <w:gridCol w:w="715"/>
        <w:gridCol w:w="868"/>
        <w:gridCol w:w="1379"/>
        <w:gridCol w:w="2248"/>
      </w:tblGrid>
      <w:tr>
        <w:trPr>
          <w:tblHeader w:val="true"/>
        </w:trPr>
        <w:tc>
          <w:tcPr/>
          <w:p>
            <w:pPr>
              <w:pStyle w:val="Compact"/>
              <w:jc w:val="left"/>
            </w:pPr>
            <w:r>
              <w:t xml:space="preserve">Characteristic</w:t>
            </w:r>
          </w:p>
        </w:tc>
        <w:tc>
          <w:tcPr/>
          <w:p>
            <w:pPr>
              <w:pStyle w:val="Compact"/>
              <w:jc w:val="left"/>
            </w:pPr>
            <w:r>
              <w:t xml:space="preserve">Slope (% per week, per s.d.)</w:t>
            </w:r>
          </w:p>
        </w:tc>
        <w:tc>
          <w:tcPr/>
          <w:p>
            <w:pPr>
              <w:pStyle w:val="Compact"/>
              <w:jc w:val="left"/>
            </w:pPr>
            <w:r>
              <w:t xml:space="preserve">t (full)</w:t>
            </w:r>
          </w:p>
        </w:tc>
        <w:tc>
          <w:tcPr/>
          <w:p>
            <w:pPr>
              <w:pStyle w:val="Compact"/>
              <w:jc w:val="left"/>
            </w:pPr>
            <w:r>
              <w:t xml:space="preserve">t (discovery)</w:t>
            </w:r>
          </w:p>
        </w:tc>
        <w:tc>
          <w:tcPr/>
          <w:p>
            <w:pPr>
              <w:pStyle w:val="Compact"/>
              <w:jc w:val="left"/>
            </w:pPr>
            <w:r>
              <w:t xml:space="preserve">t (confirmation)</w:t>
            </w:r>
          </w:p>
        </w:tc>
        <w:tc>
          <w:tcPr/>
          <w:p>
            <w:pPr>
              <w:pStyle w:val="Compact"/>
              <w:jc w:val="left"/>
            </w:pPr>
            <w:r>
              <w:t xml:space="preserve">t (excl. least liquid 20%)</w:t>
            </w:r>
          </w:p>
        </w:tc>
        <w:tc>
          <w:tcPr/>
          <w:p>
            <w:pPr>
              <w:pStyle w:val="Compact"/>
              <w:jc w:val="left"/>
            </w:pPr>
            <w:r>
              <w:t xml:space="preserve">Quintile spread, net of 25 bps (% per week)</w:t>
            </w:r>
          </w:p>
        </w:tc>
      </w:tr>
      <w:tr>
        <w:tc>
          <w:tcPr/>
          <w:p>
            <w:pPr>
              <w:pStyle w:val="Compact"/>
              <w:jc w:val="left"/>
            </w:pPr>
            <w:r>
              <w:t xml:space="preserve">MOM3M</w:t>
            </w:r>
          </w:p>
        </w:tc>
        <w:tc>
          <w:tcPr/>
          <w:p>
            <w:pPr>
              <w:pStyle w:val="Compact"/>
              <w:jc w:val="left"/>
            </w:pPr>
            <w:r>
              <w:t xml:space="preserve">0.123</w:t>
            </w:r>
          </w:p>
        </w:tc>
        <w:tc>
          <w:tcPr/>
          <w:p>
            <w:pPr>
              <w:pStyle w:val="Compact"/>
              <w:jc w:val="left"/>
            </w:pPr>
            <w:r>
              <w:t xml:space="preserve">1.45</w:t>
            </w:r>
          </w:p>
        </w:tc>
        <w:tc>
          <w:tcPr/>
          <w:p>
            <w:pPr>
              <w:pStyle w:val="Compact"/>
              <w:jc w:val="left"/>
            </w:pPr>
            <w:r>
              <w:t xml:space="preserve">0.87</w:t>
            </w:r>
          </w:p>
        </w:tc>
        <w:tc>
          <w:tcPr/>
          <w:p>
            <w:pPr>
              <w:pStyle w:val="Compact"/>
              <w:jc w:val="left"/>
            </w:pPr>
            <w:r>
              <w:t xml:space="preserve">1.17</w:t>
            </w:r>
          </w:p>
        </w:tc>
        <w:tc>
          <w:tcPr/>
          <w:p>
            <w:pPr>
              <w:pStyle w:val="Compact"/>
              <w:jc w:val="left"/>
            </w:pPr>
            <w:r>
              <w:t xml:space="preserve">1.49</w:t>
            </w:r>
          </w:p>
        </w:tc>
        <w:tc>
          <w:tcPr/>
          <w:p>
            <w:pPr>
              <w:pStyle w:val="Compact"/>
              <w:jc w:val="left"/>
            </w:pPr>
            <w:r>
              <w:t xml:space="preserve">0.092</w:t>
            </w:r>
          </w:p>
        </w:tc>
      </w:tr>
      <w:tr>
        <w:tc>
          <w:tcPr/>
          <w:p>
            <w:pPr>
              <w:pStyle w:val="Compact"/>
              <w:jc w:val="left"/>
            </w:pPr>
            <w:r>
              <w:t xml:space="preserve">IMOM</w:t>
            </w:r>
          </w:p>
        </w:tc>
        <w:tc>
          <w:tcPr/>
          <w:p>
            <w:pPr>
              <w:pStyle w:val="Compact"/>
              <w:jc w:val="left"/>
            </w:pPr>
            <w:r>
              <w:t xml:space="preserve">0.123</w:t>
            </w:r>
          </w:p>
        </w:tc>
        <w:tc>
          <w:tcPr/>
          <w:p>
            <w:pPr>
              <w:pStyle w:val="Compact"/>
              <w:jc w:val="left"/>
            </w:pPr>
            <w:r>
              <w:t xml:space="preserve">1.45</w:t>
            </w:r>
          </w:p>
        </w:tc>
        <w:tc>
          <w:tcPr/>
          <w:p>
            <w:pPr>
              <w:pStyle w:val="Compact"/>
              <w:jc w:val="left"/>
            </w:pPr>
            <w:r>
              <w:t xml:space="preserve">0.89</w:t>
            </w:r>
          </w:p>
        </w:tc>
        <w:tc>
          <w:tcPr/>
          <w:p>
            <w:pPr>
              <w:pStyle w:val="Compact"/>
              <w:jc w:val="left"/>
            </w:pPr>
            <w:r>
              <w:t xml:space="preserve">1.14</w:t>
            </w:r>
          </w:p>
        </w:tc>
        <w:tc>
          <w:tcPr/>
          <w:p>
            <w:pPr>
              <w:pStyle w:val="Compact"/>
              <w:jc w:val="left"/>
            </w:pPr>
            <w:r>
              <w:t xml:space="preserve">1.48</w:t>
            </w:r>
          </w:p>
        </w:tc>
        <w:tc>
          <w:tcPr/>
          <w:p>
            <w:pPr>
              <w:pStyle w:val="Compact"/>
              <w:jc w:val="left"/>
            </w:pPr>
            <w:r>
              <w:t xml:space="preserve">0.090</w:t>
            </w:r>
          </w:p>
        </w:tc>
      </w:tr>
      <w:tr>
        <w:tc>
          <w:tcPr/>
          <w:p>
            <w:pPr>
              <w:pStyle w:val="Compact"/>
              <w:jc w:val="left"/>
            </w:pPr>
            <w:r>
              <w:t xml:space="preserve">DVOLCHG</w:t>
            </w:r>
          </w:p>
        </w:tc>
        <w:tc>
          <w:tcPr/>
          <w:p>
            <w:pPr>
              <w:pStyle w:val="Compact"/>
              <w:jc w:val="left"/>
            </w:pPr>
            <w:r>
              <w:t xml:space="preserve">0.072</w:t>
            </w:r>
          </w:p>
        </w:tc>
        <w:tc>
          <w:tcPr/>
          <w:p>
            <w:pPr>
              <w:pStyle w:val="Compact"/>
              <w:jc w:val="left"/>
            </w:pPr>
            <w:r>
              <w:t xml:space="preserve">1.42</w:t>
            </w:r>
          </w:p>
        </w:tc>
        <w:tc>
          <w:tcPr/>
          <w:p>
            <w:pPr>
              <w:pStyle w:val="Compact"/>
              <w:jc w:val="left"/>
            </w:pPr>
            <w:r>
              <w:t xml:space="preserve">1.29</w:t>
            </w:r>
          </w:p>
        </w:tc>
        <w:tc>
          <w:tcPr/>
          <w:p>
            <w:pPr>
              <w:pStyle w:val="Compact"/>
              <w:jc w:val="left"/>
            </w:pPr>
            <w:r>
              <w:t xml:space="preserve">0.78</w:t>
            </w:r>
          </w:p>
        </w:tc>
        <w:tc>
          <w:tcPr/>
          <w:p>
            <w:pPr>
              <w:pStyle w:val="Compact"/>
              <w:jc w:val="left"/>
            </w:pPr>
            <w:r>
              <w:t xml:space="preserve">1.22</w:t>
            </w:r>
          </w:p>
        </w:tc>
        <w:tc>
          <w:tcPr/>
          <w:p>
            <w:pPr>
              <w:pStyle w:val="Compact"/>
              <w:jc w:val="left"/>
            </w:pPr>
            <w:r>
              <w:t xml:space="preserve">-0.021</w:t>
            </w:r>
          </w:p>
        </w:tc>
      </w:tr>
      <w:tr>
        <w:tc>
          <w:tcPr/>
          <w:p>
            <w:pPr>
              <w:pStyle w:val="Compact"/>
              <w:jc w:val="left"/>
            </w:pPr>
            <w:r>
              <w:t xml:space="preserve">TURNCHG</w:t>
            </w:r>
          </w:p>
        </w:tc>
        <w:tc>
          <w:tcPr/>
          <w:p>
            <w:pPr>
              <w:pStyle w:val="Compact"/>
              <w:jc w:val="left"/>
            </w:pPr>
            <w:r>
              <w:t xml:space="preserve">0.057</w:t>
            </w:r>
          </w:p>
        </w:tc>
        <w:tc>
          <w:tcPr/>
          <w:p>
            <w:pPr>
              <w:pStyle w:val="Compact"/>
              <w:jc w:val="left"/>
            </w:pPr>
            <w:r>
              <w:t xml:space="preserve">1.27</w:t>
            </w:r>
          </w:p>
        </w:tc>
        <w:tc>
          <w:tcPr/>
          <w:p>
            <w:pPr>
              <w:pStyle w:val="Compact"/>
              <w:jc w:val="left"/>
            </w:pPr>
            <w:r>
              <w:t xml:space="preserve">1.17</w:t>
            </w:r>
          </w:p>
        </w:tc>
        <w:tc>
          <w:tcPr/>
          <w:p>
            <w:pPr>
              <w:pStyle w:val="Compact"/>
              <w:jc w:val="left"/>
            </w:pPr>
            <w:r>
              <w:t xml:space="preserve">0.68</w:t>
            </w:r>
          </w:p>
        </w:tc>
        <w:tc>
          <w:tcPr/>
          <w:p>
            <w:pPr>
              <w:pStyle w:val="Compact"/>
              <w:jc w:val="left"/>
            </w:pPr>
            <w:r>
              <w:t xml:space="preserve">0.97</w:t>
            </w:r>
          </w:p>
        </w:tc>
        <w:tc>
          <w:tcPr/>
          <w:p>
            <w:pPr>
              <w:pStyle w:val="Compact"/>
              <w:jc w:val="left"/>
            </w:pPr>
            <w:r>
              <w:t xml:space="preserve">-0.081</w:t>
            </w:r>
          </w:p>
        </w:tc>
      </w:tr>
      <w:tr>
        <w:tc>
          <w:tcPr/>
          <w:p>
            <w:pPr>
              <w:pStyle w:val="Compact"/>
              <w:jc w:val="left"/>
            </w:pPr>
            <w:r>
              <w:t xml:space="preserve">MOM6M</w:t>
            </w:r>
          </w:p>
        </w:tc>
        <w:tc>
          <w:tcPr/>
          <w:p>
            <w:pPr>
              <w:pStyle w:val="Compact"/>
              <w:jc w:val="left"/>
            </w:pPr>
            <w:r>
              <w:t xml:space="preserve">0.094</w:t>
            </w:r>
          </w:p>
        </w:tc>
        <w:tc>
          <w:tcPr/>
          <w:p>
            <w:pPr>
              <w:pStyle w:val="Compact"/>
              <w:jc w:val="left"/>
            </w:pPr>
            <w:r>
              <w:t xml:space="preserve">1.12</w:t>
            </w:r>
          </w:p>
        </w:tc>
        <w:tc>
          <w:tcPr/>
          <w:p>
            <w:pPr>
              <w:pStyle w:val="Compact"/>
              <w:jc w:val="left"/>
            </w:pPr>
            <w:r>
              <w:t xml:space="preserve">0.60</w:t>
            </w:r>
          </w:p>
        </w:tc>
        <w:tc>
          <w:tcPr/>
          <w:p>
            <w:pPr>
              <w:pStyle w:val="Compact"/>
              <w:jc w:val="left"/>
            </w:pPr>
            <w:r>
              <w:t xml:space="preserve">0.97</w:t>
            </w:r>
          </w:p>
        </w:tc>
        <w:tc>
          <w:tcPr/>
          <w:p>
            <w:pPr>
              <w:pStyle w:val="Compact"/>
              <w:jc w:val="left"/>
            </w:pPr>
            <w:r>
              <w:t xml:space="preserve">1.21</w:t>
            </w:r>
          </w:p>
        </w:tc>
        <w:tc>
          <w:tcPr/>
          <w:p>
            <w:pPr>
              <w:pStyle w:val="Compact"/>
              <w:jc w:val="left"/>
            </w:pPr>
            <w:r>
              <w:t xml:space="preserve">0.066</w:t>
            </w:r>
          </w:p>
        </w:tc>
      </w:tr>
      <w:tr>
        <w:tc>
          <w:tcPr/>
          <w:p>
            <w:pPr>
              <w:pStyle w:val="Compact"/>
              <w:jc w:val="left"/>
            </w:pPr>
            <w:r>
              <w:t xml:space="preserve">REV1M</w:t>
            </w:r>
          </w:p>
        </w:tc>
        <w:tc>
          <w:tcPr/>
          <w:p>
            <w:pPr>
              <w:pStyle w:val="Compact"/>
              <w:jc w:val="left"/>
            </w:pPr>
            <w:r>
              <w:t xml:space="preserve">0.074</w:t>
            </w:r>
          </w:p>
        </w:tc>
        <w:tc>
          <w:tcPr/>
          <w:p>
            <w:pPr>
              <w:pStyle w:val="Compact"/>
              <w:jc w:val="left"/>
            </w:pPr>
            <w:r>
              <w:t xml:space="preserve">0.92</w:t>
            </w:r>
          </w:p>
        </w:tc>
        <w:tc>
          <w:tcPr/>
          <w:p>
            <w:pPr>
              <w:pStyle w:val="Compact"/>
              <w:jc w:val="left"/>
            </w:pPr>
            <w:r>
              <w:t xml:space="preserve">1.18</w:t>
            </w:r>
          </w:p>
        </w:tc>
        <w:tc>
          <w:tcPr/>
          <w:p>
            <w:pPr>
              <w:pStyle w:val="Compact"/>
              <w:jc w:val="left"/>
            </w:pPr>
            <w:r>
              <w:t xml:space="preserve">0.14</w:t>
            </w:r>
          </w:p>
        </w:tc>
        <w:tc>
          <w:tcPr/>
          <w:p>
            <w:pPr>
              <w:pStyle w:val="Compact"/>
              <w:jc w:val="left"/>
            </w:pPr>
            <w:r>
              <w:t xml:space="preserve">1.48</w:t>
            </w:r>
          </w:p>
        </w:tc>
        <w:tc>
          <w:tcPr/>
          <w:p>
            <w:pPr>
              <w:pStyle w:val="Compact"/>
              <w:jc w:val="left"/>
            </w:pPr>
            <w:r>
              <w:t xml:space="preserve">-0.172</w:t>
            </w:r>
          </w:p>
        </w:tc>
      </w:tr>
      <w:tr>
        <w:tc>
          <w:tcPr/>
          <w:p>
            <w:pPr>
              <w:pStyle w:val="Compact"/>
              <w:jc w:val="left"/>
            </w:pPr>
            <w:r>
              <w:t xml:space="preserve">MIN</w:t>
            </w:r>
          </w:p>
        </w:tc>
        <w:tc>
          <w:tcPr/>
          <w:p>
            <w:pPr>
              <w:pStyle w:val="Compact"/>
              <w:jc w:val="left"/>
            </w:pPr>
            <w:r>
              <w:t xml:space="preserve">0.048</w:t>
            </w:r>
          </w:p>
        </w:tc>
        <w:tc>
          <w:tcPr/>
          <w:p>
            <w:pPr>
              <w:pStyle w:val="Compact"/>
              <w:jc w:val="left"/>
            </w:pPr>
            <w:r>
              <w:t xml:space="preserve">0.86</w:t>
            </w:r>
          </w:p>
        </w:tc>
        <w:tc>
          <w:tcPr/>
          <w:p>
            <w:pPr>
              <w:pStyle w:val="Compact"/>
              <w:jc w:val="left"/>
            </w:pPr>
            <w:r>
              <w:t xml:space="preserve">0.16</w:t>
            </w:r>
          </w:p>
        </w:tc>
        <w:tc>
          <w:tcPr/>
          <w:p>
            <w:pPr>
              <w:pStyle w:val="Compact"/>
              <w:jc w:val="left"/>
            </w:pPr>
            <w:r>
              <w:t xml:space="preserve">1.14</w:t>
            </w:r>
          </w:p>
        </w:tc>
        <w:tc>
          <w:tcPr/>
          <w:p>
            <w:pPr>
              <w:pStyle w:val="Compact"/>
              <w:jc w:val="left"/>
            </w:pPr>
            <w:r>
              <w:t xml:space="preserve">1.62</w:t>
            </w:r>
          </w:p>
        </w:tc>
        <w:tc>
          <w:tcPr/>
          <w:p>
            <w:pPr>
              <w:pStyle w:val="Compact"/>
              <w:jc w:val="left"/>
            </w:pPr>
            <w:r>
              <w:t xml:space="preserve">-0.151</w:t>
            </w:r>
          </w:p>
        </w:tc>
      </w:tr>
      <w:tr>
        <w:tc>
          <w:tcPr/>
          <w:p>
            <w:pPr>
              <w:pStyle w:val="Compact"/>
              <w:jc w:val="left"/>
            </w:pPr>
            <w:r>
              <w:t xml:space="preserve">DOWNVOL</w:t>
            </w:r>
          </w:p>
        </w:tc>
        <w:tc>
          <w:tcPr/>
          <w:p>
            <w:pPr>
              <w:pStyle w:val="Compact"/>
              <w:jc w:val="left"/>
            </w:pPr>
            <w:r>
              <w:t xml:space="preserve">-0.062</w:t>
            </w:r>
          </w:p>
        </w:tc>
        <w:tc>
          <w:tcPr/>
          <w:p>
            <w:pPr>
              <w:pStyle w:val="Compact"/>
              <w:jc w:val="left"/>
            </w:pPr>
            <w:r>
              <w:t xml:space="preserve">-0.84</w:t>
            </w:r>
          </w:p>
        </w:tc>
        <w:tc>
          <w:tcPr/>
          <w:p>
            <w:pPr>
              <w:pStyle w:val="Compact"/>
              <w:jc w:val="left"/>
            </w:pPr>
            <w:r>
              <w:t xml:space="preserve">0.12</w:t>
            </w:r>
          </w:p>
        </w:tc>
        <w:tc>
          <w:tcPr/>
          <w:p>
            <w:pPr>
              <w:pStyle w:val="Compact"/>
              <w:jc w:val="left"/>
            </w:pPr>
            <w:r>
              <w:t xml:space="preserve">-1.64</w:t>
            </w:r>
          </w:p>
        </w:tc>
        <w:tc>
          <w:tcPr/>
          <w:p>
            <w:pPr>
              <w:pStyle w:val="Compact"/>
              <w:jc w:val="left"/>
            </w:pPr>
            <w:r>
              <w:t xml:space="preserve">-1.28</w:t>
            </w:r>
          </w:p>
        </w:tc>
        <w:tc>
          <w:tcPr/>
          <w:p>
            <w:pPr>
              <w:pStyle w:val="Compact"/>
              <w:jc w:val="left"/>
            </w:pPr>
            <w:r>
              <w:t xml:space="preserve">-0.293</w:t>
            </w:r>
          </w:p>
        </w:tc>
      </w:tr>
      <w:tr>
        <w:tc>
          <w:tcPr/>
          <w:p>
            <w:pPr>
              <w:pStyle w:val="Compact"/>
              <w:jc w:val="left"/>
            </w:pPr>
            <w:r>
              <w:t xml:space="preserve">CSSPREAD</w:t>
            </w:r>
          </w:p>
        </w:tc>
        <w:tc>
          <w:tcPr/>
          <w:p>
            <w:pPr>
              <w:pStyle w:val="Compact"/>
              <w:jc w:val="left"/>
            </w:pPr>
            <w:r>
              <w:t xml:space="preserve">-0.051</w:t>
            </w:r>
          </w:p>
        </w:tc>
        <w:tc>
          <w:tcPr/>
          <w:p>
            <w:pPr>
              <w:pStyle w:val="Compact"/>
              <w:jc w:val="left"/>
            </w:pPr>
            <w:r>
              <w:t xml:space="preserve">-0.77</w:t>
            </w:r>
          </w:p>
        </w:tc>
        <w:tc>
          <w:tcPr/>
          <w:p>
            <w:pPr>
              <w:pStyle w:val="Compact"/>
              <w:jc w:val="left"/>
            </w:pPr>
            <w:r>
              <w:t xml:space="preserve">0.72</w:t>
            </w:r>
          </w:p>
        </w:tc>
        <w:tc>
          <w:tcPr/>
          <w:p>
            <w:pPr>
              <w:pStyle w:val="Compact"/>
              <w:jc w:val="left"/>
            </w:pPr>
            <w:r>
              <w:t xml:space="preserve">-2.77</w:t>
            </w:r>
          </w:p>
        </w:tc>
        <w:tc>
          <w:tcPr/>
          <w:p>
            <w:pPr>
              <w:pStyle w:val="Compact"/>
              <w:jc w:val="left"/>
            </w:pPr>
            <w:r>
              <w:t xml:space="preserve">-0.42</w:t>
            </w:r>
          </w:p>
        </w:tc>
        <w:tc>
          <w:tcPr/>
          <w:p>
            <w:pPr>
              <w:pStyle w:val="Compact"/>
              <w:jc w:val="left"/>
            </w:pPr>
            <w:r>
              <w:t xml:space="preserve">-0.203</w:t>
            </w:r>
          </w:p>
        </w:tc>
      </w:tr>
      <w:tr>
        <w:tc>
          <w:tcPr/>
          <w:p>
            <w:pPr>
              <w:pStyle w:val="Compact"/>
              <w:jc w:val="left"/>
            </w:pPr>
            <w:r>
              <w:t xml:space="preserve">INTRADAY</w:t>
            </w:r>
          </w:p>
        </w:tc>
        <w:tc>
          <w:tcPr/>
          <w:p>
            <w:pPr>
              <w:pStyle w:val="Compact"/>
              <w:jc w:val="left"/>
            </w:pPr>
            <w:r>
              <w:t xml:space="preserve">0.036</w:t>
            </w:r>
          </w:p>
        </w:tc>
        <w:tc>
          <w:tcPr/>
          <w:p>
            <w:pPr>
              <w:pStyle w:val="Compact"/>
              <w:jc w:val="left"/>
            </w:pPr>
            <w:r>
              <w:t xml:space="preserve">0.62</w:t>
            </w:r>
          </w:p>
        </w:tc>
        <w:tc>
          <w:tcPr/>
          <w:p>
            <w:pPr>
              <w:pStyle w:val="Compact"/>
              <w:jc w:val="left"/>
            </w:pPr>
            <w:r>
              <w:t xml:space="preserve">0.75</w:t>
            </w:r>
          </w:p>
        </w:tc>
        <w:tc>
          <w:tcPr/>
          <w:p>
            <w:pPr>
              <w:pStyle w:val="Compact"/>
              <w:jc w:val="left"/>
            </w:pPr>
            <w:r>
              <w:t xml:space="preserve">0.08</w:t>
            </w:r>
          </w:p>
        </w:tc>
        <w:tc>
          <w:tcPr/>
          <w:p>
            <w:pPr>
              <w:pStyle w:val="Compact"/>
              <w:jc w:val="left"/>
            </w:pPr>
            <w:r>
              <w:t xml:space="preserve">0.96</w:t>
            </w:r>
          </w:p>
        </w:tc>
        <w:tc>
          <w:tcPr/>
          <w:p>
            <w:pPr>
              <w:pStyle w:val="Compact"/>
              <w:jc w:val="left"/>
            </w:pPr>
            <w:r>
              <w:t xml:space="preserve">-0.215</w:t>
            </w:r>
          </w:p>
        </w:tc>
      </w:tr>
      <w:tr>
        <w:tc>
          <w:tcPr/>
          <w:p>
            <w:pPr>
              <w:pStyle w:val="Compact"/>
              <w:jc w:val="left"/>
            </w:pPr>
            <w:r>
              <w:t xml:space="preserve">IVOL</w:t>
            </w:r>
          </w:p>
        </w:tc>
        <w:tc>
          <w:tcPr/>
          <w:p>
            <w:pPr>
              <w:pStyle w:val="Compact"/>
              <w:jc w:val="left"/>
            </w:pPr>
            <w:r>
              <w:t xml:space="preserve">-0.028</w:t>
            </w:r>
          </w:p>
        </w:tc>
        <w:tc>
          <w:tcPr/>
          <w:p>
            <w:pPr>
              <w:pStyle w:val="Compact"/>
              <w:jc w:val="left"/>
            </w:pPr>
            <w:r>
              <w:t xml:space="preserve">-0.54</w:t>
            </w:r>
          </w:p>
        </w:tc>
        <w:tc>
          <w:tcPr/>
          <w:p>
            <w:pPr>
              <w:pStyle w:val="Compact"/>
              <w:jc w:val="left"/>
            </w:pPr>
            <w:r>
              <w:t xml:space="preserve">0.58</w:t>
            </w:r>
          </w:p>
        </w:tc>
        <w:tc>
          <w:tcPr/>
          <w:p>
            <w:pPr>
              <w:pStyle w:val="Compact"/>
              <w:jc w:val="left"/>
            </w:pPr>
            <w:r>
              <w:t xml:space="preserve">-1.44</w:t>
            </w:r>
          </w:p>
        </w:tc>
        <w:tc>
          <w:tcPr/>
          <w:p>
            <w:pPr>
              <w:pStyle w:val="Compact"/>
              <w:jc w:val="left"/>
            </w:pPr>
            <w:r>
              <w:t xml:space="preserve">-0.62</w:t>
            </w:r>
          </w:p>
        </w:tc>
        <w:tc>
          <w:tcPr/>
          <w:p>
            <w:pPr>
              <w:pStyle w:val="Compact"/>
              <w:jc w:val="left"/>
            </w:pPr>
            <w:r>
              <w:t xml:space="preserve">-0.198</w:t>
            </w:r>
          </w:p>
        </w:tc>
      </w:tr>
      <w:tr>
        <w:tc>
          <w:tcPr/>
          <w:p>
            <w:pPr>
              <w:pStyle w:val="Compact"/>
              <w:jc w:val="left"/>
            </w:pPr>
            <w:r>
              <w:t xml:space="preserve">RANGEVOL</w:t>
            </w:r>
          </w:p>
        </w:tc>
        <w:tc>
          <w:tcPr/>
          <w:p>
            <w:pPr>
              <w:pStyle w:val="Compact"/>
              <w:jc w:val="left"/>
            </w:pPr>
            <w:r>
              <w:t xml:space="preserve">-0.037</w:t>
            </w:r>
          </w:p>
        </w:tc>
        <w:tc>
          <w:tcPr/>
          <w:p>
            <w:pPr>
              <w:pStyle w:val="Compact"/>
              <w:jc w:val="left"/>
            </w:pPr>
            <w:r>
              <w:t xml:space="preserve">-0.51</w:t>
            </w:r>
          </w:p>
        </w:tc>
        <w:tc>
          <w:tcPr/>
          <w:p>
            <w:pPr>
              <w:pStyle w:val="Compact"/>
              <w:jc w:val="left"/>
            </w:pPr>
            <w:r>
              <w:t xml:space="preserve">0.92</w:t>
            </w:r>
          </w:p>
        </w:tc>
        <w:tc>
          <w:tcPr/>
          <w:p>
            <w:pPr>
              <w:pStyle w:val="Compact"/>
              <w:jc w:val="left"/>
            </w:pPr>
            <w:r>
              <w:t xml:space="preserve">-2.35</w:t>
            </w:r>
          </w:p>
        </w:tc>
        <w:tc>
          <w:tcPr/>
          <w:p>
            <w:pPr>
              <w:pStyle w:val="Compact"/>
              <w:jc w:val="left"/>
            </w:pPr>
            <w:r>
              <w:t xml:space="preserve">-0.40</w:t>
            </w:r>
          </w:p>
        </w:tc>
        <w:tc>
          <w:tcPr/>
          <w:p>
            <w:pPr>
              <w:pStyle w:val="Compact"/>
              <w:jc w:val="left"/>
            </w:pPr>
            <w:r>
              <w:t xml:space="preserve">-0.163</w:t>
            </w:r>
          </w:p>
        </w:tc>
      </w:tr>
      <w:tr>
        <w:tc>
          <w:tcPr/>
          <w:p>
            <w:pPr>
              <w:pStyle w:val="Compact"/>
              <w:jc w:val="left"/>
            </w:pPr>
            <w:r>
              <w:t xml:space="preserve">REV1W</w:t>
            </w:r>
          </w:p>
        </w:tc>
        <w:tc>
          <w:tcPr/>
          <w:p>
            <w:pPr>
              <w:pStyle w:val="Compact"/>
              <w:jc w:val="left"/>
            </w:pPr>
            <w:r>
              <w:t xml:space="preserve">0.034</w:t>
            </w:r>
          </w:p>
        </w:tc>
        <w:tc>
          <w:tcPr/>
          <w:p>
            <w:pPr>
              <w:pStyle w:val="Compact"/>
              <w:jc w:val="left"/>
            </w:pPr>
            <w:r>
              <w:t xml:space="preserve">0.41</w:t>
            </w:r>
          </w:p>
        </w:tc>
        <w:tc>
          <w:tcPr/>
          <w:p>
            <w:pPr>
              <w:pStyle w:val="Compact"/>
              <w:jc w:val="left"/>
            </w:pPr>
            <w:r>
              <w:t xml:space="preserve">1.08</w:t>
            </w:r>
          </w:p>
        </w:tc>
        <w:tc>
          <w:tcPr/>
          <w:p>
            <w:pPr>
              <w:pStyle w:val="Compact"/>
              <w:jc w:val="left"/>
            </w:pPr>
            <w:r>
              <w:t xml:space="preserve">-0.26</w:t>
            </w:r>
          </w:p>
        </w:tc>
        <w:tc>
          <w:tcPr/>
          <w:p>
            <w:pPr>
              <w:pStyle w:val="Compact"/>
              <w:jc w:val="left"/>
            </w:pPr>
            <w:r>
              <w:t xml:space="preserve">1.52</w:t>
            </w:r>
          </w:p>
        </w:tc>
        <w:tc>
          <w:tcPr/>
          <w:p>
            <w:pPr>
              <w:pStyle w:val="Compact"/>
              <w:jc w:val="left"/>
            </w:pPr>
            <w:r>
              <w:t xml:space="preserve">-0.711</w:t>
            </w:r>
          </w:p>
        </w:tc>
      </w:tr>
      <w:tr>
        <w:tc>
          <w:tcPr/>
          <w:p>
            <w:pPr>
              <w:pStyle w:val="Compact"/>
              <w:jc w:val="left"/>
            </w:pPr>
            <w:r>
              <w:t xml:space="preserve">LIMITFREQ</w:t>
            </w:r>
          </w:p>
        </w:tc>
        <w:tc>
          <w:tcPr/>
          <w:p>
            <w:pPr>
              <w:pStyle w:val="Compact"/>
              <w:jc w:val="left"/>
            </w:pPr>
            <w:r>
              <w:t xml:space="preserve">-0.024</w:t>
            </w:r>
          </w:p>
        </w:tc>
        <w:tc>
          <w:tcPr/>
          <w:p>
            <w:pPr>
              <w:pStyle w:val="Compact"/>
              <w:jc w:val="left"/>
            </w:pPr>
            <w:r>
              <w:t xml:space="preserve">-0.28</w:t>
            </w:r>
          </w:p>
        </w:tc>
        <w:tc>
          <w:tcPr/>
          <w:p>
            <w:pPr>
              <w:pStyle w:val="Compact"/>
              <w:jc w:val="left"/>
            </w:pPr>
            <w:r>
              <w:t xml:space="preserve">0.61</w:t>
            </w:r>
          </w:p>
        </w:tc>
        <w:tc>
          <w:tcPr/>
          <w:p>
            <w:pPr>
              <w:pStyle w:val="Compact"/>
              <w:jc w:val="left"/>
            </w:pPr>
            <w:r>
              <w:t xml:space="preserve">-1.16</w:t>
            </w:r>
          </w:p>
        </w:tc>
        <w:tc>
          <w:tcPr/>
          <w:p>
            <w:pPr>
              <w:pStyle w:val="Compact"/>
              <w:jc w:val="left"/>
            </w:pPr>
            <w:r>
              <w:t xml:space="preserve">-0.26</w:t>
            </w:r>
          </w:p>
        </w:tc>
        <w:tc>
          <w:tcPr/>
          <w:p>
            <w:pPr>
              <w:pStyle w:val="Compact"/>
              <w:jc w:val="left"/>
            </w:pPr>
            <w:r>
              <w:t xml:space="preserve">-0.049</w:t>
            </w:r>
          </w:p>
        </w:tc>
      </w:tr>
      <w:tr>
        <w:tc>
          <w:tcPr/>
          <w:p>
            <w:pPr>
              <w:pStyle w:val="Compact"/>
              <w:jc w:val="left"/>
            </w:pPr>
            <w:r>
              <w:t xml:space="preserve">LNDVOL</w:t>
            </w:r>
          </w:p>
        </w:tc>
        <w:tc>
          <w:tcPr/>
          <w:p>
            <w:pPr>
              <w:pStyle w:val="Compact"/>
              <w:jc w:val="left"/>
            </w:pPr>
            <w:r>
              <w:t xml:space="preserve">0.024</w:t>
            </w:r>
          </w:p>
        </w:tc>
        <w:tc>
          <w:tcPr/>
          <w:p>
            <w:pPr>
              <w:pStyle w:val="Compact"/>
              <w:jc w:val="left"/>
            </w:pPr>
            <w:r>
              <w:t xml:space="preserve">0.27</w:t>
            </w:r>
          </w:p>
        </w:tc>
        <w:tc>
          <w:tcPr/>
          <w:p>
            <w:pPr>
              <w:pStyle w:val="Compact"/>
              <w:jc w:val="left"/>
            </w:pPr>
            <w:r>
              <w:t xml:space="preserve">0.43</w:t>
            </w:r>
          </w:p>
        </w:tc>
        <w:tc>
          <w:tcPr/>
          <w:p>
            <w:pPr>
              <w:pStyle w:val="Compact"/>
              <w:jc w:val="left"/>
            </w:pPr>
            <w:r>
              <w:t xml:space="preserve">-0.18</w:t>
            </w:r>
          </w:p>
        </w:tc>
        <w:tc>
          <w:tcPr/>
          <w:p>
            <w:pPr>
              <w:pStyle w:val="Compact"/>
              <w:jc w:val="left"/>
            </w:pPr>
            <w:r>
              <w:t xml:space="preserve">0.79</w:t>
            </w:r>
          </w:p>
        </w:tc>
        <w:tc>
          <w:tcPr/>
          <w:p>
            <w:pPr>
              <w:pStyle w:val="Compact"/>
              <w:jc w:val="left"/>
            </w:pPr>
            <w:r>
              <w:t xml:space="preserve">0.110</w:t>
            </w:r>
          </w:p>
        </w:tc>
      </w:tr>
      <w:tr>
        <w:tc>
          <w:tcPr/>
          <w:p>
            <w:pPr>
              <w:pStyle w:val="Compact"/>
              <w:jc w:val="left"/>
            </w:pPr>
            <w:r>
              <w:t xml:space="preserve">AMIHUD</w:t>
            </w:r>
          </w:p>
        </w:tc>
        <w:tc>
          <w:tcPr/>
          <w:p>
            <w:pPr>
              <w:pStyle w:val="Compact"/>
              <w:jc w:val="left"/>
            </w:pPr>
            <w:r>
              <w:t xml:space="preserve">-0.022</w:t>
            </w:r>
          </w:p>
        </w:tc>
        <w:tc>
          <w:tcPr/>
          <w:p>
            <w:pPr>
              <w:pStyle w:val="Compact"/>
              <w:jc w:val="left"/>
            </w:pPr>
            <w:r>
              <w:t xml:space="preserve">-0.26</w:t>
            </w:r>
          </w:p>
        </w:tc>
        <w:tc>
          <w:tcPr/>
          <w:p>
            <w:pPr>
              <w:pStyle w:val="Compact"/>
              <w:jc w:val="left"/>
            </w:pPr>
            <w:r>
              <w:t xml:space="preserve">-0.37</w:t>
            </w:r>
          </w:p>
        </w:tc>
        <w:tc>
          <w:tcPr/>
          <w:p>
            <w:pPr>
              <w:pStyle w:val="Compact"/>
              <w:jc w:val="left"/>
            </w:pPr>
            <w:r>
              <w:t xml:space="preserve">0.07</w:t>
            </w:r>
          </w:p>
        </w:tc>
        <w:tc>
          <w:tcPr/>
          <w:p>
            <w:pPr>
              <w:pStyle w:val="Compact"/>
              <w:jc w:val="left"/>
            </w:pPr>
            <w:r>
              <w:t xml:space="preserve">-0.84</w:t>
            </w:r>
          </w:p>
        </w:tc>
        <w:tc>
          <w:tcPr/>
          <w:p>
            <w:pPr>
              <w:pStyle w:val="Compact"/>
              <w:jc w:val="left"/>
            </w:pPr>
            <w:r>
              <w:t xml:space="preserve">-0.210</w:t>
            </w:r>
          </w:p>
        </w:tc>
      </w:tr>
      <w:tr>
        <w:tc>
          <w:tcPr/>
          <w:p>
            <w:pPr>
              <w:pStyle w:val="Compact"/>
              <w:jc w:val="left"/>
            </w:pPr>
            <w:r>
              <w:t xml:space="preserve">KURT</w:t>
            </w:r>
          </w:p>
        </w:tc>
        <w:tc>
          <w:tcPr/>
          <w:p>
            <w:pPr>
              <w:pStyle w:val="Compact"/>
              <w:jc w:val="left"/>
            </w:pPr>
            <w:r>
              <w:t xml:space="preserve">0.012</w:t>
            </w:r>
          </w:p>
        </w:tc>
        <w:tc>
          <w:tcPr/>
          <w:p>
            <w:pPr>
              <w:pStyle w:val="Compact"/>
              <w:jc w:val="left"/>
            </w:pPr>
            <w:r>
              <w:t xml:space="preserve">0.20</w:t>
            </w:r>
          </w:p>
        </w:tc>
        <w:tc>
          <w:tcPr/>
          <w:p>
            <w:pPr>
              <w:pStyle w:val="Compact"/>
              <w:jc w:val="left"/>
            </w:pPr>
            <w:r>
              <w:t xml:space="preserve">0.10</w:t>
            </w:r>
          </w:p>
        </w:tc>
        <w:tc>
          <w:tcPr/>
          <w:p>
            <w:pPr>
              <w:pStyle w:val="Compact"/>
              <w:jc w:val="left"/>
            </w:pPr>
            <w:r>
              <w:t xml:space="preserve">0.19</w:t>
            </w:r>
          </w:p>
        </w:tc>
        <w:tc>
          <w:tcPr/>
          <w:p>
            <w:pPr>
              <w:pStyle w:val="Compact"/>
              <w:jc w:val="left"/>
            </w:pPr>
            <w:r>
              <w:t xml:space="preserve">0.44</w:t>
            </w:r>
          </w:p>
        </w:tc>
        <w:tc>
          <w:tcPr/>
          <w:p>
            <w:pPr>
              <w:pStyle w:val="Compact"/>
              <w:jc w:val="left"/>
            </w:pPr>
            <w:r>
              <w:t xml:space="preserve">-0.127</w:t>
            </w:r>
          </w:p>
        </w:tc>
      </w:tr>
      <w:tr>
        <w:tc>
          <w:tcPr/>
          <w:p>
            <w:pPr>
              <w:pStyle w:val="Compact"/>
              <w:jc w:val="left"/>
            </w:pPr>
            <w:r>
              <w:t xml:space="preserve">BETA</w:t>
            </w:r>
          </w:p>
        </w:tc>
        <w:tc>
          <w:tcPr/>
          <w:p>
            <w:pPr>
              <w:pStyle w:val="Compact"/>
              <w:jc w:val="left"/>
            </w:pPr>
            <w:r>
              <w:t xml:space="preserve">-0.020</w:t>
            </w:r>
          </w:p>
        </w:tc>
        <w:tc>
          <w:tcPr/>
          <w:p>
            <w:pPr>
              <w:pStyle w:val="Compact"/>
              <w:jc w:val="left"/>
            </w:pPr>
            <w:r>
              <w:t xml:space="preserve">-0.18</w:t>
            </w:r>
          </w:p>
        </w:tc>
        <w:tc>
          <w:tcPr/>
          <w:p>
            <w:pPr>
              <w:pStyle w:val="Compact"/>
              <w:jc w:val="left"/>
            </w:pPr>
            <w:r>
              <w:t xml:space="preserve">0.32</w:t>
            </w:r>
          </w:p>
        </w:tc>
        <w:tc>
          <w:tcPr/>
          <w:p>
            <w:pPr>
              <w:pStyle w:val="Compact"/>
              <w:jc w:val="left"/>
            </w:pPr>
            <w:r>
              <w:t xml:space="preserve">-0.97</w:t>
            </w:r>
          </w:p>
        </w:tc>
        <w:tc>
          <w:tcPr/>
          <w:p>
            <w:pPr>
              <w:pStyle w:val="Compact"/>
              <w:jc w:val="left"/>
            </w:pPr>
            <w:r>
              <w:t xml:space="preserve">-0.29</w:t>
            </w:r>
          </w:p>
        </w:tc>
        <w:tc>
          <w:tcPr/>
          <w:p>
            <w:pPr>
              <w:pStyle w:val="Compact"/>
              <w:jc w:val="left"/>
            </w:pPr>
            <w:r>
              <w:t xml:space="preserve">-0.171</w:t>
            </w:r>
          </w:p>
        </w:tc>
      </w:tr>
      <w:tr>
        <w:tc>
          <w:tcPr/>
          <w:p>
            <w:pPr>
              <w:pStyle w:val="Compact"/>
              <w:jc w:val="left"/>
            </w:pPr>
            <w:r>
              <w:t xml:space="preserve">VOL</w:t>
            </w:r>
          </w:p>
        </w:tc>
        <w:tc>
          <w:tcPr/>
          <w:p>
            <w:pPr>
              <w:pStyle w:val="Compact"/>
              <w:jc w:val="left"/>
            </w:pPr>
            <w:r>
              <w:t xml:space="preserve">-0.006</w:t>
            </w:r>
          </w:p>
        </w:tc>
        <w:tc>
          <w:tcPr/>
          <w:p>
            <w:pPr>
              <w:pStyle w:val="Compact"/>
              <w:jc w:val="left"/>
            </w:pPr>
            <w:r>
              <w:t xml:space="preserve">-0.09</w:t>
            </w:r>
          </w:p>
        </w:tc>
        <w:tc>
          <w:tcPr/>
          <w:p>
            <w:pPr>
              <w:pStyle w:val="Compact"/>
              <w:jc w:val="left"/>
            </w:pPr>
            <w:r>
              <w:t xml:space="preserve">0.94</w:t>
            </w:r>
          </w:p>
        </w:tc>
        <w:tc>
          <w:tcPr/>
          <w:p>
            <w:pPr>
              <w:pStyle w:val="Compact"/>
              <w:jc w:val="left"/>
            </w:pPr>
            <w:r>
              <w:t xml:space="preserve">-1.52</w:t>
            </w:r>
          </w:p>
        </w:tc>
        <w:tc>
          <w:tcPr/>
          <w:p>
            <w:pPr>
              <w:pStyle w:val="Compact"/>
              <w:jc w:val="left"/>
            </w:pPr>
            <w:r>
              <w:t xml:space="preserve">-0.36</w:t>
            </w:r>
          </w:p>
        </w:tc>
        <w:tc>
          <w:tcPr/>
          <w:p>
            <w:pPr>
              <w:pStyle w:val="Compact"/>
              <w:jc w:val="left"/>
            </w:pPr>
            <w:r>
              <w:t xml:space="preserve">-0.067</w:t>
            </w:r>
          </w:p>
        </w:tc>
      </w:tr>
      <w:tr>
        <w:tc>
          <w:tcPr/>
          <w:p>
            <w:pPr>
              <w:pStyle w:val="Compact"/>
              <w:jc w:val="left"/>
            </w:pPr>
            <w:r>
              <w:t xml:space="preserve">OVERNIGHT</w:t>
            </w:r>
          </w:p>
        </w:tc>
        <w:tc>
          <w:tcPr/>
          <w:p>
            <w:pPr>
              <w:pStyle w:val="Compact"/>
              <w:jc w:val="left"/>
            </w:pPr>
            <w:r>
              <w:t xml:space="preserve">0.004</w:t>
            </w:r>
          </w:p>
        </w:tc>
        <w:tc>
          <w:tcPr/>
          <w:p>
            <w:pPr>
              <w:pStyle w:val="Compact"/>
              <w:jc w:val="left"/>
            </w:pPr>
            <w:r>
              <w:t xml:space="preserve">0.06</w:t>
            </w:r>
          </w:p>
        </w:tc>
        <w:tc>
          <w:tcPr/>
          <w:p>
            <w:pPr>
              <w:pStyle w:val="Compact"/>
              <w:jc w:val="left"/>
            </w:pPr>
            <w:r>
              <w:t xml:space="preserve">0.80</w:t>
            </w:r>
          </w:p>
        </w:tc>
        <w:tc>
          <w:tcPr/>
          <w:p>
            <w:pPr>
              <w:pStyle w:val="Compact"/>
              <w:jc w:val="left"/>
            </w:pPr>
            <w:r>
              <w:t xml:space="preserve">-1.12</w:t>
            </w:r>
          </w:p>
        </w:tc>
        <w:tc>
          <w:tcPr/>
          <w:p>
            <w:pPr>
              <w:pStyle w:val="Compact"/>
              <w:jc w:val="left"/>
            </w:pPr>
            <w:r>
              <w:t xml:space="preserve">0.16</w:t>
            </w:r>
          </w:p>
        </w:tc>
        <w:tc>
          <w:tcPr/>
          <w:p>
            <w:pPr>
              <w:pStyle w:val="Compact"/>
              <w:jc w:val="left"/>
            </w:pPr>
            <w:r>
              <w:t xml:space="preserve">-0.322</w:t>
            </w:r>
          </w:p>
        </w:tc>
      </w:tr>
      <w:tr>
        <w:tc>
          <w:tcPr/>
          <w:p>
            <w:pPr>
              <w:pStyle w:val="Compact"/>
              <w:jc w:val="left"/>
            </w:pPr>
            <w:r>
              <w:t xml:space="preserve">SKEW</w:t>
            </w:r>
          </w:p>
        </w:tc>
        <w:tc>
          <w:tcPr/>
          <w:p>
            <w:pPr>
              <w:pStyle w:val="Compact"/>
              <w:jc w:val="left"/>
            </w:pPr>
            <w:r>
              <w:t xml:space="preserve">-0.001</w:t>
            </w:r>
          </w:p>
        </w:tc>
        <w:tc>
          <w:tcPr/>
          <w:p>
            <w:pPr>
              <w:pStyle w:val="Compact"/>
              <w:jc w:val="left"/>
            </w:pPr>
            <w:r>
              <w:t xml:space="preserve">-0.03</w:t>
            </w:r>
          </w:p>
        </w:tc>
        <w:tc>
          <w:tcPr/>
          <w:p>
            <w:pPr>
              <w:pStyle w:val="Compact"/>
              <w:jc w:val="left"/>
            </w:pPr>
            <w:r>
              <w:t xml:space="preserve">0.31</w:t>
            </w:r>
          </w:p>
        </w:tc>
        <w:tc>
          <w:tcPr/>
          <w:p>
            <w:pPr>
              <w:pStyle w:val="Compact"/>
              <w:jc w:val="left"/>
            </w:pPr>
            <w:r>
              <w:t xml:space="preserve">-0.59</w:t>
            </w:r>
          </w:p>
        </w:tc>
        <w:tc>
          <w:tcPr/>
          <w:p>
            <w:pPr>
              <w:pStyle w:val="Compact"/>
              <w:jc w:val="left"/>
            </w:pPr>
            <w:r>
              <w:t xml:space="preserve">0.34</w:t>
            </w:r>
          </w:p>
        </w:tc>
        <w:tc>
          <w:tcPr/>
          <w:p>
            <w:pPr>
              <w:pStyle w:val="Compact"/>
              <w:jc w:val="left"/>
            </w:pPr>
            <w:r>
              <w:t xml:space="preserve">-0.213</w:t>
            </w:r>
          </w:p>
        </w:tc>
      </w:tr>
      <w:tr>
        <w:tc>
          <w:tcPr/>
          <w:p>
            <w:pPr>
              <w:pStyle w:val="Compact"/>
              <w:jc w:val="left"/>
            </w:pPr>
            <w:r>
              <w:t xml:space="preserve">MAX</w:t>
            </w:r>
          </w:p>
        </w:tc>
        <w:tc>
          <w:tcPr/>
          <w:p>
            <w:pPr>
              <w:pStyle w:val="Compact"/>
              <w:jc w:val="left"/>
            </w:pPr>
            <w:r>
              <w:t xml:space="preserve">-0.001</w:t>
            </w:r>
          </w:p>
        </w:tc>
        <w:tc>
          <w:tcPr/>
          <w:p>
            <w:pPr>
              <w:pStyle w:val="Compact"/>
              <w:jc w:val="left"/>
            </w:pPr>
            <w:r>
              <w:t xml:space="preserve">-0.02</w:t>
            </w:r>
          </w:p>
        </w:tc>
        <w:tc>
          <w:tcPr/>
          <w:p>
            <w:pPr>
              <w:pStyle w:val="Compact"/>
              <w:jc w:val="left"/>
            </w:pPr>
            <w:r>
              <w:t xml:space="preserve">0.96</w:t>
            </w:r>
          </w:p>
        </w:tc>
        <w:tc>
          <w:tcPr/>
          <w:p>
            <w:pPr>
              <w:pStyle w:val="Compact"/>
              <w:jc w:val="left"/>
            </w:pPr>
            <w:r>
              <w:t xml:space="preserve">-1.73</w:t>
            </w:r>
          </w:p>
        </w:tc>
        <w:tc>
          <w:tcPr/>
          <w:p>
            <w:pPr>
              <w:pStyle w:val="Compact"/>
              <w:jc w:val="left"/>
            </w:pPr>
            <w:r>
              <w:t xml:space="preserve">-0.09</w:t>
            </w:r>
          </w:p>
        </w:tc>
        <w:tc>
          <w:tcPr/>
          <w:p>
            <w:pPr>
              <w:pStyle w:val="Compact"/>
              <w:jc w:val="left"/>
            </w:pPr>
            <w:r>
              <w:t xml:space="preserve">-0.224</w:t>
            </w:r>
          </w:p>
        </w:tc>
      </w:tr>
    </w:tbl>
    <w:p>
      <w:pPr>
        <w:pStyle w:val="CaptionedFigure"/>
      </w:pPr>
      <w:r>
        <w:drawing>
          <wp:inline>
            <wp:extent cx="5334000" cy="4267200"/>
            <wp:effectExtent b="0" l="0" r="0" t="0"/>
            <wp:docPr descr="Figure 1. Fama-MacBeth t-statistics of the 22 characteristics: full sample, discovery half and confirmation half." title="" id="26" name="Picture"/>
            <a:graphic>
              <a:graphicData uri="http://schemas.openxmlformats.org/drawingml/2006/picture">
                <pic:pic>
                  <pic:nvPicPr>
                    <pic:cNvPr descr="../output/figures/H2_zoo_tstats.png" id="27"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 Fama-MacBeth t-statistics of the 22 characteristics: full sample, discovery half and confirmation half.</w:t>
      </w:r>
    </w:p>
    <w:p>
      <w:pPr>
        <w:pStyle w:val="BodyText"/>
      </w:pPr>
      <w:r>
        <w:t xml:space="preserve">None of the 22 characteristics has a full-sample |t| above 1.45 (Table 2, Figure 1), none passes the Harvey et al. (2016) threshold of 3, and none survives the family-wide control. The leading candidates, 3-month and idiosyncratic momentum, have t-statistics of 1.45 and 1.45, with confirmation-half t-statistics of 1.17 and 1.14. Standard risk measures are weak in this cross-section: volatility has t = -0.09, idiosyncratic volatility -0.54, and MAX -0.02. The long–short quintile spreads are small and, net of 25 basis points per unit traded, mostly negative; no characteristic combines a significant slope with a spread that survives costs. The tests have limited power with 79 cross-sections, so the null is informative mainly about effects as large as a few tenths of a percent per week.</w:t>
      </w:r>
    </w:p>
    <w:bookmarkEnd w:id="28"/>
    <w:bookmarkStart w:id="29" w:name="Xbb6cc7d9adae5abe35ec266c93678a90ac0fd5d"/>
    <w:p>
      <w:pPr>
        <w:pStyle w:val="Heading2"/>
      </w:pPr>
      <w:r>
        <w:t xml:space="preserve">4.2 The four limit tests specified in advance</w:t>
      </w:r>
    </w:p>
    <w:p>
      <w:pPr>
        <w:pStyle w:val="FirstParagraph"/>
      </w:pPr>
      <w:r>
        <w:t xml:space="preserve">Table 3. Price-limit event tests specified in the log: market-adjusted returns after a ceiling or floor close. Events require complete returns for days t+1 to t+5, so Table 3 has slightly fewer events than Table 4, which requires only the open and close of day t+1; later tables use the lagged-weight market and the samples stated in their notes.</w:t>
      </w:r>
    </w:p>
    <w:tbl>
      <w:tblPr>
        <w:tblStyle w:val="Table"/>
        <w:tblW w:type="pct" w:w="5000"/>
        <w:tblLook w:firstRow="1" w:lastRow="0" w:firstColumn="0" w:lastColumn="0" w:noHBand="0" w:noVBand="0" w:val="0020"/>
        <w:jc w:val="start"/>
      </w:tblPr>
      <w:tblGrid>
        <w:gridCol w:w="603"/>
        <w:gridCol w:w="678"/>
        <w:gridCol w:w="1885"/>
        <w:gridCol w:w="1433"/>
        <w:gridCol w:w="528"/>
        <w:gridCol w:w="452"/>
        <w:gridCol w:w="1131"/>
        <w:gridCol w:w="1206"/>
      </w:tblGrid>
      <w:tr>
        <w:trPr>
          <w:tblHeader w:val="true"/>
        </w:trPr>
        <w:tc>
          <w:tcPr/>
          <w:p>
            <w:pPr>
              <w:pStyle w:val="Compact"/>
              <w:jc w:val="left"/>
            </w:pPr>
            <w:r>
              <w:t xml:space="preserve">Event</w:t>
            </w:r>
          </w:p>
        </w:tc>
        <w:tc>
          <w:tcPr/>
          <w:p>
            <w:pPr>
              <w:pStyle w:val="Compact"/>
              <w:jc w:val="left"/>
            </w:pPr>
            <w:r>
              <w:t xml:space="preserve">Horizon</w:t>
            </w:r>
          </w:p>
        </w:tc>
        <w:tc>
          <w:tcPr/>
          <w:p>
            <w:pPr>
              <w:pStyle w:val="Compact"/>
              <w:jc w:val="left"/>
            </w:pPr>
            <w:r>
              <w:t xml:space="preserve">Mean abnormal return (%)</w:t>
            </w:r>
          </w:p>
        </w:tc>
        <w:tc>
          <w:tcPr/>
          <w:p>
            <w:pPr>
              <w:pStyle w:val="Compact"/>
              <w:jc w:val="left"/>
            </w:pPr>
            <w:r>
              <w:t xml:space="preserve">t (date-clustered)</w:t>
            </w:r>
          </w:p>
        </w:tc>
        <w:tc>
          <w:tcPr/>
          <w:p>
            <w:pPr>
              <w:pStyle w:val="Compact"/>
              <w:jc w:val="left"/>
            </w:pPr>
            <w:r>
              <w:t xml:space="preserve">Events</w:t>
            </w:r>
          </w:p>
        </w:tc>
        <w:tc>
          <w:tcPr/>
          <w:p>
            <w:pPr>
              <w:pStyle w:val="Compact"/>
              <w:jc w:val="left"/>
            </w:pPr>
            <w:r>
              <w:t xml:space="preserve">Dates</w:t>
            </w:r>
          </w:p>
        </w:tc>
        <w:tc>
          <w:tcPr/>
          <w:p>
            <w:pPr>
              <w:pStyle w:val="Compact"/>
              <w:jc w:val="left"/>
            </w:pPr>
            <w:r>
              <w:t xml:space="preserve">t (first half)</w:t>
            </w:r>
          </w:p>
        </w:tc>
        <w:tc>
          <w:tcPr/>
          <w:p>
            <w:pPr>
              <w:pStyle w:val="Compact"/>
              <w:jc w:val="left"/>
            </w:pPr>
            <w:r>
              <w:t xml:space="preserve">t (second half)</w:t>
            </w:r>
          </w:p>
        </w:tc>
      </w:tr>
      <w:tr>
        <w:tc>
          <w:tcPr/>
          <w:p>
            <w:pPr>
              <w:pStyle w:val="Compact"/>
              <w:jc w:val="left"/>
            </w:pPr>
            <w:r>
              <w:t xml:space="preserve">ceiling</w:t>
            </w:r>
          </w:p>
        </w:tc>
        <w:tc>
          <w:tcPr/>
          <w:p>
            <w:pPr>
              <w:pStyle w:val="Compact"/>
              <w:jc w:val="left"/>
            </w:pPr>
            <w:r>
              <w:t xml:space="preserve">t+1</w:t>
            </w:r>
          </w:p>
        </w:tc>
        <w:tc>
          <w:tcPr/>
          <w:p>
            <w:pPr>
              <w:pStyle w:val="Compact"/>
              <w:jc w:val="left"/>
            </w:pPr>
            <w:r>
              <w:t xml:space="preserve">1.66</w:t>
            </w:r>
          </w:p>
        </w:tc>
        <w:tc>
          <w:tcPr/>
          <w:p>
            <w:pPr>
              <w:pStyle w:val="Compact"/>
              <w:jc w:val="left"/>
            </w:pPr>
            <w:r>
              <w:t xml:space="preserve">4.91</w:t>
            </w:r>
          </w:p>
        </w:tc>
        <w:tc>
          <w:tcPr/>
          <w:p>
            <w:pPr>
              <w:pStyle w:val="Compact"/>
              <w:jc w:val="left"/>
            </w:pPr>
            <w:r>
              <w:t xml:space="preserve">3,187</w:t>
            </w:r>
          </w:p>
        </w:tc>
        <w:tc>
          <w:tcPr/>
          <w:p>
            <w:pPr>
              <w:pStyle w:val="Compact"/>
              <w:jc w:val="left"/>
            </w:pPr>
            <w:r>
              <w:t xml:space="preserve">446</w:t>
            </w:r>
          </w:p>
        </w:tc>
        <w:tc>
          <w:tcPr/>
          <w:p>
            <w:pPr>
              <w:pStyle w:val="Compact"/>
              <w:jc w:val="left"/>
            </w:pPr>
            <w:r>
              <w:t xml:space="preserve">2.28</w:t>
            </w:r>
          </w:p>
        </w:tc>
        <w:tc>
          <w:tcPr/>
          <w:p>
            <w:pPr>
              <w:pStyle w:val="Compact"/>
              <w:jc w:val="left"/>
            </w:pPr>
            <w:r>
              <w:t xml:space="preserve">14.36</w:t>
            </w:r>
          </w:p>
        </w:tc>
      </w:tr>
      <w:tr>
        <w:tc>
          <w:tcPr/>
          <w:p>
            <w:pPr>
              <w:pStyle w:val="Compact"/>
              <w:jc w:val="left"/>
            </w:pPr>
            <w:r>
              <w:t xml:space="preserve">ceiling</w:t>
            </w:r>
          </w:p>
        </w:tc>
        <w:tc>
          <w:tcPr/>
          <w:p>
            <w:pPr>
              <w:pStyle w:val="Compact"/>
              <w:jc w:val="left"/>
            </w:pPr>
            <w:r>
              <w:t xml:space="preserve">t+1..t+5</w:t>
            </w:r>
          </w:p>
        </w:tc>
        <w:tc>
          <w:tcPr/>
          <w:p>
            <w:pPr>
              <w:pStyle w:val="Compact"/>
              <w:jc w:val="left"/>
            </w:pPr>
            <w:r>
              <w:t xml:space="preserve">1.45</w:t>
            </w:r>
          </w:p>
        </w:tc>
        <w:tc>
          <w:tcPr/>
          <w:p>
            <w:pPr>
              <w:pStyle w:val="Compact"/>
              <w:jc w:val="left"/>
            </w:pPr>
            <w:r>
              <w:t xml:space="preserve">4.01</w:t>
            </w:r>
          </w:p>
        </w:tc>
        <w:tc>
          <w:tcPr/>
          <w:p>
            <w:pPr>
              <w:pStyle w:val="Compact"/>
              <w:jc w:val="left"/>
            </w:pPr>
            <w:r>
              <w:t xml:space="preserve">3,187</w:t>
            </w:r>
          </w:p>
        </w:tc>
        <w:tc>
          <w:tcPr/>
          <w:p>
            <w:pPr>
              <w:pStyle w:val="Compact"/>
              <w:jc w:val="left"/>
            </w:pPr>
            <w:r>
              <w:t xml:space="preserve">446</w:t>
            </w:r>
          </w:p>
        </w:tc>
        <w:tc>
          <w:tcPr/>
          <w:p>
            <w:pPr>
              <w:pStyle w:val="Compact"/>
              <w:jc w:val="left"/>
            </w:pPr>
            <w:r>
              <w:t xml:space="preserve">1.78</w:t>
            </w:r>
          </w:p>
        </w:tc>
        <w:tc>
          <w:tcPr/>
          <w:p>
            <w:pPr>
              <w:pStyle w:val="Compact"/>
              <w:jc w:val="left"/>
            </w:pPr>
            <w:r>
              <w:t xml:space="preserve">6.82</w:t>
            </w:r>
          </w:p>
        </w:tc>
      </w:tr>
      <w:tr>
        <w:tc>
          <w:tcPr/>
          <w:p>
            <w:pPr>
              <w:pStyle w:val="Compact"/>
              <w:jc w:val="left"/>
            </w:pPr>
            <w:r>
              <w:t xml:space="preserve">floor</w:t>
            </w:r>
          </w:p>
        </w:tc>
        <w:tc>
          <w:tcPr/>
          <w:p>
            <w:pPr>
              <w:pStyle w:val="Compact"/>
              <w:jc w:val="left"/>
            </w:pPr>
            <w:r>
              <w:t xml:space="preserve">t+1</w:t>
            </w:r>
          </w:p>
        </w:tc>
        <w:tc>
          <w:tcPr/>
          <w:p>
            <w:pPr>
              <w:pStyle w:val="Compact"/>
              <w:jc w:val="left"/>
            </w:pPr>
            <w:r>
              <w:t xml:space="preserve">-0.71</w:t>
            </w:r>
          </w:p>
        </w:tc>
        <w:tc>
          <w:tcPr/>
          <w:p>
            <w:pPr>
              <w:pStyle w:val="Compact"/>
              <w:jc w:val="left"/>
            </w:pPr>
            <w:r>
              <w:t xml:space="preserve">-5.33</w:t>
            </w:r>
          </w:p>
        </w:tc>
        <w:tc>
          <w:tcPr/>
          <w:p>
            <w:pPr>
              <w:pStyle w:val="Compact"/>
              <w:jc w:val="left"/>
            </w:pPr>
            <w:r>
              <w:t xml:space="preserve">2,105</w:t>
            </w:r>
          </w:p>
        </w:tc>
        <w:tc>
          <w:tcPr/>
          <w:p>
            <w:pPr>
              <w:pStyle w:val="Compact"/>
              <w:jc w:val="left"/>
            </w:pPr>
            <w:r>
              <w:t xml:space="preserve">319</w:t>
            </w:r>
          </w:p>
        </w:tc>
        <w:tc>
          <w:tcPr/>
          <w:p>
            <w:pPr>
              <w:pStyle w:val="Compact"/>
              <w:jc w:val="left"/>
            </w:pPr>
            <w:r>
              <w:t xml:space="preserve">-2.97</w:t>
            </w:r>
          </w:p>
        </w:tc>
        <w:tc>
          <w:tcPr/>
          <w:p>
            <w:pPr>
              <w:pStyle w:val="Compact"/>
              <w:jc w:val="left"/>
            </w:pPr>
            <w:r>
              <w:t xml:space="preserve">-5.12</w:t>
            </w:r>
          </w:p>
        </w:tc>
      </w:tr>
      <w:tr>
        <w:tc>
          <w:tcPr/>
          <w:p>
            <w:pPr>
              <w:pStyle w:val="Compact"/>
              <w:jc w:val="left"/>
            </w:pPr>
            <w:r>
              <w:t xml:space="preserve">floor</w:t>
            </w:r>
          </w:p>
        </w:tc>
        <w:tc>
          <w:tcPr/>
          <w:p>
            <w:pPr>
              <w:pStyle w:val="Compact"/>
              <w:jc w:val="left"/>
            </w:pPr>
            <w:r>
              <w:t xml:space="preserve">t+1..t+5</w:t>
            </w:r>
          </w:p>
        </w:tc>
        <w:tc>
          <w:tcPr/>
          <w:p>
            <w:pPr>
              <w:pStyle w:val="Compact"/>
              <w:jc w:val="left"/>
            </w:pPr>
            <w:r>
              <w:t xml:space="preserve">-1.76</w:t>
            </w:r>
          </w:p>
        </w:tc>
        <w:tc>
          <w:tcPr/>
          <w:p>
            <w:pPr>
              <w:pStyle w:val="Compact"/>
              <w:jc w:val="left"/>
            </w:pPr>
            <w:r>
              <w:t xml:space="preserve">-4.75</w:t>
            </w:r>
          </w:p>
        </w:tc>
        <w:tc>
          <w:tcPr/>
          <w:p>
            <w:pPr>
              <w:pStyle w:val="Compact"/>
              <w:jc w:val="left"/>
            </w:pPr>
            <w:r>
              <w:t xml:space="preserve">2,105</w:t>
            </w:r>
          </w:p>
        </w:tc>
        <w:tc>
          <w:tcPr/>
          <w:p>
            <w:pPr>
              <w:pStyle w:val="Compact"/>
              <w:jc w:val="left"/>
            </w:pPr>
            <w:r>
              <w:t xml:space="preserve">319</w:t>
            </w:r>
          </w:p>
        </w:tc>
        <w:tc>
          <w:tcPr/>
          <w:p>
            <w:pPr>
              <w:pStyle w:val="Compact"/>
              <w:jc w:val="left"/>
            </w:pPr>
            <w:r>
              <w:t xml:space="preserve">-11.57</w:t>
            </w:r>
          </w:p>
        </w:tc>
        <w:tc>
          <w:tcPr/>
          <w:p>
            <w:pPr>
              <w:pStyle w:val="Compact"/>
              <w:jc w:val="left"/>
            </w:pPr>
            <w:r>
              <w:t xml:space="preserve">-2.16</w:t>
            </w:r>
          </w:p>
        </w:tc>
      </w:tr>
    </w:tbl>
    <w:p>
      <w:pPr>
        <w:pStyle w:val="BodyText"/>
      </w:pPr>
      <w:r>
        <w:t xml:space="preserve">All four tests are significant, survive the Benjamini–Hochberg control over the 26 tests (adjusted p-values between 2.6e-06 and 4.0e-04) and keep the same sign in both halves of the sample with confirmation-half |t| above 1.96 (Table 3). A ceiling close is followed by an abnormal return of 1.66% the next day and 1.45% over five days; a floor close by -0.71% and -1.76%. Of the 26 tests, 4 of 4 event tests and 0 of 22 characteristic tests survive.</w:t>
      </w:r>
    </w:p>
    <w:p>
      <w:pPr>
        <w:pStyle w:val="BodyText"/>
      </w:pPr>
      <w:r>
        <w:t xml:space="preserve">Two features of this result need qualification, and Table 3b reports the corresponding checks (post hoc). First, the date-clustered standard errors of Table 3 ignore dependence between events on adjacent dates, which is likely at the five-day horizon because windows overlap. With calendar-week clusters (95 weeks) and 10-day-block clusters (46 blocks) and a t reference with G−1 degrees of freedom, all four tests keep their sign and remain significant: the ceiling five-day t-statistic falls from 4.01 (Table 3) to 3.67 and 3.81, and the confirmation-half t-statistic of the floor five-day test, which clears 1.96 by the smallest margin, is -2.16 with date clusters, -2.22 with week clusters and -2.46 with block clusters. Re-applying the survival rule with week-clustered statistics and t-based p-values (all 26 tests, Benjamini–Hochberg) leaves all four event tests surviving (adjusted p-values up to 2.6e-03). The split at weeks 39 and 40 that the specification called for gives the same picture, with confirmation-half week-clustered t-statistics of 13.3, 3.8, -4.5 and -2.6. Second, the survival of the five-day tests is carried by the first day. Over days</w:t>
      </w:r>
      <w:r>
        <w:t xml:space="preserve"> </w:t>
      </w:r>
      <m:oMath>
        <m:r>
          <m:t>t</m:t>
        </m:r>
        <m:r>
          <m:rPr>
            <m:sty m:val="p"/>
          </m:rPr>
          <m:t>+</m:t>
        </m:r>
        <m:r>
          <m:t>2</m:t>
        </m:r>
      </m:oMath>
      <w:r>
        <w:t xml:space="preserve"> </w:t>
      </w:r>
      <w:r>
        <w:t xml:space="preserve">to</w:t>
      </w:r>
      <w:r>
        <w:t xml:space="preserve"> </w:t>
      </w:r>
      <m:oMath>
        <m:r>
          <m:t>t</m:t>
        </m:r>
        <m:r>
          <m:rPr>
            <m:sty m:val="p"/>
          </m:rPr>
          <m:t>+</m:t>
        </m:r>
        <m:r>
          <m:t>5</m:t>
        </m:r>
      </m:oMath>
      <w:r>
        <w:t xml:space="preserve"> </w:t>
      </w:r>
      <w:r>
        <w:t xml:space="preserve">alone the ceiling abnormal return is -0.24% (date-clustered t = -1.53; week-clustered -1.11), which is not significant, and the floor return over the same days is -1.10% (t = -2.91) in the full sample but not significant in the second half (week-clustered t = -1.14, against a week-clustered full-sample t of -3.01). If the horizon of the specification is read as days</w:t>
      </w:r>
      <w:r>
        <w:t xml:space="preserve"> </w:t>
      </w:r>
      <m:oMath>
        <m:r>
          <m:t>t</m:t>
        </m:r>
        <m:r>
          <m:rPr>
            <m:sty m:val="p"/>
          </m:rPr>
          <m:t>+</m:t>
        </m:r>
        <m:r>
          <m:t>2</m:t>
        </m:r>
      </m:oMath>
      <w:r>
        <w:t xml:space="preserve"> </w:t>
      </w:r>
      <w:r>
        <w:t xml:space="preserve">to</w:t>
      </w:r>
      <w:r>
        <w:t xml:space="preserve"> </w:t>
      </w:r>
      <m:oMath>
        <m:r>
          <m:t>t</m:t>
        </m:r>
        <m:r>
          <m:rPr>
            <m:sty m:val="p"/>
          </m:rPr>
          <m:t>+</m:t>
        </m:r>
        <m:r>
          <m:t>5</m:t>
        </m:r>
      </m:oMath>
      <w:r>
        <w:t xml:space="preserve"> </w:t>
      </w:r>
      <w:r>
        <w:t xml:space="preserve">(Section 3.1), the ceiling test would therefore not survive and the floor test would fail the confirmation-half criterion. We read the evidence as a one-day effect after ceiling closes and a one-day effect with some further drift after floor closes, not as a multi-day continuation.</w:t>
      </w:r>
    </w:p>
    <w:p>
      <w:pPr>
        <w:pStyle w:val="BodyText"/>
      </w:pPr>
      <w:r>
        <w:t xml:space="preserve">Table 3b. Inference for the event tests under alternative clustering (post hoc). Same events and market-adjusted returns as Table 3; the date-clustered t-statistics here use a G/(G−1) small-cluster correction and differ slightly from Table 3. Halves: split at the median event date. Weeks 1-39 / 40-79: the split of the specification, applied to events from trading day 120.</w:t>
      </w:r>
    </w:p>
    <w:tbl>
      <w:tblPr>
        <w:tblStyle w:val="Table"/>
        <w:tblW w:type="pct" w:w="5000"/>
        <w:tblLook w:firstRow="1" w:lastRow="0" w:firstColumn="0" w:lastColumn="0" w:noHBand="0" w:noVBand="0" w:val="0020"/>
        <w:jc w:val="start"/>
      </w:tblPr>
      <w:tblGrid>
        <w:gridCol w:w="627"/>
        <w:gridCol w:w="705"/>
        <w:gridCol w:w="705"/>
        <w:gridCol w:w="705"/>
        <w:gridCol w:w="705"/>
        <w:gridCol w:w="1333"/>
        <w:gridCol w:w="1333"/>
        <w:gridCol w:w="1803"/>
      </w:tblGrid>
      <w:tr>
        <w:trPr>
          <w:tblHeader w:val="true"/>
        </w:trPr>
        <w:tc>
          <w:tcPr/>
          <w:p>
            <w:pPr>
              <w:pStyle w:val="Compact"/>
              <w:jc w:val="left"/>
            </w:pPr>
            <w:r>
              <w:t xml:space="preserve">Event</w:t>
            </w:r>
          </w:p>
        </w:tc>
        <w:tc>
          <w:tcPr/>
          <w:p>
            <w:pPr>
              <w:pStyle w:val="Compact"/>
              <w:jc w:val="left"/>
            </w:pPr>
            <w:r>
              <w:t xml:space="preserve">Horizon</w:t>
            </w:r>
          </w:p>
        </w:tc>
        <w:tc>
          <w:tcPr/>
          <w:p>
            <w:pPr>
              <w:pStyle w:val="Compact"/>
              <w:jc w:val="left"/>
            </w:pPr>
            <w:r>
              <w:t xml:space="preserve">Mean (%)</w:t>
            </w:r>
          </w:p>
        </w:tc>
        <w:tc>
          <w:tcPr/>
          <w:p>
            <w:pPr>
              <w:pStyle w:val="Compact"/>
              <w:jc w:val="left"/>
            </w:pPr>
            <w:r>
              <w:t xml:space="preserve">t (date)</w:t>
            </w:r>
          </w:p>
        </w:tc>
        <w:tc>
          <w:tcPr/>
          <w:p>
            <w:pPr>
              <w:pStyle w:val="Compact"/>
              <w:jc w:val="left"/>
            </w:pPr>
            <w:r>
              <w:t xml:space="preserve">t (week)</w:t>
            </w:r>
          </w:p>
        </w:tc>
        <w:tc>
          <w:tcPr/>
          <w:p>
            <w:pPr>
              <w:pStyle w:val="Compact"/>
              <w:jc w:val="left"/>
            </w:pPr>
            <w:r>
              <w:t xml:space="preserve">t (10-day block)</w:t>
            </w:r>
          </w:p>
        </w:tc>
        <w:tc>
          <w:tcPr/>
          <w:p>
            <w:pPr>
              <w:pStyle w:val="Compact"/>
              <w:jc w:val="left"/>
            </w:pPr>
            <w:r>
              <w:t xml:space="preserve">t (halves, week)</w:t>
            </w:r>
          </w:p>
        </w:tc>
        <w:tc>
          <w:tcPr/>
          <w:p>
            <w:pPr>
              <w:pStyle w:val="Compact"/>
              <w:jc w:val="left"/>
            </w:pPr>
            <w:r>
              <w:t xml:space="preserve">t (weeks 1-39 / 40-79)</w:t>
            </w:r>
          </w:p>
        </w:tc>
      </w:tr>
      <w:tr>
        <w:tc>
          <w:tcPr/>
          <w:p>
            <w:pPr>
              <w:pStyle w:val="Compact"/>
              <w:jc w:val="left"/>
            </w:pPr>
            <w:r>
              <w:t xml:space="preserve">ceiling</w:t>
            </w:r>
          </w:p>
        </w:tc>
        <w:tc>
          <w:tcPr/>
          <w:p>
            <w:pPr>
              <w:pStyle w:val="Compact"/>
              <w:jc w:val="left"/>
            </w:pPr>
            <w:r>
              <w:t xml:space="preserve">t+1</w:t>
            </w:r>
          </w:p>
        </w:tc>
        <w:tc>
          <w:tcPr/>
          <w:p>
            <w:pPr>
              <w:pStyle w:val="Compact"/>
              <w:jc w:val="left"/>
            </w:pPr>
            <w:r>
              <w:t xml:space="preserve">1.66</w:t>
            </w:r>
          </w:p>
        </w:tc>
        <w:tc>
          <w:tcPr/>
          <w:p>
            <w:pPr>
              <w:pStyle w:val="Compact"/>
              <w:jc w:val="left"/>
            </w:pPr>
            <w:r>
              <w:t xml:space="preserve">4.90</w:t>
            </w:r>
          </w:p>
        </w:tc>
        <w:tc>
          <w:tcPr/>
          <w:p>
            <w:pPr>
              <w:pStyle w:val="Compact"/>
              <w:jc w:val="left"/>
            </w:pPr>
            <w:r>
              <w:t xml:space="preserve">4.67</w:t>
            </w:r>
          </w:p>
        </w:tc>
        <w:tc>
          <w:tcPr/>
          <w:p>
            <w:pPr>
              <w:pStyle w:val="Compact"/>
              <w:jc w:val="left"/>
            </w:pPr>
            <w:r>
              <w:t xml:space="preserve">4.61</w:t>
            </w:r>
          </w:p>
        </w:tc>
        <w:tc>
          <w:tcPr/>
          <w:p>
            <w:pPr>
              <w:pStyle w:val="Compact"/>
              <w:jc w:val="left"/>
            </w:pPr>
            <w:r>
              <w:t xml:space="preserve">2.2 / 13.7</w:t>
            </w:r>
          </w:p>
        </w:tc>
        <w:tc>
          <w:tcPr/>
          <w:p>
            <w:pPr>
              <w:pStyle w:val="Compact"/>
              <w:jc w:val="left"/>
            </w:pPr>
            <w:r>
              <w:t xml:space="preserve">2.4 / 13.3</w:t>
            </w:r>
          </w:p>
        </w:tc>
      </w:tr>
      <w:tr>
        <w:tc>
          <w:tcPr/>
          <w:p>
            <w:pPr>
              <w:pStyle w:val="Compact"/>
              <w:jc w:val="left"/>
            </w:pPr>
            <w:r>
              <w:t xml:space="preserve">ceiling</w:t>
            </w:r>
          </w:p>
        </w:tc>
        <w:tc>
          <w:tcPr/>
          <w:p>
            <w:pPr>
              <w:pStyle w:val="Compact"/>
              <w:jc w:val="left"/>
            </w:pPr>
            <w:r>
              <w:t xml:space="preserve">t+1..t+5</w:t>
            </w:r>
          </w:p>
        </w:tc>
        <w:tc>
          <w:tcPr/>
          <w:p>
            <w:pPr>
              <w:pStyle w:val="Compact"/>
              <w:jc w:val="left"/>
            </w:pPr>
            <w:r>
              <w:t xml:space="preserve">1.45</w:t>
            </w:r>
          </w:p>
        </w:tc>
        <w:tc>
          <w:tcPr/>
          <w:p>
            <w:pPr>
              <w:pStyle w:val="Compact"/>
              <w:jc w:val="left"/>
            </w:pPr>
            <w:r>
              <w:t xml:space="preserve">4.00</w:t>
            </w:r>
          </w:p>
        </w:tc>
        <w:tc>
          <w:tcPr/>
          <w:p>
            <w:pPr>
              <w:pStyle w:val="Compact"/>
              <w:jc w:val="left"/>
            </w:pPr>
            <w:r>
              <w:t xml:space="preserve">3.67</w:t>
            </w:r>
          </w:p>
        </w:tc>
        <w:tc>
          <w:tcPr/>
          <w:p>
            <w:pPr>
              <w:pStyle w:val="Compact"/>
              <w:jc w:val="left"/>
            </w:pPr>
            <w:r>
              <w:t xml:space="preserve">3.81</w:t>
            </w:r>
          </w:p>
        </w:tc>
        <w:tc>
          <w:tcPr/>
          <w:p>
            <w:pPr>
              <w:pStyle w:val="Compact"/>
              <w:jc w:val="left"/>
            </w:pPr>
            <w:r>
              <w:t xml:space="preserve">1.7 / 5.0</w:t>
            </w:r>
          </w:p>
        </w:tc>
        <w:tc>
          <w:tcPr/>
          <w:p>
            <w:pPr>
              <w:pStyle w:val="Compact"/>
              <w:jc w:val="left"/>
            </w:pPr>
            <w:r>
              <w:t xml:space="preserve">2.0 / 3.8</w:t>
            </w:r>
          </w:p>
        </w:tc>
      </w:tr>
      <w:tr>
        <w:tc>
          <w:tcPr/>
          <w:p>
            <w:pPr>
              <w:pStyle w:val="Compact"/>
              <w:jc w:val="left"/>
            </w:pPr>
            <w:r>
              <w:t xml:space="preserve">ceiling</w:t>
            </w:r>
          </w:p>
        </w:tc>
        <w:tc>
          <w:tcPr/>
          <w:p>
            <w:pPr>
              <w:pStyle w:val="Compact"/>
              <w:jc w:val="left"/>
            </w:pPr>
            <w:r>
              <w:t xml:space="preserve">t+2..t+5</w:t>
            </w:r>
          </w:p>
        </w:tc>
        <w:tc>
          <w:tcPr/>
          <w:p>
            <w:pPr>
              <w:pStyle w:val="Compact"/>
              <w:jc w:val="left"/>
            </w:pPr>
            <w:r>
              <w:t xml:space="preserve">-0.24</w:t>
            </w:r>
          </w:p>
        </w:tc>
        <w:tc>
          <w:tcPr/>
          <w:p>
            <w:pPr>
              <w:pStyle w:val="Compact"/>
              <w:jc w:val="left"/>
            </w:pPr>
            <w:r>
              <w:t xml:space="preserve">-1.53</w:t>
            </w:r>
          </w:p>
        </w:tc>
        <w:tc>
          <w:tcPr/>
          <w:p>
            <w:pPr>
              <w:pStyle w:val="Compact"/>
              <w:jc w:val="left"/>
            </w:pPr>
            <w:r>
              <w:t xml:space="preserve">-1.11</w:t>
            </w:r>
          </w:p>
        </w:tc>
        <w:tc>
          <w:tcPr/>
          <w:p>
            <w:pPr>
              <w:pStyle w:val="Compact"/>
              <w:jc w:val="left"/>
            </w:pPr>
            <w:r>
              <w:t xml:space="preserve">-1.25</w:t>
            </w:r>
          </w:p>
        </w:tc>
        <w:tc>
          <w:tcPr/>
          <w:p>
            <w:pPr>
              <w:pStyle w:val="Compact"/>
              <w:jc w:val="left"/>
            </w:pPr>
            <w:r>
              <w:t xml:space="preserve">-1.1 / -0.4</w:t>
            </w:r>
          </w:p>
        </w:tc>
        <w:tc>
          <w:tcPr/>
          <w:p>
            <w:pPr>
              <w:pStyle w:val="Compact"/>
              <w:jc w:val="left"/>
            </w:pPr>
            <w:r>
              <w:t xml:space="preserve">-0.8 / -1.1</w:t>
            </w:r>
          </w:p>
        </w:tc>
      </w:tr>
      <w:tr>
        <w:tc>
          <w:tcPr/>
          <w:p>
            <w:pPr>
              <w:pStyle w:val="Compact"/>
              <w:jc w:val="left"/>
            </w:pPr>
            <w:r>
              <w:t xml:space="preserve">floor</w:t>
            </w:r>
          </w:p>
        </w:tc>
        <w:tc>
          <w:tcPr/>
          <w:p>
            <w:pPr>
              <w:pStyle w:val="Compact"/>
              <w:jc w:val="left"/>
            </w:pPr>
            <w:r>
              <w:t xml:space="preserve">t+1</w:t>
            </w:r>
          </w:p>
        </w:tc>
        <w:tc>
          <w:tcPr/>
          <w:p>
            <w:pPr>
              <w:pStyle w:val="Compact"/>
              <w:jc w:val="left"/>
            </w:pPr>
            <w:r>
              <w:t xml:space="preserve">-0.71</w:t>
            </w:r>
          </w:p>
        </w:tc>
        <w:tc>
          <w:tcPr/>
          <w:p>
            <w:pPr>
              <w:pStyle w:val="Compact"/>
              <w:jc w:val="left"/>
            </w:pPr>
            <w:r>
              <w:t xml:space="preserve">-5.32</w:t>
            </w:r>
          </w:p>
        </w:tc>
        <w:tc>
          <w:tcPr/>
          <w:p>
            <w:pPr>
              <w:pStyle w:val="Compact"/>
              <w:jc w:val="left"/>
            </w:pPr>
            <w:r>
              <w:t xml:space="preserve">-4.66</w:t>
            </w:r>
          </w:p>
        </w:tc>
        <w:tc>
          <w:tcPr/>
          <w:p>
            <w:pPr>
              <w:pStyle w:val="Compact"/>
              <w:jc w:val="left"/>
            </w:pPr>
            <w:r>
              <w:t xml:space="preserve">-6.25</w:t>
            </w:r>
          </w:p>
        </w:tc>
        <w:tc>
          <w:tcPr/>
          <w:p>
            <w:pPr>
              <w:pStyle w:val="Compact"/>
              <w:jc w:val="left"/>
            </w:pPr>
            <w:r>
              <w:t xml:space="preserve">-2.7 / -4.6</w:t>
            </w:r>
          </w:p>
        </w:tc>
        <w:tc>
          <w:tcPr/>
          <w:p>
            <w:pPr>
              <w:pStyle w:val="Compact"/>
              <w:jc w:val="left"/>
            </w:pPr>
            <w:r>
              <w:t xml:space="preserve">-2.8 / -4.5</w:t>
            </w:r>
          </w:p>
        </w:tc>
      </w:tr>
      <w:tr>
        <w:tc>
          <w:tcPr/>
          <w:p>
            <w:pPr>
              <w:pStyle w:val="Compact"/>
              <w:jc w:val="left"/>
            </w:pPr>
            <w:r>
              <w:t xml:space="preserve">floor</w:t>
            </w:r>
          </w:p>
        </w:tc>
        <w:tc>
          <w:tcPr/>
          <w:p>
            <w:pPr>
              <w:pStyle w:val="Compact"/>
              <w:jc w:val="left"/>
            </w:pPr>
            <w:r>
              <w:t xml:space="preserve">t+1..t+5</w:t>
            </w:r>
          </w:p>
        </w:tc>
        <w:tc>
          <w:tcPr/>
          <w:p>
            <w:pPr>
              <w:pStyle w:val="Compact"/>
              <w:jc w:val="left"/>
            </w:pPr>
            <w:r>
              <w:t xml:space="preserve">-1.76</w:t>
            </w:r>
          </w:p>
        </w:tc>
        <w:tc>
          <w:tcPr/>
          <w:p>
            <w:pPr>
              <w:pStyle w:val="Compact"/>
              <w:jc w:val="left"/>
            </w:pPr>
            <w:r>
              <w:t xml:space="preserve">-4.74</w:t>
            </w:r>
          </w:p>
        </w:tc>
        <w:tc>
          <w:tcPr/>
          <w:p>
            <w:pPr>
              <w:pStyle w:val="Compact"/>
              <w:jc w:val="left"/>
            </w:pPr>
            <w:r>
              <w:t xml:space="preserve">-4.80</w:t>
            </w:r>
          </w:p>
        </w:tc>
        <w:tc>
          <w:tcPr/>
          <w:p>
            <w:pPr>
              <w:pStyle w:val="Compact"/>
              <w:jc w:val="left"/>
            </w:pPr>
            <w:r>
              <w:t xml:space="preserve">-4.92</w:t>
            </w:r>
          </w:p>
        </w:tc>
        <w:tc>
          <w:tcPr/>
          <w:p>
            <w:pPr>
              <w:pStyle w:val="Compact"/>
              <w:jc w:val="left"/>
            </w:pPr>
            <w:r>
              <w:t xml:space="preserve">-12.3 / -2.2</w:t>
            </w:r>
          </w:p>
        </w:tc>
        <w:tc>
          <w:tcPr/>
          <w:p>
            <w:pPr>
              <w:pStyle w:val="Compact"/>
              <w:jc w:val="left"/>
            </w:pPr>
            <w:r>
              <w:t xml:space="preserve">-3.9 / -2.6</w:t>
            </w:r>
          </w:p>
        </w:tc>
      </w:tr>
      <w:tr>
        <w:tc>
          <w:tcPr/>
          <w:p>
            <w:pPr>
              <w:pStyle w:val="Compact"/>
              <w:jc w:val="left"/>
            </w:pPr>
            <w:r>
              <w:t xml:space="preserve">floor</w:t>
            </w:r>
          </w:p>
        </w:tc>
        <w:tc>
          <w:tcPr/>
          <w:p>
            <w:pPr>
              <w:pStyle w:val="Compact"/>
              <w:jc w:val="left"/>
            </w:pPr>
            <w:r>
              <w:t xml:space="preserve">t+2..t+5</w:t>
            </w:r>
          </w:p>
        </w:tc>
        <w:tc>
          <w:tcPr/>
          <w:p>
            <w:pPr>
              <w:pStyle w:val="Compact"/>
              <w:jc w:val="left"/>
            </w:pPr>
            <w:r>
              <w:t xml:space="preserve">-1.10</w:t>
            </w:r>
          </w:p>
        </w:tc>
        <w:tc>
          <w:tcPr/>
          <w:p>
            <w:pPr>
              <w:pStyle w:val="Compact"/>
              <w:jc w:val="left"/>
            </w:pPr>
            <w:r>
              <w:t xml:space="preserve">-2.91</w:t>
            </w:r>
          </w:p>
        </w:tc>
        <w:tc>
          <w:tcPr/>
          <w:p>
            <w:pPr>
              <w:pStyle w:val="Compact"/>
              <w:jc w:val="left"/>
            </w:pPr>
            <w:r>
              <w:t xml:space="preserve">-3.01</w:t>
            </w:r>
          </w:p>
        </w:tc>
        <w:tc>
          <w:tcPr/>
          <w:p>
            <w:pPr>
              <w:pStyle w:val="Compact"/>
              <w:jc w:val="left"/>
            </w:pPr>
            <w:r>
              <w:t xml:space="preserve">-2.81</w:t>
            </w:r>
          </w:p>
        </w:tc>
        <w:tc>
          <w:tcPr/>
          <w:p>
            <w:pPr>
              <w:pStyle w:val="Compact"/>
              <w:jc w:val="left"/>
            </w:pPr>
            <w:r>
              <w:t xml:space="preserve">-8.7 / -1.1</w:t>
            </w:r>
          </w:p>
        </w:tc>
        <w:tc>
          <w:tcPr/>
          <w:p>
            <w:pPr>
              <w:pStyle w:val="Compact"/>
              <w:jc w:val="left"/>
            </w:pPr>
            <w:r>
              <w:t xml:space="preserve">-2.8 / -1.6</w:t>
            </w:r>
          </w:p>
        </w:tc>
      </w:tr>
    </w:tbl>
    <w:bookmarkEnd w:id="29"/>
    <w:bookmarkStart w:id="33" w:name="the-effect-is-an-overnight-gap-post-hoc"/>
    <w:p>
      <w:pPr>
        <w:pStyle w:val="Heading2"/>
      </w:pPr>
      <w:r>
        <w:t xml:space="preserve">4.3 The effect is an overnight gap (post hoc)</w:t>
      </w:r>
    </w:p>
    <w:p>
      <w:pPr>
        <w:pStyle w:val="FirstParagraph"/>
      </w:pPr>
      <w:r>
        <w:t xml:space="preserve">Table 4. Decomposition of the next-day abnormal return into the overnight gap and the intraday return, with three clustering schemes. Upper block: events defined by the log-specified rule; lower block: events defined by the exact tick rule.</w:t>
      </w:r>
    </w:p>
    <w:tbl>
      <w:tblPr>
        <w:tblStyle w:val="Table"/>
        <w:tblW w:type="pct" w:w="5000"/>
        <w:tblLook w:firstRow="1" w:lastRow="0" w:firstColumn="0" w:lastColumn="0" w:noHBand="0" w:noVBand="0" w:val="0020"/>
        <w:jc w:val="start"/>
      </w:tblPr>
      <w:tblGrid>
        <w:gridCol w:w="1335"/>
        <w:gridCol w:w="1431"/>
        <w:gridCol w:w="858"/>
        <w:gridCol w:w="858"/>
        <w:gridCol w:w="954"/>
        <w:gridCol w:w="1145"/>
        <w:gridCol w:w="667"/>
        <w:gridCol w:w="667"/>
      </w:tblGrid>
      <w:tr>
        <w:trPr>
          <w:tblHeader w:val="true"/>
        </w:trPr>
        <w:tc>
          <w:tcPr/>
          <w:p>
            <w:pPr>
              <w:pStyle w:val="Compact"/>
              <w:jc w:val="left"/>
            </w:pPr>
            <w:r>
              <w:t xml:space="preserve">Event</w:t>
            </w:r>
          </w:p>
        </w:tc>
        <w:tc>
          <w:tcPr/>
          <w:p>
            <w:pPr>
              <w:pStyle w:val="Compact"/>
              <w:jc w:val="left"/>
            </w:pPr>
            <w:r>
              <w:t xml:space="preserve">Measure</w:t>
            </w:r>
          </w:p>
        </w:tc>
        <w:tc>
          <w:tcPr/>
          <w:p>
            <w:pPr>
              <w:pStyle w:val="Compact"/>
              <w:jc w:val="left"/>
            </w:pPr>
            <w:r>
              <w:t xml:space="preserve">Mean (%)</w:t>
            </w:r>
          </w:p>
        </w:tc>
        <w:tc>
          <w:tcPr/>
          <w:p>
            <w:pPr>
              <w:pStyle w:val="Compact"/>
              <w:jc w:val="left"/>
            </w:pPr>
            <w:r>
              <w:t xml:space="preserve">t (date)</w:t>
            </w:r>
          </w:p>
        </w:tc>
        <w:tc>
          <w:tcPr/>
          <w:p>
            <w:pPr>
              <w:pStyle w:val="Compact"/>
              <w:jc w:val="left"/>
            </w:pPr>
            <w:r>
              <w:t xml:space="preserve">t (stock)</w:t>
            </w:r>
          </w:p>
        </w:tc>
        <w:tc>
          <w:tcPr/>
          <w:p>
            <w:pPr>
              <w:pStyle w:val="Compact"/>
              <w:jc w:val="left"/>
            </w:pPr>
            <w:r>
              <w:t xml:space="preserve">t (two-way)</w:t>
            </w:r>
          </w:p>
        </w:tc>
        <w:tc>
          <w:tcPr/>
          <w:p>
            <w:pPr>
              <w:pStyle w:val="Compact"/>
              <w:jc w:val="left"/>
            </w:pPr>
            <w:r>
              <w:t xml:space="preserve">Events</w:t>
            </w:r>
          </w:p>
        </w:tc>
        <w:tc>
          <w:tcPr/>
          <w:p>
            <w:pPr>
              <w:pStyle w:val="Compact"/>
              <w:jc w:val="left"/>
            </w:pPr>
            <w:r>
              <w:t xml:space="preserve">Stocks</w:t>
            </w:r>
          </w:p>
        </w:tc>
      </w:tr>
      <w:tr>
        <w:tc>
          <w:tcPr/>
          <w:p>
            <w:pPr>
              <w:pStyle w:val="Compact"/>
              <w:jc w:val="left"/>
            </w:pPr>
            <w:r>
              <w:t xml:space="preserve">ceiling</w:t>
            </w:r>
          </w:p>
        </w:tc>
        <w:tc>
          <w:tcPr/>
          <w:p>
            <w:pPr>
              <w:pStyle w:val="Compact"/>
              <w:jc w:val="left"/>
            </w:pPr>
            <w:r>
              <w:t xml:space="preserve">overnight gap</w:t>
            </w:r>
          </w:p>
        </w:tc>
        <w:tc>
          <w:tcPr/>
          <w:p>
            <w:pPr>
              <w:pStyle w:val="Compact"/>
              <w:jc w:val="left"/>
            </w:pPr>
            <w:r>
              <w:t xml:space="preserve">2.23</w:t>
            </w:r>
          </w:p>
        </w:tc>
        <w:tc>
          <w:tcPr/>
          <w:p>
            <w:pPr>
              <w:pStyle w:val="Compact"/>
              <w:jc w:val="left"/>
            </w:pPr>
            <w:r>
              <w:t xml:space="preserve">10.8</w:t>
            </w:r>
          </w:p>
        </w:tc>
        <w:tc>
          <w:tcPr/>
          <w:p>
            <w:pPr>
              <w:pStyle w:val="Compact"/>
              <w:jc w:val="left"/>
            </w:pPr>
            <w:r>
              <w:t xml:space="preserve">19.7</w:t>
            </w:r>
          </w:p>
        </w:tc>
        <w:tc>
          <w:tcPr/>
          <w:p>
            <w:pPr>
              <w:pStyle w:val="Compact"/>
              <w:jc w:val="left"/>
            </w:pPr>
            <w:r>
              <w:t xml:space="preserve">9.8</w:t>
            </w:r>
          </w:p>
        </w:tc>
        <w:tc>
          <w:tcPr/>
          <w:p>
            <w:pPr>
              <w:pStyle w:val="Compact"/>
              <w:jc w:val="left"/>
            </w:pPr>
            <w:r>
              <w:t xml:space="preserve">3,220</w:t>
            </w:r>
          </w:p>
        </w:tc>
        <w:tc>
          <w:tcPr/>
          <w:p>
            <w:pPr>
              <w:pStyle w:val="Compact"/>
              <w:jc w:val="left"/>
            </w:pPr>
            <w:r>
              <w:t xml:space="preserve">335</w:t>
            </w:r>
          </w:p>
        </w:tc>
      </w:tr>
      <w:tr>
        <w:tc>
          <w:tcPr/>
          <w:p>
            <w:pPr>
              <w:pStyle w:val="Compact"/>
              <w:jc w:val="left"/>
            </w:pPr>
            <w:r>
              <w:t xml:space="preserve">ceiling</w:t>
            </w:r>
          </w:p>
        </w:tc>
        <w:tc>
          <w:tcPr/>
          <w:p>
            <w:pPr>
              <w:pStyle w:val="Compact"/>
              <w:jc w:val="left"/>
            </w:pPr>
            <w:r>
              <w:t xml:space="preserve">intraday</w:t>
            </w:r>
          </w:p>
        </w:tc>
        <w:tc>
          <w:tcPr/>
          <w:p>
            <w:pPr>
              <w:pStyle w:val="Compact"/>
              <w:jc w:val="left"/>
            </w:pPr>
            <w:r>
              <w:t xml:space="preserve">-0.53</w:t>
            </w:r>
          </w:p>
        </w:tc>
        <w:tc>
          <w:tcPr/>
          <w:p>
            <w:pPr>
              <w:pStyle w:val="Compact"/>
              <w:jc w:val="left"/>
            </w:pPr>
            <w:r>
              <w:t xml:space="preserve">-3.6</w:t>
            </w:r>
          </w:p>
        </w:tc>
        <w:tc>
          <w:tcPr/>
          <w:p>
            <w:pPr>
              <w:pStyle w:val="Compact"/>
              <w:jc w:val="left"/>
            </w:pPr>
            <w:r>
              <w:t xml:space="preserve">-7.1</w:t>
            </w:r>
          </w:p>
        </w:tc>
        <w:tc>
          <w:tcPr/>
          <w:p>
            <w:pPr>
              <w:pStyle w:val="Compact"/>
              <w:jc w:val="left"/>
            </w:pPr>
            <w:r>
              <w:t xml:space="preserve">-3.5</w:t>
            </w:r>
          </w:p>
        </w:tc>
        <w:tc>
          <w:tcPr/>
          <w:p>
            <w:pPr>
              <w:pStyle w:val="Compact"/>
              <w:jc w:val="left"/>
            </w:pPr>
            <w:r>
              <w:t xml:space="preserve">3,220</w:t>
            </w:r>
          </w:p>
        </w:tc>
        <w:tc>
          <w:tcPr/>
          <w:p>
            <w:pPr>
              <w:pStyle w:val="Compact"/>
              <w:jc w:val="left"/>
            </w:pPr>
            <w:r>
              <w:t xml:space="preserve">335</w:t>
            </w:r>
          </w:p>
        </w:tc>
      </w:tr>
      <w:tr>
        <w:tc>
          <w:tcPr/>
          <w:p>
            <w:pPr>
              <w:pStyle w:val="Compact"/>
              <w:jc w:val="left"/>
            </w:pPr>
            <w:r>
              <w:t xml:space="preserve">ceiling</w:t>
            </w:r>
          </w:p>
        </w:tc>
        <w:tc>
          <w:tcPr/>
          <w:p>
            <w:pPr>
              <w:pStyle w:val="Compact"/>
              <w:jc w:val="left"/>
            </w:pPr>
            <w:r>
              <w:t xml:space="preserve">close-to-close</w:t>
            </w:r>
          </w:p>
        </w:tc>
        <w:tc>
          <w:tcPr/>
          <w:p>
            <w:pPr>
              <w:pStyle w:val="Compact"/>
              <w:jc w:val="left"/>
            </w:pPr>
            <w:r>
              <w:t xml:space="preserve">1.66</w:t>
            </w:r>
          </w:p>
        </w:tc>
        <w:tc>
          <w:tcPr/>
          <w:p>
            <w:pPr>
              <w:pStyle w:val="Compact"/>
              <w:jc w:val="left"/>
            </w:pPr>
            <w:r>
              <w:t xml:space="preserve">5.0</w:t>
            </w:r>
          </w:p>
        </w:tc>
        <w:tc>
          <w:tcPr/>
          <w:p>
            <w:pPr>
              <w:pStyle w:val="Compact"/>
              <w:jc w:val="left"/>
            </w:pPr>
            <w:r>
              <w:t xml:space="preserve">16.1</w:t>
            </w:r>
          </w:p>
        </w:tc>
        <w:tc>
          <w:tcPr/>
          <w:p>
            <w:pPr>
              <w:pStyle w:val="Compact"/>
              <w:jc w:val="left"/>
            </w:pPr>
            <w:r>
              <w:t xml:space="preserve">4.8</w:t>
            </w:r>
          </w:p>
        </w:tc>
        <w:tc>
          <w:tcPr/>
          <w:p>
            <w:pPr>
              <w:pStyle w:val="Compact"/>
              <w:jc w:val="left"/>
            </w:pPr>
            <w:r>
              <w:t xml:space="preserve">3,220</w:t>
            </w:r>
          </w:p>
        </w:tc>
        <w:tc>
          <w:tcPr/>
          <w:p>
            <w:pPr>
              <w:pStyle w:val="Compact"/>
              <w:jc w:val="left"/>
            </w:pPr>
            <w:r>
              <w:t xml:space="preserve">335</w:t>
            </w:r>
          </w:p>
        </w:tc>
      </w:tr>
      <w:tr>
        <w:tc>
          <w:tcPr/>
          <w:p>
            <w:pPr>
              <w:pStyle w:val="Compact"/>
              <w:jc w:val="left"/>
            </w:pPr>
            <w:r>
              <w:t xml:space="preserve">floor</w:t>
            </w:r>
          </w:p>
        </w:tc>
        <w:tc>
          <w:tcPr/>
          <w:p>
            <w:pPr>
              <w:pStyle w:val="Compact"/>
              <w:jc w:val="left"/>
            </w:pPr>
            <w:r>
              <w:t xml:space="preserve">overnight gap</w:t>
            </w:r>
          </w:p>
        </w:tc>
        <w:tc>
          <w:tcPr/>
          <w:p>
            <w:pPr>
              <w:pStyle w:val="Compact"/>
              <w:jc w:val="left"/>
            </w:pPr>
            <w:r>
              <w:t xml:space="preserve">-0.99</w:t>
            </w:r>
          </w:p>
        </w:tc>
        <w:tc>
          <w:tcPr/>
          <w:p>
            <w:pPr>
              <w:pStyle w:val="Compact"/>
              <w:jc w:val="left"/>
            </w:pPr>
            <w:r>
              <w:t xml:space="preserve">-5.0</w:t>
            </w:r>
          </w:p>
        </w:tc>
        <w:tc>
          <w:tcPr/>
          <w:p>
            <w:pPr>
              <w:pStyle w:val="Compact"/>
              <w:jc w:val="left"/>
            </w:pPr>
            <w:r>
              <w:t xml:space="preserve">-10.2</w:t>
            </w:r>
          </w:p>
        </w:tc>
        <w:tc>
          <w:tcPr/>
          <w:p>
            <w:pPr>
              <w:pStyle w:val="Compact"/>
              <w:jc w:val="left"/>
            </w:pPr>
            <w:r>
              <w:t xml:space="preserve">-4.7</w:t>
            </w:r>
          </w:p>
        </w:tc>
        <w:tc>
          <w:tcPr/>
          <w:p>
            <w:pPr>
              <w:pStyle w:val="Compact"/>
              <w:jc w:val="left"/>
            </w:pPr>
            <w:r>
              <w:t xml:space="preserve">2,122</w:t>
            </w:r>
          </w:p>
        </w:tc>
        <w:tc>
          <w:tcPr/>
          <w:p>
            <w:pPr>
              <w:pStyle w:val="Compact"/>
              <w:jc w:val="left"/>
            </w:pPr>
            <w:r>
              <w:t xml:space="preserve">318</w:t>
            </w:r>
          </w:p>
        </w:tc>
      </w:tr>
      <w:tr>
        <w:tc>
          <w:tcPr/>
          <w:p>
            <w:pPr>
              <w:pStyle w:val="Compact"/>
              <w:jc w:val="left"/>
            </w:pPr>
            <w:r>
              <w:t xml:space="preserve">floor</w:t>
            </w:r>
          </w:p>
        </w:tc>
        <w:tc>
          <w:tcPr/>
          <w:p>
            <w:pPr>
              <w:pStyle w:val="Compact"/>
              <w:jc w:val="left"/>
            </w:pPr>
            <w:r>
              <w:t xml:space="preserve">intraday</w:t>
            </w:r>
          </w:p>
        </w:tc>
        <w:tc>
          <w:tcPr/>
          <w:p>
            <w:pPr>
              <w:pStyle w:val="Compact"/>
              <w:jc w:val="left"/>
            </w:pPr>
            <w:r>
              <w:t xml:space="preserve">0.31</w:t>
            </w:r>
          </w:p>
        </w:tc>
        <w:tc>
          <w:tcPr/>
          <w:p>
            <w:pPr>
              <w:pStyle w:val="Compact"/>
              <w:jc w:val="left"/>
            </w:pPr>
            <w:r>
              <w:t xml:space="preserve">1.4</w:t>
            </w:r>
          </w:p>
        </w:tc>
        <w:tc>
          <w:tcPr/>
          <w:p>
            <w:pPr>
              <w:pStyle w:val="Compact"/>
              <w:jc w:val="left"/>
            </w:pPr>
            <w:r>
              <w:t xml:space="preserve">4.0</w:t>
            </w:r>
          </w:p>
        </w:tc>
        <w:tc>
          <w:tcPr/>
          <w:p>
            <w:pPr>
              <w:pStyle w:val="Compact"/>
              <w:jc w:val="left"/>
            </w:pPr>
            <w:r>
              <w:t xml:space="preserve">1.4</w:t>
            </w:r>
          </w:p>
        </w:tc>
        <w:tc>
          <w:tcPr/>
          <w:p>
            <w:pPr>
              <w:pStyle w:val="Compact"/>
              <w:jc w:val="left"/>
            </w:pPr>
            <w:r>
              <w:t xml:space="preserve">2,122</w:t>
            </w:r>
          </w:p>
        </w:tc>
        <w:tc>
          <w:tcPr/>
          <w:p>
            <w:pPr>
              <w:pStyle w:val="Compact"/>
              <w:jc w:val="left"/>
            </w:pPr>
            <w:r>
              <w:t xml:space="preserve">318</w:t>
            </w:r>
          </w:p>
        </w:tc>
      </w:tr>
      <w:tr>
        <w:tc>
          <w:tcPr/>
          <w:p>
            <w:pPr>
              <w:pStyle w:val="Compact"/>
              <w:jc w:val="left"/>
            </w:pPr>
            <w:r>
              <w:t xml:space="preserve">floor</w:t>
            </w:r>
          </w:p>
        </w:tc>
        <w:tc>
          <w:tcPr/>
          <w:p>
            <w:pPr>
              <w:pStyle w:val="Compact"/>
              <w:jc w:val="left"/>
            </w:pPr>
            <w:r>
              <w:t xml:space="preserve">close-to-close</w:t>
            </w:r>
          </w:p>
        </w:tc>
        <w:tc>
          <w:tcPr/>
          <w:p>
            <w:pPr>
              <w:pStyle w:val="Compact"/>
              <w:jc w:val="left"/>
            </w:pPr>
            <w:r>
              <w:t xml:space="preserve">-0.71</w:t>
            </w:r>
          </w:p>
        </w:tc>
        <w:tc>
          <w:tcPr/>
          <w:p>
            <w:pPr>
              <w:pStyle w:val="Compact"/>
              <w:jc w:val="left"/>
            </w:pPr>
            <w:r>
              <w:t xml:space="preserve">-5.4</w:t>
            </w:r>
          </w:p>
        </w:tc>
        <w:tc>
          <w:tcPr/>
          <w:p>
            <w:pPr>
              <w:pStyle w:val="Compact"/>
              <w:jc w:val="left"/>
            </w:pPr>
            <w:r>
              <w:t xml:space="preserve">-7.3</w:t>
            </w:r>
          </w:p>
        </w:tc>
        <w:tc>
          <w:tcPr/>
          <w:p>
            <w:pPr>
              <w:pStyle w:val="Compact"/>
              <w:jc w:val="left"/>
            </w:pPr>
            <w:r>
              <w:t xml:space="preserve">-4.9</w:t>
            </w:r>
          </w:p>
        </w:tc>
        <w:tc>
          <w:tcPr/>
          <w:p>
            <w:pPr>
              <w:pStyle w:val="Compact"/>
              <w:jc w:val="left"/>
            </w:pPr>
            <w:r>
              <w:t xml:space="preserve">2,122</w:t>
            </w:r>
          </w:p>
        </w:tc>
        <w:tc>
          <w:tcPr/>
          <w:p>
            <w:pPr>
              <w:pStyle w:val="Compact"/>
              <w:jc w:val="left"/>
            </w:pPr>
            <w:r>
              <w:t xml:space="preserve">318</w:t>
            </w:r>
          </w:p>
        </w:tc>
      </w:tr>
      <w:tr>
        <w:tc>
          <w:tcPr/>
          <w:p>
            <w:pPr>
              <w:pStyle w:val="Compact"/>
              <w:jc w:val="left"/>
            </w:pPr>
            <w:r>
              <w:t xml:space="preserve">exact ceiling</w:t>
            </w:r>
          </w:p>
        </w:tc>
        <w:tc>
          <w:tcPr/>
          <w:p>
            <w:pPr>
              <w:pStyle w:val="Compact"/>
              <w:jc w:val="left"/>
            </w:pPr>
            <w:r>
              <w:t xml:space="preserve">overnight gap</w:t>
            </w:r>
          </w:p>
        </w:tc>
        <w:tc>
          <w:tcPr/>
          <w:p>
            <w:pPr>
              <w:pStyle w:val="Compact"/>
              <w:jc w:val="left"/>
            </w:pPr>
            <w:r>
              <w:t xml:space="preserve">2.76</w:t>
            </w:r>
          </w:p>
        </w:tc>
        <w:tc>
          <w:tcPr/>
          <w:p>
            <w:pPr>
              <w:pStyle w:val="Compact"/>
              <w:jc w:val="left"/>
            </w:pPr>
            <w:r>
              <w:t xml:space="preserve">16.4</w:t>
            </w:r>
          </w:p>
        </w:tc>
        <w:tc>
          <w:tcPr/>
          <w:p>
            <w:pPr>
              <w:pStyle w:val="Compact"/>
              <w:jc w:val="left"/>
            </w:pPr>
            <w:r>
              <w:t xml:space="preserve">20.1</w:t>
            </w:r>
          </w:p>
        </w:tc>
        <w:tc>
          <w:tcPr/>
          <w:p>
            <w:pPr>
              <w:pStyle w:val="Compact"/>
              <w:jc w:val="left"/>
            </w:pPr>
            <w:r>
              <w:t xml:space="preserve">13.5</w:t>
            </w:r>
          </w:p>
        </w:tc>
        <w:tc>
          <w:tcPr/>
          <w:p>
            <w:pPr>
              <w:pStyle w:val="Compact"/>
              <w:jc w:val="left"/>
            </w:pPr>
            <w:r>
              <w:t xml:space="preserve">1,666</w:t>
            </w:r>
          </w:p>
        </w:tc>
        <w:tc>
          <w:tcPr/>
          <w:p>
            <w:pPr>
              <w:pStyle w:val="Compact"/>
              <w:jc w:val="left"/>
            </w:pPr>
            <w:r>
              <w:t xml:space="preserve">264</w:t>
            </w:r>
          </w:p>
        </w:tc>
      </w:tr>
      <w:tr>
        <w:tc>
          <w:tcPr/>
          <w:p>
            <w:pPr>
              <w:pStyle w:val="Compact"/>
              <w:jc w:val="left"/>
            </w:pPr>
            <w:r>
              <w:t xml:space="preserve">exact ceiling</w:t>
            </w:r>
          </w:p>
        </w:tc>
        <w:tc>
          <w:tcPr/>
          <w:p>
            <w:pPr>
              <w:pStyle w:val="Compact"/>
              <w:jc w:val="left"/>
            </w:pPr>
            <w:r>
              <w:t xml:space="preserve">intraday</w:t>
            </w:r>
          </w:p>
        </w:tc>
        <w:tc>
          <w:tcPr/>
          <w:p>
            <w:pPr>
              <w:pStyle w:val="Compact"/>
              <w:jc w:val="left"/>
            </w:pPr>
            <w:r>
              <w:t xml:space="preserve">-0.73</w:t>
            </w:r>
          </w:p>
        </w:tc>
        <w:tc>
          <w:tcPr/>
          <w:p>
            <w:pPr>
              <w:pStyle w:val="Compact"/>
              <w:jc w:val="left"/>
            </w:pPr>
            <w:r>
              <w:t xml:space="preserve">-5.4</w:t>
            </w:r>
          </w:p>
        </w:tc>
        <w:tc>
          <w:tcPr/>
          <w:p>
            <w:pPr>
              <w:pStyle w:val="Compact"/>
              <w:jc w:val="left"/>
            </w:pPr>
            <w:r>
              <w:t xml:space="preserve">-8.3</w:t>
            </w:r>
          </w:p>
        </w:tc>
        <w:tc>
          <w:tcPr/>
          <w:p>
            <w:pPr>
              <w:pStyle w:val="Compact"/>
              <w:jc w:val="left"/>
            </w:pPr>
            <w:r>
              <w:t xml:space="preserve">-5.3</w:t>
            </w:r>
          </w:p>
        </w:tc>
        <w:tc>
          <w:tcPr/>
          <w:p>
            <w:pPr>
              <w:pStyle w:val="Compact"/>
              <w:jc w:val="left"/>
            </w:pPr>
            <w:r>
              <w:t xml:space="preserve">1,666</w:t>
            </w:r>
          </w:p>
        </w:tc>
        <w:tc>
          <w:tcPr/>
          <w:p>
            <w:pPr>
              <w:pStyle w:val="Compact"/>
              <w:jc w:val="left"/>
            </w:pPr>
            <w:r>
              <w:t xml:space="preserve">264</w:t>
            </w:r>
          </w:p>
        </w:tc>
      </w:tr>
      <w:tr>
        <w:tc>
          <w:tcPr/>
          <w:p>
            <w:pPr>
              <w:pStyle w:val="Compact"/>
              <w:jc w:val="left"/>
            </w:pPr>
            <w:r>
              <w:t xml:space="preserve">exact ceiling</w:t>
            </w:r>
          </w:p>
        </w:tc>
        <w:tc>
          <w:tcPr/>
          <w:p>
            <w:pPr>
              <w:pStyle w:val="Compact"/>
              <w:jc w:val="left"/>
            </w:pPr>
            <w:r>
              <w:t xml:space="preserve">close-to-close</w:t>
            </w:r>
          </w:p>
        </w:tc>
        <w:tc>
          <w:tcPr/>
          <w:p>
            <w:pPr>
              <w:pStyle w:val="Compact"/>
              <w:jc w:val="left"/>
            </w:pPr>
            <w:r>
              <w:t xml:space="preserve">1.97</w:t>
            </w:r>
          </w:p>
        </w:tc>
        <w:tc>
          <w:tcPr/>
          <w:p>
            <w:pPr>
              <w:pStyle w:val="Compact"/>
              <w:jc w:val="left"/>
            </w:pPr>
            <w:r>
              <w:t xml:space="preserve">7.4</w:t>
            </w:r>
          </w:p>
        </w:tc>
        <w:tc>
          <w:tcPr/>
          <w:p>
            <w:pPr>
              <w:pStyle w:val="Compact"/>
              <w:jc w:val="left"/>
            </w:pPr>
            <w:r>
              <w:t xml:space="preserve">15.4</w:t>
            </w:r>
          </w:p>
        </w:tc>
        <w:tc>
          <w:tcPr/>
          <w:p>
            <w:pPr>
              <w:pStyle w:val="Compact"/>
              <w:jc w:val="left"/>
            </w:pPr>
            <w:r>
              <w:t xml:space="preserve">7.0</w:t>
            </w:r>
          </w:p>
        </w:tc>
        <w:tc>
          <w:tcPr/>
          <w:p>
            <w:pPr>
              <w:pStyle w:val="Compact"/>
              <w:jc w:val="left"/>
            </w:pPr>
            <w:r>
              <w:t xml:space="preserve">1,666</w:t>
            </w:r>
          </w:p>
        </w:tc>
        <w:tc>
          <w:tcPr/>
          <w:p>
            <w:pPr>
              <w:pStyle w:val="Compact"/>
              <w:jc w:val="left"/>
            </w:pPr>
            <w:r>
              <w:t xml:space="preserve">264</w:t>
            </w:r>
          </w:p>
        </w:tc>
      </w:tr>
      <w:tr>
        <w:tc>
          <w:tcPr/>
          <w:p>
            <w:pPr>
              <w:pStyle w:val="Compact"/>
              <w:jc w:val="left"/>
            </w:pPr>
            <w:r>
              <w:t xml:space="preserve">exact floor</w:t>
            </w:r>
          </w:p>
        </w:tc>
        <w:tc>
          <w:tcPr/>
          <w:p>
            <w:pPr>
              <w:pStyle w:val="Compact"/>
              <w:jc w:val="left"/>
            </w:pPr>
            <w:r>
              <w:t xml:space="preserve">overnight gap</w:t>
            </w:r>
          </w:p>
        </w:tc>
        <w:tc>
          <w:tcPr/>
          <w:p>
            <w:pPr>
              <w:pStyle w:val="Compact"/>
              <w:jc w:val="left"/>
            </w:pPr>
            <w:r>
              <w:t xml:space="preserve">-1.33</w:t>
            </w:r>
          </w:p>
        </w:tc>
        <w:tc>
          <w:tcPr/>
          <w:p>
            <w:pPr>
              <w:pStyle w:val="Compact"/>
              <w:jc w:val="left"/>
            </w:pPr>
            <w:r>
              <w:t xml:space="preserve">-5.6</w:t>
            </w:r>
          </w:p>
        </w:tc>
        <w:tc>
          <w:tcPr/>
          <w:p>
            <w:pPr>
              <w:pStyle w:val="Compact"/>
              <w:jc w:val="left"/>
            </w:pPr>
            <w:r>
              <w:t xml:space="preserve">-9.4</w:t>
            </w:r>
          </w:p>
        </w:tc>
        <w:tc>
          <w:tcPr/>
          <w:p>
            <w:pPr>
              <w:pStyle w:val="Compact"/>
              <w:jc w:val="left"/>
            </w:pPr>
            <w:r>
              <w:t xml:space="preserve">-5.1</w:t>
            </w:r>
          </w:p>
        </w:tc>
        <w:tc>
          <w:tcPr/>
          <w:p>
            <w:pPr>
              <w:pStyle w:val="Compact"/>
              <w:jc w:val="left"/>
            </w:pPr>
            <w:r>
              <w:t xml:space="preserve">1,037</w:t>
            </w:r>
          </w:p>
        </w:tc>
        <w:tc>
          <w:tcPr/>
          <w:p>
            <w:pPr>
              <w:pStyle w:val="Compact"/>
              <w:jc w:val="left"/>
            </w:pPr>
            <w:r>
              <w:t xml:space="preserve">257</w:t>
            </w:r>
          </w:p>
        </w:tc>
      </w:tr>
      <w:tr>
        <w:tc>
          <w:tcPr/>
          <w:p>
            <w:pPr>
              <w:pStyle w:val="Compact"/>
              <w:jc w:val="left"/>
            </w:pPr>
            <w:r>
              <w:t xml:space="preserve">exact floor</w:t>
            </w:r>
          </w:p>
        </w:tc>
        <w:tc>
          <w:tcPr/>
          <w:p>
            <w:pPr>
              <w:pStyle w:val="Compact"/>
              <w:jc w:val="left"/>
            </w:pPr>
            <w:r>
              <w:t xml:space="preserve">intraday</w:t>
            </w:r>
          </w:p>
        </w:tc>
        <w:tc>
          <w:tcPr/>
          <w:p>
            <w:pPr>
              <w:pStyle w:val="Compact"/>
              <w:jc w:val="left"/>
            </w:pPr>
            <w:r>
              <w:t xml:space="preserve">0.40</w:t>
            </w:r>
          </w:p>
        </w:tc>
        <w:tc>
          <w:tcPr/>
          <w:p>
            <w:pPr>
              <w:pStyle w:val="Compact"/>
              <w:jc w:val="left"/>
            </w:pPr>
            <w:r>
              <w:t xml:space="preserve">1.7</w:t>
            </w:r>
          </w:p>
        </w:tc>
        <w:tc>
          <w:tcPr/>
          <w:p>
            <w:pPr>
              <w:pStyle w:val="Compact"/>
              <w:jc w:val="left"/>
            </w:pPr>
            <w:r>
              <w:t xml:space="preserve">3.6</w:t>
            </w:r>
          </w:p>
        </w:tc>
        <w:tc>
          <w:tcPr/>
          <w:p>
            <w:pPr>
              <w:pStyle w:val="Compact"/>
              <w:jc w:val="left"/>
            </w:pPr>
            <w:r>
              <w:t xml:space="preserve">1.7</w:t>
            </w:r>
          </w:p>
        </w:tc>
        <w:tc>
          <w:tcPr/>
          <w:p>
            <w:pPr>
              <w:pStyle w:val="Compact"/>
              <w:jc w:val="left"/>
            </w:pPr>
            <w:r>
              <w:t xml:space="preserve">1,037</w:t>
            </w:r>
          </w:p>
        </w:tc>
        <w:tc>
          <w:tcPr/>
          <w:p>
            <w:pPr>
              <w:pStyle w:val="Compact"/>
              <w:jc w:val="left"/>
            </w:pPr>
            <w:r>
              <w:t xml:space="preserve">257</w:t>
            </w:r>
          </w:p>
        </w:tc>
      </w:tr>
      <w:tr>
        <w:tc>
          <w:tcPr/>
          <w:p>
            <w:pPr>
              <w:pStyle w:val="Compact"/>
              <w:jc w:val="left"/>
            </w:pPr>
            <w:r>
              <w:t xml:space="preserve">exact floor</w:t>
            </w:r>
          </w:p>
        </w:tc>
        <w:tc>
          <w:tcPr/>
          <w:p>
            <w:pPr>
              <w:pStyle w:val="Compact"/>
              <w:jc w:val="left"/>
            </w:pPr>
            <w:r>
              <w:t xml:space="preserve">close-to-close</w:t>
            </w:r>
          </w:p>
        </w:tc>
        <w:tc>
          <w:tcPr/>
          <w:p>
            <w:pPr>
              <w:pStyle w:val="Compact"/>
              <w:jc w:val="left"/>
            </w:pPr>
            <w:r>
              <w:t xml:space="preserve">-0.96</w:t>
            </w:r>
          </w:p>
        </w:tc>
        <w:tc>
          <w:tcPr/>
          <w:p>
            <w:pPr>
              <w:pStyle w:val="Compact"/>
              <w:jc w:val="left"/>
            </w:pPr>
            <w:r>
              <w:t xml:space="preserve">-6.5</w:t>
            </w:r>
          </w:p>
        </w:tc>
        <w:tc>
          <w:tcPr/>
          <w:p>
            <w:pPr>
              <w:pStyle w:val="Compact"/>
              <w:jc w:val="left"/>
            </w:pPr>
            <w:r>
              <w:t xml:space="preserve">-7.2</w:t>
            </w:r>
          </w:p>
        </w:tc>
        <w:tc>
          <w:tcPr/>
          <w:p>
            <w:pPr>
              <w:pStyle w:val="Compact"/>
              <w:jc w:val="left"/>
            </w:pPr>
            <w:r>
              <w:t xml:space="preserve">-5.8</w:t>
            </w:r>
          </w:p>
        </w:tc>
        <w:tc>
          <w:tcPr/>
          <w:p>
            <w:pPr>
              <w:pStyle w:val="Compact"/>
              <w:jc w:val="left"/>
            </w:pPr>
            <w:r>
              <w:t xml:space="preserve">1,037</w:t>
            </w:r>
          </w:p>
        </w:tc>
        <w:tc>
          <w:tcPr/>
          <w:p>
            <w:pPr>
              <w:pStyle w:val="Compact"/>
              <w:jc w:val="left"/>
            </w:pPr>
            <w:r>
              <w:t xml:space="preserve">257</w:t>
            </w:r>
          </w:p>
        </w:tc>
      </w:tr>
    </w:tbl>
    <w:p>
      <w:pPr>
        <w:pStyle w:val="CaptionedFigure"/>
      </w:pPr>
      <w:r>
        <w:drawing>
          <wp:inline>
            <wp:extent cx="5334000" cy="2590800"/>
            <wp:effectExtent b="0" l="0" r="0" t="0"/>
            <wp:docPr descr="Figure 2. Next-day abnormal return after a limit close, decomposed into the overnight gap and the intraday return (post hoc; two-way-clustered 95% intervals)." title="" id="31" name="Picture"/>
            <a:graphic>
              <a:graphicData uri="http://schemas.openxmlformats.org/drawingml/2006/picture">
                <pic:pic>
                  <pic:nvPicPr>
                    <pic:cNvPr descr="../output/figures/H3_decomposition.png" id="32" name="Picture"/>
                    <pic:cNvPicPr>
                      <a:picLocks noChangeArrowheads="1" noChangeAspect="1"/>
                    </pic:cNvPicPr>
                  </pic:nvPicPr>
                  <pic:blipFill>
                    <a:blip r:embed="rId30"/>
                    <a:stretch>
                      <a:fillRect/>
                    </a:stretch>
                  </pic:blipFill>
                  <pic:spPr bwMode="auto">
                    <a:xfrm>
                      <a:off x="0" y="0"/>
                      <a:ext cx="5334000" cy="2590800"/>
                    </a:xfrm>
                    <a:prstGeom prst="rect">
                      <a:avLst/>
                    </a:prstGeom>
                    <a:noFill/>
                    <a:ln w="9525">
                      <a:noFill/>
                      <a:headEnd/>
                      <a:tailEnd/>
                    </a:ln>
                  </pic:spPr>
                </pic:pic>
              </a:graphicData>
            </a:graphic>
          </wp:inline>
        </w:drawing>
      </w:r>
    </w:p>
    <w:p>
      <w:pPr>
        <w:pStyle w:val="ImageCaption"/>
      </w:pPr>
      <w:r>
        <w:t xml:space="preserve">Figure 2. Next-day abnormal return after a limit close, decomposed into the overnight gap and the intraday return (post hoc; two-way-clustered 95% intervals).</w:t>
      </w:r>
    </w:p>
    <w:p>
      <w:pPr>
        <w:pStyle w:val="BodyText"/>
      </w:pPr>
      <w:r>
        <w:t xml:space="preserve">Table 4 and Figure 2 show where the next-day effect arises. After a ceiling close the abnormal return from the previous close to the next open is 2.23% (two-way-clustered t = 9.8); from the next open to the next close it is -0.53% (t = -3.5). The total is positive only because the gap exceeds the intraday giveback. After a floor close the gap is -0.99% (t = -4.7) and the intraday return is a partial and statistically weak reversal (0.31%, t = 1.4). The exact tick rule, which picks about half as many events (1,666 ceilings), strengthens the estimates: the ceiling gap is 2.76% (t = 13.5) and the intraday return -0.73% (t = -5.3). The rule-based definition therefore includes some closes that were near but not at the limit, and the log-specified estimate understates the exact-limit effect.</w:t>
      </w:r>
    </w:p>
    <w:bookmarkEnd w:id="33"/>
    <w:bookmarkStart w:id="37" w:name="a-break-at-the-limit-post-hoc"/>
    <w:p>
      <w:pPr>
        <w:pStyle w:val="Heading2"/>
      </w:pPr>
      <w:r>
        <w:t xml:space="preserve">4.4 A break at the limit (post hoc)</w:t>
      </w:r>
    </w:p>
    <w:p>
      <w:pPr>
        <w:pStyle w:val="CaptionedFigure"/>
      </w:pPr>
      <w:r>
        <w:drawing>
          <wp:inline>
            <wp:extent cx="5334000" cy="5486400"/>
            <wp:effectExtent b="0" l="0" r="0" t="0"/>
            <wp:docPr descr="Figure 3. Next-day abnormal return (overnight gap, intraday, close-to-close) by the size of the day-t move. Triangles: closed at the 7% limit; squares: moved more than 6.5% without closing at the limit (post hoc)." title="" id="35" name="Picture"/>
            <a:graphic>
              <a:graphicData uri="http://schemas.openxmlformats.org/drawingml/2006/picture">
                <pic:pic>
                  <pic:nvPicPr>
                    <pic:cNvPr descr="../output/figures/H1_rd_bins.png" id="36" name="Picture"/>
                    <pic:cNvPicPr>
                      <a:picLocks noChangeArrowheads="1" noChangeAspect="1"/>
                    </pic:cNvPicPr>
                  </pic:nvPicPr>
                  <pic:blipFill>
                    <a:blip r:embed="rId34"/>
                    <a:stretch>
                      <a:fillRect/>
                    </a:stretch>
                  </pic:blipFill>
                  <pic:spPr bwMode="auto">
                    <a:xfrm>
                      <a:off x="0" y="0"/>
                      <a:ext cx="5334000" cy="5486400"/>
                    </a:xfrm>
                    <a:prstGeom prst="rect">
                      <a:avLst/>
                    </a:prstGeom>
                    <a:noFill/>
                    <a:ln w="9525">
                      <a:noFill/>
                      <a:headEnd/>
                      <a:tailEnd/>
                    </a:ln>
                  </pic:spPr>
                </pic:pic>
              </a:graphicData>
            </a:graphic>
          </wp:inline>
        </w:drawing>
      </w:r>
    </w:p>
    <w:p>
      <w:pPr>
        <w:pStyle w:val="ImageCaption"/>
      </w:pPr>
      <w:r>
        <w:t xml:space="preserve">Figure 3. Next-day abnormal return (overnight gap, intraday, close-to-close) by the size of the day-t move. Triangles: closed at the 7% limit; squares: moved more than 6.5% without closing at the limit (post hoc).</w:t>
      </w:r>
    </w:p>
    <w:p>
      <w:pPr>
        <w:pStyle w:val="BodyText"/>
      </w:pPr>
      <w:r>
        <w:t xml:space="preserve">Figure 3 plots the three next-day measures against the size of the day-</w:t>
      </w:r>
      <m:oMath>
        <m:r>
          <m:t>t</m:t>
        </m:r>
      </m:oMath>
      <w:r>
        <w:t xml:space="preserve"> </w:t>
      </w:r>
      <w:r>
        <w:t xml:space="preserve">move. Inside the band the close-to-close relation is broadly negative (the overnight-gap bins are noisier): the larger the rise (fall), the lower (higher) the next-day abnormal return, which is the pattern of a short-term reversal. At the limit the relation breaks. The overnight gap jumps up at the ceiling and down at the floor, and the close-to-close return changes sign relative to the adjacent bins. This is one shape expected if the limit prevents the full adjustment on day</w:t>
      </w:r>
      <w:r>
        <w:t xml:space="preserve"> </w:t>
      </w:r>
      <m:oMath>
        <m:r>
          <m:t>t</m:t>
        </m:r>
      </m:oMath>
      <w:r>
        <w:t xml:space="preserve"> </w:t>
      </w:r>
      <w:r>
        <w:t xml:space="preserve">and the unfilled part is realized at the next open; the alternatives are discussed at the end of this section.</w:t>
      </w:r>
    </w:p>
    <w:p>
      <w:pPr>
        <w:pStyle w:val="BodyText"/>
      </w:pPr>
      <w:r>
        <w:t xml:space="preserve">Table 5. Difference in next-day abnormal returns (market-adjusted, lagged weights) between stocks closing at the limit (rule-based definition) and stocks that moved 3–5% or 5–6.5% in the same direction without closing at the limit.</w:t>
      </w:r>
    </w:p>
    <w:tbl>
      <w:tblPr>
        <w:tblStyle w:val="Table"/>
        <w:tblW w:type="pct" w:w="5000"/>
        <w:tblLook w:firstRow="1" w:lastRow="0" w:firstColumn="0" w:lastColumn="0" w:noHBand="0" w:noVBand="0" w:val="0020"/>
        <w:jc w:val="start"/>
      </w:tblPr>
      <w:tblGrid>
        <w:gridCol w:w="1569"/>
        <w:gridCol w:w="1867"/>
        <w:gridCol w:w="1195"/>
        <w:gridCol w:w="1419"/>
        <w:gridCol w:w="747"/>
        <w:gridCol w:w="1120"/>
      </w:tblGrid>
      <w:tr>
        <w:trPr>
          <w:tblHeader w:val="true"/>
        </w:trPr>
        <w:tc>
          <w:tcPr/>
          <w:p>
            <w:pPr>
              <w:pStyle w:val="Compact"/>
              <w:jc w:val="left"/>
            </w:pPr>
            <w:r>
              <w:t xml:space="preserve">Contrast</w:t>
            </w:r>
          </w:p>
        </w:tc>
        <w:tc>
          <w:tcPr/>
          <w:p>
            <w:pPr>
              <w:pStyle w:val="Compact"/>
              <w:jc w:val="left"/>
            </w:pPr>
            <w:r>
              <w:t xml:space="preserve">Outcome</w:t>
            </w:r>
          </w:p>
        </w:tc>
        <w:tc>
          <w:tcPr/>
          <w:p>
            <w:pPr>
              <w:pStyle w:val="Compact"/>
              <w:jc w:val="left"/>
            </w:pPr>
            <w:r>
              <w:t xml:space="preserve">Difference (pp)</w:t>
            </w:r>
          </w:p>
        </w:tc>
        <w:tc>
          <w:tcPr/>
          <w:p>
            <w:pPr>
              <w:pStyle w:val="Compact"/>
              <w:jc w:val="left"/>
            </w:pPr>
            <w:r>
              <w:t xml:space="preserve">t (date-clustered)</w:t>
            </w:r>
          </w:p>
        </w:tc>
        <w:tc>
          <w:tcPr/>
          <w:p>
            <w:pPr>
              <w:pStyle w:val="Compact"/>
              <w:jc w:val="left"/>
            </w:pPr>
            <w:r>
              <w:t xml:space="preserve">n (limit)</w:t>
            </w:r>
          </w:p>
        </w:tc>
        <w:tc>
          <w:tcPr/>
          <w:p>
            <w:pPr>
              <w:pStyle w:val="Compact"/>
              <w:jc w:val="left"/>
            </w:pPr>
            <w:r>
              <w:t xml:space="preserve">n (comparison)</w:t>
            </w:r>
          </w:p>
        </w:tc>
      </w:tr>
      <w:tr>
        <w:tc>
          <w:tcPr/>
          <w:p>
            <w:pPr>
              <w:pStyle w:val="Compact"/>
              <w:jc w:val="left"/>
            </w:pPr>
            <w:r>
              <w:t xml:space="preserve">ceiling vs 5-6.5% up</w:t>
            </w:r>
          </w:p>
        </w:tc>
        <w:tc>
          <w:tcPr/>
          <w:p>
            <w:pPr>
              <w:pStyle w:val="Compact"/>
              <w:jc w:val="left"/>
            </w:pPr>
            <w:r>
              <w:t xml:space="preserve">Overnight gap</w:t>
            </w:r>
          </w:p>
        </w:tc>
        <w:tc>
          <w:tcPr/>
          <w:p>
            <w:pPr>
              <w:pStyle w:val="Compact"/>
              <w:jc w:val="left"/>
            </w:pPr>
            <w:r>
              <w:t xml:space="preserve">2.66</w:t>
            </w:r>
          </w:p>
        </w:tc>
        <w:tc>
          <w:tcPr/>
          <w:p>
            <w:pPr>
              <w:pStyle w:val="Compact"/>
              <w:jc w:val="left"/>
            </w:pPr>
            <w:r>
              <w:t xml:space="preserve">14.0</w:t>
            </w:r>
          </w:p>
        </w:tc>
        <w:tc>
          <w:tcPr/>
          <w:p>
            <w:pPr>
              <w:pStyle w:val="Compact"/>
              <w:jc w:val="left"/>
            </w:pPr>
            <w:r>
              <w:t xml:space="preserve">3,199</w:t>
            </w:r>
          </w:p>
        </w:tc>
        <w:tc>
          <w:tcPr/>
          <w:p>
            <w:pPr>
              <w:pStyle w:val="Compact"/>
              <w:jc w:val="left"/>
            </w:pPr>
            <w:r>
              <w:t xml:space="preserve">1,751</w:t>
            </w:r>
          </w:p>
        </w:tc>
      </w:tr>
      <w:tr>
        <w:tc>
          <w:tcPr/>
          <w:p>
            <w:pPr>
              <w:pStyle w:val="Compact"/>
              <w:jc w:val="left"/>
            </w:pPr>
            <w:r>
              <w:t xml:space="preserve">ceiling vs 5-6.5% up</w:t>
            </w:r>
          </w:p>
        </w:tc>
        <w:tc>
          <w:tcPr/>
          <w:p>
            <w:pPr>
              <w:pStyle w:val="Compact"/>
              <w:jc w:val="left"/>
            </w:pPr>
            <w:r>
              <w:t xml:space="preserve">Intraday</w:t>
            </w:r>
          </w:p>
        </w:tc>
        <w:tc>
          <w:tcPr/>
          <w:p>
            <w:pPr>
              <w:pStyle w:val="Compact"/>
              <w:jc w:val="left"/>
            </w:pPr>
            <w:r>
              <w:t xml:space="preserve">-0.31</w:t>
            </w:r>
          </w:p>
        </w:tc>
        <w:tc>
          <w:tcPr/>
          <w:p>
            <w:pPr>
              <w:pStyle w:val="Compact"/>
              <w:jc w:val="left"/>
            </w:pPr>
            <w:r>
              <w:t xml:space="preserve">-2.1</w:t>
            </w:r>
          </w:p>
        </w:tc>
        <w:tc>
          <w:tcPr/>
          <w:p>
            <w:pPr>
              <w:pStyle w:val="Compact"/>
              <w:jc w:val="left"/>
            </w:pPr>
            <w:r>
              <w:t xml:space="preserve">3,199</w:t>
            </w:r>
          </w:p>
        </w:tc>
        <w:tc>
          <w:tcPr/>
          <w:p>
            <w:pPr>
              <w:pStyle w:val="Compact"/>
              <w:jc w:val="left"/>
            </w:pPr>
            <w:r>
              <w:t xml:space="preserve">1,751</w:t>
            </w:r>
          </w:p>
        </w:tc>
      </w:tr>
      <w:tr>
        <w:tc>
          <w:tcPr/>
          <w:p>
            <w:pPr>
              <w:pStyle w:val="Compact"/>
              <w:jc w:val="left"/>
            </w:pPr>
            <w:r>
              <w:t xml:space="preserve">ceiling vs 5-6.5% up</w:t>
            </w:r>
          </w:p>
        </w:tc>
        <w:tc>
          <w:tcPr/>
          <w:p>
            <w:pPr>
              <w:pStyle w:val="Compact"/>
              <w:jc w:val="left"/>
            </w:pPr>
            <w:r>
              <w:t xml:space="preserve">Close-to-close</w:t>
            </w:r>
          </w:p>
        </w:tc>
        <w:tc>
          <w:tcPr/>
          <w:p>
            <w:pPr>
              <w:pStyle w:val="Compact"/>
              <w:jc w:val="left"/>
            </w:pPr>
            <w:r>
              <w:t xml:space="preserve">2.32</w:t>
            </w:r>
          </w:p>
        </w:tc>
        <w:tc>
          <w:tcPr/>
          <w:p>
            <w:pPr>
              <w:pStyle w:val="Compact"/>
              <w:jc w:val="left"/>
            </w:pPr>
            <w:r>
              <w:t xml:space="preserve">7.6</w:t>
            </w:r>
          </w:p>
        </w:tc>
        <w:tc>
          <w:tcPr/>
          <w:p>
            <w:pPr>
              <w:pStyle w:val="Compact"/>
              <w:jc w:val="left"/>
            </w:pPr>
            <w:r>
              <w:t xml:space="preserve">3,199</w:t>
            </w:r>
          </w:p>
        </w:tc>
        <w:tc>
          <w:tcPr/>
          <w:p>
            <w:pPr>
              <w:pStyle w:val="Compact"/>
              <w:jc w:val="left"/>
            </w:pPr>
            <w:r>
              <w:t xml:space="preserve">1,751</w:t>
            </w:r>
          </w:p>
        </w:tc>
      </w:tr>
      <w:tr>
        <w:tc>
          <w:tcPr/>
          <w:p>
            <w:pPr>
              <w:pStyle w:val="Compact"/>
              <w:jc w:val="left"/>
            </w:pPr>
            <w:r>
              <w:t xml:space="preserve">ceiling vs 5-6.5% up</w:t>
            </w:r>
          </w:p>
        </w:tc>
        <w:tc>
          <w:tcPr/>
          <w:p>
            <w:pPr>
              <w:pStyle w:val="Compact"/>
              <w:jc w:val="left"/>
            </w:pPr>
            <w:r>
              <w:t xml:space="preserve">Next open to day-5 close</w:t>
            </w:r>
          </w:p>
        </w:tc>
        <w:tc>
          <w:tcPr/>
          <w:p>
            <w:pPr>
              <w:pStyle w:val="Compact"/>
              <w:jc w:val="left"/>
            </w:pPr>
            <w:r>
              <w:t xml:space="preserve">-0.02</w:t>
            </w:r>
          </w:p>
        </w:tc>
        <w:tc>
          <w:tcPr/>
          <w:p>
            <w:pPr>
              <w:pStyle w:val="Compact"/>
              <w:jc w:val="left"/>
            </w:pPr>
            <w:r>
              <w:t xml:space="preserve">-0.1</w:t>
            </w:r>
          </w:p>
        </w:tc>
        <w:tc>
          <w:tcPr/>
          <w:p>
            <w:pPr>
              <w:pStyle w:val="Compact"/>
              <w:jc w:val="left"/>
            </w:pPr>
            <w:r>
              <w:t xml:space="preserve">3,193</w:t>
            </w:r>
          </w:p>
        </w:tc>
        <w:tc>
          <w:tcPr/>
          <w:p>
            <w:pPr>
              <w:pStyle w:val="Compact"/>
              <w:jc w:val="left"/>
            </w:pPr>
            <w:r>
              <w:t xml:space="preserve">1,742</w:t>
            </w:r>
          </w:p>
        </w:tc>
      </w:tr>
      <w:tr>
        <w:tc>
          <w:tcPr/>
          <w:p>
            <w:pPr>
              <w:pStyle w:val="Compact"/>
              <w:jc w:val="left"/>
            </w:pPr>
            <w:r>
              <w:t xml:space="preserve">ceiling vs 3-5% up</w:t>
            </w:r>
          </w:p>
        </w:tc>
        <w:tc>
          <w:tcPr/>
          <w:p>
            <w:pPr>
              <w:pStyle w:val="Compact"/>
              <w:jc w:val="left"/>
            </w:pPr>
            <w:r>
              <w:t xml:space="preserve">Overnight gap</w:t>
            </w:r>
          </w:p>
        </w:tc>
        <w:tc>
          <w:tcPr/>
          <w:p>
            <w:pPr>
              <w:pStyle w:val="Compact"/>
              <w:jc w:val="left"/>
            </w:pPr>
            <w:r>
              <w:t xml:space="preserve">2.40</w:t>
            </w:r>
          </w:p>
        </w:tc>
        <w:tc>
          <w:tcPr/>
          <w:p>
            <w:pPr>
              <w:pStyle w:val="Compact"/>
              <w:jc w:val="left"/>
            </w:pPr>
            <w:r>
              <w:t xml:space="preserve">11.6</w:t>
            </w:r>
          </w:p>
        </w:tc>
        <w:tc>
          <w:tcPr/>
          <w:p>
            <w:pPr>
              <w:pStyle w:val="Compact"/>
              <w:jc w:val="left"/>
            </w:pPr>
            <w:r>
              <w:t xml:space="preserve">3,199</w:t>
            </w:r>
          </w:p>
        </w:tc>
        <w:tc>
          <w:tcPr/>
          <w:p>
            <w:pPr>
              <w:pStyle w:val="Compact"/>
              <w:jc w:val="left"/>
            </w:pPr>
            <w:r>
              <w:t xml:space="preserve">5,932</w:t>
            </w:r>
          </w:p>
        </w:tc>
      </w:tr>
      <w:tr>
        <w:tc>
          <w:tcPr/>
          <w:p>
            <w:pPr>
              <w:pStyle w:val="Compact"/>
              <w:jc w:val="left"/>
            </w:pPr>
            <w:r>
              <w:t xml:space="preserve">ceiling vs 3-5% up</w:t>
            </w:r>
          </w:p>
        </w:tc>
        <w:tc>
          <w:tcPr/>
          <w:p>
            <w:pPr>
              <w:pStyle w:val="Compact"/>
              <w:jc w:val="left"/>
            </w:pPr>
            <w:r>
              <w:t xml:space="preserve">Intraday</w:t>
            </w:r>
          </w:p>
        </w:tc>
        <w:tc>
          <w:tcPr/>
          <w:p>
            <w:pPr>
              <w:pStyle w:val="Compact"/>
              <w:jc w:val="left"/>
            </w:pPr>
            <w:r>
              <w:t xml:space="preserve">-0.32</w:t>
            </w:r>
          </w:p>
        </w:tc>
        <w:tc>
          <w:tcPr/>
          <w:p>
            <w:pPr>
              <w:pStyle w:val="Compact"/>
              <w:jc w:val="left"/>
            </w:pPr>
            <w:r>
              <w:t xml:space="preserve">-2.2</w:t>
            </w:r>
          </w:p>
        </w:tc>
        <w:tc>
          <w:tcPr/>
          <w:p>
            <w:pPr>
              <w:pStyle w:val="Compact"/>
              <w:jc w:val="left"/>
            </w:pPr>
            <w:r>
              <w:t xml:space="preserve">3,199</w:t>
            </w:r>
          </w:p>
        </w:tc>
        <w:tc>
          <w:tcPr/>
          <w:p>
            <w:pPr>
              <w:pStyle w:val="Compact"/>
              <w:jc w:val="left"/>
            </w:pPr>
            <w:r>
              <w:t xml:space="preserve">5,932</w:t>
            </w:r>
          </w:p>
        </w:tc>
      </w:tr>
      <w:tr>
        <w:tc>
          <w:tcPr/>
          <w:p>
            <w:pPr>
              <w:pStyle w:val="Compact"/>
              <w:jc w:val="left"/>
            </w:pPr>
            <w:r>
              <w:t xml:space="preserve">ceiling vs 3-5% up</w:t>
            </w:r>
          </w:p>
        </w:tc>
        <w:tc>
          <w:tcPr/>
          <w:p>
            <w:pPr>
              <w:pStyle w:val="Compact"/>
              <w:jc w:val="left"/>
            </w:pPr>
            <w:r>
              <w:t xml:space="preserve">Close-to-close</w:t>
            </w:r>
          </w:p>
        </w:tc>
        <w:tc>
          <w:tcPr/>
          <w:p>
            <w:pPr>
              <w:pStyle w:val="Compact"/>
              <w:jc w:val="left"/>
            </w:pPr>
            <w:r>
              <w:t xml:space="preserve">2.05</w:t>
            </w:r>
          </w:p>
        </w:tc>
        <w:tc>
          <w:tcPr/>
          <w:p>
            <w:pPr>
              <w:pStyle w:val="Compact"/>
              <w:jc w:val="left"/>
            </w:pPr>
            <w:r>
              <w:t xml:space="preserve">6.1</w:t>
            </w:r>
          </w:p>
        </w:tc>
        <w:tc>
          <w:tcPr/>
          <w:p>
            <w:pPr>
              <w:pStyle w:val="Compact"/>
              <w:jc w:val="left"/>
            </w:pPr>
            <w:r>
              <w:t xml:space="preserve">3,199</w:t>
            </w:r>
          </w:p>
        </w:tc>
        <w:tc>
          <w:tcPr/>
          <w:p>
            <w:pPr>
              <w:pStyle w:val="Compact"/>
              <w:jc w:val="left"/>
            </w:pPr>
            <w:r>
              <w:t xml:space="preserve">5,932</w:t>
            </w:r>
          </w:p>
        </w:tc>
      </w:tr>
      <w:tr>
        <w:tc>
          <w:tcPr/>
          <w:p>
            <w:pPr>
              <w:pStyle w:val="Compact"/>
              <w:jc w:val="left"/>
            </w:pPr>
            <w:r>
              <w:t xml:space="preserve">ceiling vs 3-5% up</w:t>
            </w:r>
          </w:p>
        </w:tc>
        <w:tc>
          <w:tcPr/>
          <w:p>
            <w:pPr>
              <w:pStyle w:val="Compact"/>
              <w:jc w:val="left"/>
            </w:pPr>
            <w:r>
              <w:t xml:space="preserve">Next open to day-5 close</w:t>
            </w:r>
          </w:p>
        </w:tc>
        <w:tc>
          <w:tcPr/>
          <w:p>
            <w:pPr>
              <w:pStyle w:val="Compact"/>
              <w:jc w:val="left"/>
            </w:pPr>
            <w:r>
              <w:t xml:space="preserve">-0.45</w:t>
            </w:r>
          </w:p>
        </w:tc>
        <w:tc>
          <w:tcPr/>
          <w:p>
            <w:pPr>
              <w:pStyle w:val="Compact"/>
              <w:jc w:val="left"/>
            </w:pPr>
            <w:r>
              <w:t xml:space="preserve">-2.2</w:t>
            </w:r>
          </w:p>
        </w:tc>
        <w:tc>
          <w:tcPr/>
          <w:p>
            <w:pPr>
              <w:pStyle w:val="Compact"/>
              <w:jc w:val="left"/>
            </w:pPr>
            <w:r>
              <w:t xml:space="preserve">3,193</w:t>
            </w:r>
          </w:p>
        </w:tc>
        <w:tc>
          <w:tcPr/>
          <w:p>
            <w:pPr>
              <w:pStyle w:val="Compact"/>
              <w:jc w:val="left"/>
            </w:pPr>
            <w:r>
              <w:t xml:space="preserve">5,923</w:t>
            </w:r>
          </w:p>
        </w:tc>
      </w:tr>
      <w:tr>
        <w:tc>
          <w:tcPr/>
          <w:p>
            <w:pPr>
              <w:pStyle w:val="Compact"/>
              <w:jc w:val="left"/>
            </w:pPr>
            <w:r>
              <w:t xml:space="preserve">floor vs 5-6.5% down</w:t>
            </w:r>
          </w:p>
        </w:tc>
        <w:tc>
          <w:tcPr/>
          <w:p>
            <w:pPr>
              <w:pStyle w:val="Compact"/>
              <w:jc w:val="left"/>
            </w:pPr>
            <w:r>
              <w:t xml:space="preserve">Overnight gap</w:t>
            </w:r>
          </w:p>
        </w:tc>
        <w:tc>
          <w:tcPr/>
          <w:p>
            <w:pPr>
              <w:pStyle w:val="Compact"/>
              <w:jc w:val="left"/>
            </w:pPr>
            <w:r>
              <w:t xml:space="preserve">-1.59</w:t>
            </w:r>
          </w:p>
        </w:tc>
        <w:tc>
          <w:tcPr/>
          <w:p>
            <w:pPr>
              <w:pStyle w:val="Compact"/>
              <w:jc w:val="left"/>
            </w:pPr>
            <w:r>
              <w:t xml:space="preserve">-9.7</w:t>
            </w:r>
          </w:p>
        </w:tc>
        <w:tc>
          <w:tcPr/>
          <w:p>
            <w:pPr>
              <w:pStyle w:val="Compact"/>
              <w:jc w:val="left"/>
            </w:pPr>
            <w:r>
              <w:t xml:space="preserve">2,111</w:t>
            </w:r>
          </w:p>
        </w:tc>
        <w:tc>
          <w:tcPr/>
          <w:p>
            <w:pPr>
              <w:pStyle w:val="Compact"/>
              <w:jc w:val="left"/>
            </w:pPr>
            <w:r>
              <w:t xml:space="preserve">1,522</w:t>
            </w:r>
          </w:p>
        </w:tc>
      </w:tr>
      <w:tr>
        <w:tc>
          <w:tcPr/>
          <w:p>
            <w:pPr>
              <w:pStyle w:val="Compact"/>
              <w:jc w:val="left"/>
            </w:pPr>
            <w:r>
              <w:t xml:space="preserve">floor vs 5-6.5% down</w:t>
            </w:r>
          </w:p>
        </w:tc>
        <w:tc>
          <w:tcPr/>
          <w:p>
            <w:pPr>
              <w:pStyle w:val="Compact"/>
              <w:jc w:val="left"/>
            </w:pPr>
            <w:r>
              <w:t xml:space="preserve">Intraday</w:t>
            </w:r>
          </w:p>
        </w:tc>
        <w:tc>
          <w:tcPr/>
          <w:p>
            <w:pPr>
              <w:pStyle w:val="Compact"/>
              <w:jc w:val="left"/>
            </w:pPr>
            <w:r>
              <w:t xml:space="preserve">-0.07</w:t>
            </w:r>
          </w:p>
        </w:tc>
        <w:tc>
          <w:tcPr/>
          <w:p>
            <w:pPr>
              <w:pStyle w:val="Compact"/>
              <w:jc w:val="left"/>
            </w:pPr>
            <w:r>
              <w:t xml:space="preserve">-0.3</w:t>
            </w:r>
          </w:p>
        </w:tc>
        <w:tc>
          <w:tcPr/>
          <w:p>
            <w:pPr>
              <w:pStyle w:val="Compact"/>
              <w:jc w:val="left"/>
            </w:pPr>
            <w:r>
              <w:t xml:space="preserve">2,111</w:t>
            </w:r>
          </w:p>
        </w:tc>
        <w:tc>
          <w:tcPr/>
          <w:p>
            <w:pPr>
              <w:pStyle w:val="Compact"/>
              <w:jc w:val="left"/>
            </w:pPr>
            <w:r>
              <w:t xml:space="preserve">1,522</w:t>
            </w:r>
          </w:p>
        </w:tc>
      </w:tr>
      <w:tr>
        <w:tc>
          <w:tcPr/>
          <w:p>
            <w:pPr>
              <w:pStyle w:val="Compact"/>
              <w:jc w:val="left"/>
            </w:pPr>
            <w:r>
              <w:t xml:space="preserve">floor vs 5-6.5% down</w:t>
            </w:r>
          </w:p>
        </w:tc>
        <w:tc>
          <w:tcPr/>
          <w:p>
            <w:pPr>
              <w:pStyle w:val="Compact"/>
              <w:jc w:val="left"/>
            </w:pPr>
            <w:r>
              <w:t xml:space="preserve">Close-to-close</w:t>
            </w:r>
          </w:p>
        </w:tc>
        <w:tc>
          <w:tcPr/>
          <w:p>
            <w:pPr>
              <w:pStyle w:val="Compact"/>
              <w:jc w:val="left"/>
            </w:pPr>
            <w:r>
              <w:t xml:space="preserve">-1.66</w:t>
            </w:r>
          </w:p>
        </w:tc>
        <w:tc>
          <w:tcPr/>
          <w:p>
            <w:pPr>
              <w:pStyle w:val="Compact"/>
              <w:jc w:val="left"/>
            </w:pPr>
            <w:r>
              <w:t xml:space="preserve">-11.6</w:t>
            </w:r>
          </w:p>
        </w:tc>
        <w:tc>
          <w:tcPr/>
          <w:p>
            <w:pPr>
              <w:pStyle w:val="Compact"/>
              <w:jc w:val="left"/>
            </w:pPr>
            <w:r>
              <w:t xml:space="preserve">2,111</w:t>
            </w:r>
          </w:p>
        </w:tc>
        <w:tc>
          <w:tcPr/>
          <w:p>
            <w:pPr>
              <w:pStyle w:val="Compact"/>
              <w:jc w:val="left"/>
            </w:pPr>
            <w:r>
              <w:t xml:space="preserve">1,522</w:t>
            </w:r>
          </w:p>
        </w:tc>
      </w:tr>
      <w:tr>
        <w:tc>
          <w:tcPr/>
          <w:p>
            <w:pPr>
              <w:pStyle w:val="Compact"/>
              <w:jc w:val="left"/>
            </w:pPr>
            <w:r>
              <w:t xml:space="preserve">floor vs 5-6.5% down</w:t>
            </w:r>
          </w:p>
        </w:tc>
        <w:tc>
          <w:tcPr/>
          <w:p>
            <w:pPr>
              <w:pStyle w:val="Compact"/>
              <w:jc w:val="left"/>
            </w:pPr>
            <w:r>
              <w:t xml:space="preserve">Next open to day-5 close</w:t>
            </w:r>
          </w:p>
        </w:tc>
        <w:tc>
          <w:tcPr/>
          <w:p>
            <w:pPr>
              <w:pStyle w:val="Compact"/>
              <w:jc w:val="left"/>
            </w:pPr>
            <w:r>
              <w:t xml:space="preserve">-1.01</w:t>
            </w:r>
          </w:p>
        </w:tc>
        <w:tc>
          <w:tcPr/>
          <w:p>
            <w:pPr>
              <w:pStyle w:val="Compact"/>
              <w:jc w:val="left"/>
            </w:pPr>
            <w:r>
              <w:t xml:space="preserve">-2.6</w:t>
            </w:r>
          </w:p>
        </w:tc>
        <w:tc>
          <w:tcPr/>
          <w:p>
            <w:pPr>
              <w:pStyle w:val="Compact"/>
              <w:jc w:val="left"/>
            </w:pPr>
            <w:r>
              <w:t xml:space="preserve">2,108</w:t>
            </w:r>
          </w:p>
        </w:tc>
        <w:tc>
          <w:tcPr/>
          <w:p>
            <w:pPr>
              <w:pStyle w:val="Compact"/>
              <w:jc w:val="left"/>
            </w:pPr>
            <w:r>
              <w:t xml:space="preserve">1,512</w:t>
            </w:r>
          </w:p>
        </w:tc>
      </w:tr>
      <w:tr>
        <w:tc>
          <w:tcPr/>
          <w:p>
            <w:pPr>
              <w:pStyle w:val="Compact"/>
              <w:jc w:val="left"/>
            </w:pPr>
            <w:r>
              <w:t xml:space="preserve">floor vs 3-5% down</w:t>
            </w:r>
          </w:p>
        </w:tc>
        <w:tc>
          <w:tcPr/>
          <w:p>
            <w:pPr>
              <w:pStyle w:val="Compact"/>
              <w:jc w:val="left"/>
            </w:pPr>
            <w:r>
              <w:t xml:space="preserve">Overnight gap</w:t>
            </w:r>
          </w:p>
        </w:tc>
        <w:tc>
          <w:tcPr/>
          <w:p>
            <w:pPr>
              <w:pStyle w:val="Compact"/>
              <w:jc w:val="left"/>
            </w:pPr>
            <w:r>
              <w:t xml:space="preserve">-1.14</w:t>
            </w:r>
          </w:p>
        </w:tc>
        <w:tc>
          <w:tcPr/>
          <w:p>
            <w:pPr>
              <w:pStyle w:val="Compact"/>
              <w:jc w:val="left"/>
            </w:pPr>
            <w:r>
              <w:t xml:space="preserve">-6.4</w:t>
            </w:r>
          </w:p>
        </w:tc>
        <w:tc>
          <w:tcPr/>
          <w:p>
            <w:pPr>
              <w:pStyle w:val="Compact"/>
              <w:jc w:val="left"/>
            </w:pPr>
            <w:r>
              <w:t xml:space="preserve">2,111</w:t>
            </w:r>
          </w:p>
        </w:tc>
        <w:tc>
          <w:tcPr/>
          <w:p>
            <w:pPr>
              <w:pStyle w:val="Compact"/>
              <w:jc w:val="left"/>
            </w:pPr>
            <w:r>
              <w:t xml:space="preserve">5,237</w:t>
            </w:r>
          </w:p>
        </w:tc>
      </w:tr>
      <w:tr>
        <w:tc>
          <w:tcPr/>
          <w:p>
            <w:pPr>
              <w:pStyle w:val="Compact"/>
              <w:jc w:val="left"/>
            </w:pPr>
            <w:r>
              <w:t xml:space="preserve">floor vs 3-5% down</w:t>
            </w:r>
          </w:p>
        </w:tc>
        <w:tc>
          <w:tcPr/>
          <w:p>
            <w:pPr>
              <w:pStyle w:val="Compact"/>
              <w:jc w:val="left"/>
            </w:pPr>
            <w:r>
              <w:t xml:space="preserve">Intraday</w:t>
            </w:r>
          </w:p>
        </w:tc>
        <w:tc>
          <w:tcPr/>
          <w:p>
            <w:pPr>
              <w:pStyle w:val="Compact"/>
              <w:jc w:val="left"/>
            </w:pPr>
            <w:r>
              <w:t xml:space="preserve">0.14</w:t>
            </w:r>
          </w:p>
        </w:tc>
        <w:tc>
          <w:tcPr/>
          <w:p>
            <w:pPr>
              <w:pStyle w:val="Compact"/>
              <w:jc w:val="left"/>
            </w:pPr>
            <w:r>
              <w:t xml:space="preserve">0.6</w:t>
            </w:r>
          </w:p>
        </w:tc>
        <w:tc>
          <w:tcPr/>
          <w:p>
            <w:pPr>
              <w:pStyle w:val="Compact"/>
              <w:jc w:val="left"/>
            </w:pPr>
            <w:r>
              <w:t xml:space="preserve">2,111</w:t>
            </w:r>
          </w:p>
        </w:tc>
        <w:tc>
          <w:tcPr/>
          <w:p>
            <w:pPr>
              <w:pStyle w:val="Compact"/>
              <w:jc w:val="left"/>
            </w:pPr>
            <w:r>
              <w:t xml:space="preserve">5,237</w:t>
            </w:r>
          </w:p>
        </w:tc>
      </w:tr>
      <w:tr>
        <w:tc>
          <w:tcPr/>
          <w:p>
            <w:pPr>
              <w:pStyle w:val="Compact"/>
              <w:jc w:val="left"/>
            </w:pPr>
            <w:r>
              <w:t xml:space="preserve">floor vs 3-5% down</w:t>
            </w:r>
          </w:p>
        </w:tc>
        <w:tc>
          <w:tcPr/>
          <w:p>
            <w:pPr>
              <w:pStyle w:val="Compact"/>
              <w:jc w:val="left"/>
            </w:pPr>
            <w:r>
              <w:t xml:space="preserve">Close-to-close</w:t>
            </w:r>
          </w:p>
        </w:tc>
        <w:tc>
          <w:tcPr/>
          <w:p>
            <w:pPr>
              <w:pStyle w:val="Compact"/>
              <w:jc w:val="left"/>
            </w:pPr>
            <w:r>
              <w:t xml:space="preserve">-1.01</w:t>
            </w:r>
          </w:p>
        </w:tc>
        <w:tc>
          <w:tcPr/>
          <w:p>
            <w:pPr>
              <w:pStyle w:val="Compact"/>
              <w:jc w:val="left"/>
            </w:pPr>
            <w:r>
              <w:t xml:space="preserve">-7.5</w:t>
            </w:r>
          </w:p>
        </w:tc>
        <w:tc>
          <w:tcPr/>
          <w:p>
            <w:pPr>
              <w:pStyle w:val="Compact"/>
              <w:jc w:val="left"/>
            </w:pPr>
            <w:r>
              <w:t xml:space="preserve">2,111</w:t>
            </w:r>
          </w:p>
        </w:tc>
        <w:tc>
          <w:tcPr/>
          <w:p>
            <w:pPr>
              <w:pStyle w:val="Compact"/>
              <w:jc w:val="left"/>
            </w:pPr>
            <w:r>
              <w:t xml:space="preserve">5,237</w:t>
            </w:r>
          </w:p>
        </w:tc>
      </w:tr>
      <w:tr>
        <w:tc>
          <w:tcPr/>
          <w:p>
            <w:pPr>
              <w:pStyle w:val="Compact"/>
              <w:jc w:val="left"/>
            </w:pPr>
            <w:r>
              <w:t xml:space="preserve">floor vs 3-5% down</w:t>
            </w:r>
          </w:p>
        </w:tc>
        <w:tc>
          <w:tcPr/>
          <w:p>
            <w:pPr>
              <w:pStyle w:val="Compact"/>
              <w:jc w:val="left"/>
            </w:pPr>
            <w:r>
              <w:t xml:space="preserve">Next open to day-5 close</w:t>
            </w:r>
          </w:p>
        </w:tc>
        <w:tc>
          <w:tcPr/>
          <w:p>
            <w:pPr>
              <w:pStyle w:val="Compact"/>
              <w:jc w:val="left"/>
            </w:pPr>
            <w:r>
              <w:t xml:space="preserve">-0.90</w:t>
            </w:r>
          </w:p>
        </w:tc>
        <w:tc>
          <w:tcPr/>
          <w:p>
            <w:pPr>
              <w:pStyle w:val="Compact"/>
              <w:jc w:val="left"/>
            </w:pPr>
            <w:r>
              <w:t xml:space="preserve">-2.2</w:t>
            </w:r>
          </w:p>
        </w:tc>
        <w:tc>
          <w:tcPr/>
          <w:p>
            <w:pPr>
              <w:pStyle w:val="Compact"/>
              <w:jc w:val="left"/>
            </w:pPr>
            <w:r>
              <w:t xml:space="preserve">2,108</w:t>
            </w:r>
          </w:p>
        </w:tc>
        <w:tc>
          <w:tcPr/>
          <w:p>
            <w:pPr>
              <w:pStyle w:val="Compact"/>
              <w:jc w:val="left"/>
            </w:pPr>
            <w:r>
              <w:t xml:space="preserve">5,218</w:t>
            </w:r>
          </w:p>
        </w:tc>
      </w:tr>
    </w:tbl>
    <w:p>
      <w:pPr>
        <w:pStyle w:val="BodyText"/>
      </w:pPr>
      <w:r>
        <w:t xml:space="preserve">Table 5 quantifies the break. Relative to stocks that rose 5–6.5% on day</w:t>
      </w:r>
      <w:r>
        <w:t xml:space="preserve"> </w:t>
      </w:r>
      <m:oMath>
        <m:r>
          <m:t>t</m:t>
        </m:r>
      </m:oMath>
      <w:r>
        <w:t xml:space="preserve">, stocks that closed at the ceiling have an overnight gap that is 2.66 percentage points larger (t = 14.0) and an intraday return that is 0.31 points lower (t = -2.1). For floors the gap is 1.59 percentage points lower than for stocks that fell 5–6.5% (t = -9.7). Because the comparison groups moved almost as far on day</w:t>
      </w:r>
      <w:r>
        <w:t xml:space="preserve"> </w:t>
      </w:r>
      <m:oMath>
        <m:r>
          <m:t>t</m:t>
        </m:r>
      </m:oMath>
      <w:r>
        <w:t xml:space="preserve">, the difference is not a generic reversal or continuation after large moves. It could still reflect that limit closers differ from the comparison stocks in more than the limit. One such difference is the shape of the close: the event rule requires the close to equal the day’s high (low), whereas the comparison groups of Table 5 do not. Table 5b restricts the comparison groups to stocks that also closed at their day’s high (low). The ceiling gap is then 3.14 percentage points larger than for 5–6.5% risers that closed at their high (t = 14.5; 679 comparison stock-days), and the floor gap is 1.81 points lower (t = -8.7), so a strong close does not account for the contrast. We describe the result as an association around a rule-based threshold, not as a randomized or exact regression-discontinuity design: there is no bandwidth choice, local polynomial, manipulation test or covariate balance, and stocks that reach the limit may differ in news content. We do not claim a causal effect of the limit on prices.</w:t>
      </w:r>
    </w:p>
    <w:p>
      <w:pPr>
        <w:pStyle w:val="BodyText"/>
      </w:pPr>
      <w:r>
        <w:t xml:space="preserve">Table 5b. As Table 5, with comparison stocks that also closed at their day’s high (up moves) or low (down moves) (post hoc).</w:t>
      </w:r>
    </w:p>
    <w:tbl>
      <w:tblPr>
        <w:tblStyle w:val="Table"/>
        <w:tblW w:type="pct" w:w="5000"/>
        <w:tblLook w:firstRow="1" w:lastRow="0" w:firstColumn="0" w:lastColumn="0" w:noHBand="0" w:noVBand="0" w:val="0020"/>
        <w:jc w:val="start"/>
      </w:tblPr>
      <w:tblGrid>
        <w:gridCol w:w="2310"/>
        <w:gridCol w:w="1650"/>
        <w:gridCol w:w="1056"/>
        <w:gridCol w:w="1254"/>
        <w:gridCol w:w="660"/>
        <w:gridCol w:w="990"/>
      </w:tblGrid>
      <w:tr>
        <w:trPr>
          <w:tblHeader w:val="true"/>
        </w:trPr>
        <w:tc>
          <w:tcPr/>
          <w:p>
            <w:pPr>
              <w:pStyle w:val="Compact"/>
              <w:jc w:val="left"/>
            </w:pPr>
            <w:r>
              <w:t xml:space="preserve">Contrast</w:t>
            </w:r>
          </w:p>
        </w:tc>
        <w:tc>
          <w:tcPr/>
          <w:p>
            <w:pPr>
              <w:pStyle w:val="Compact"/>
              <w:jc w:val="left"/>
            </w:pPr>
            <w:r>
              <w:t xml:space="preserve">Outcome</w:t>
            </w:r>
          </w:p>
        </w:tc>
        <w:tc>
          <w:tcPr/>
          <w:p>
            <w:pPr>
              <w:pStyle w:val="Compact"/>
              <w:jc w:val="left"/>
            </w:pPr>
            <w:r>
              <w:t xml:space="preserve">Difference (pp)</w:t>
            </w:r>
          </w:p>
        </w:tc>
        <w:tc>
          <w:tcPr/>
          <w:p>
            <w:pPr>
              <w:pStyle w:val="Compact"/>
              <w:jc w:val="left"/>
            </w:pPr>
            <w:r>
              <w:t xml:space="preserve">t (date-clustered)</w:t>
            </w:r>
          </w:p>
        </w:tc>
        <w:tc>
          <w:tcPr/>
          <w:p>
            <w:pPr>
              <w:pStyle w:val="Compact"/>
              <w:jc w:val="left"/>
            </w:pPr>
            <w:r>
              <w:t xml:space="preserve">n (limit)</w:t>
            </w:r>
          </w:p>
        </w:tc>
        <w:tc>
          <w:tcPr/>
          <w:p>
            <w:pPr>
              <w:pStyle w:val="Compact"/>
              <w:jc w:val="left"/>
            </w:pPr>
            <w:r>
              <w:t xml:space="preserve">n (comparison)</w:t>
            </w:r>
          </w:p>
        </w:tc>
      </w:tr>
      <w:tr>
        <w:tc>
          <w:tcPr/>
          <w:p>
            <w:pPr>
              <w:pStyle w:val="Compact"/>
              <w:jc w:val="left"/>
            </w:pPr>
            <w:r>
              <w:t xml:space="preserve">ceiling vs 5-6.5% up, close = high</w:t>
            </w:r>
          </w:p>
        </w:tc>
        <w:tc>
          <w:tcPr/>
          <w:p>
            <w:pPr>
              <w:pStyle w:val="Compact"/>
              <w:jc w:val="left"/>
            </w:pPr>
            <w:r>
              <w:t xml:space="preserve">Overnight gap</w:t>
            </w:r>
          </w:p>
        </w:tc>
        <w:tc>
          <w:tcPr/>
          <w:p>
            <w:pPr>
              <w:pStyle w:val="Compact"/>
              <w:jc w:val="left"/>
            </w:pPr>
            <w:r>
              <w:t xml:space="preserve">3.14</w:t>
            </w:r>
          </w:p>
        </w:tc>
        <w:tc>
          <w:tcPr/>
          <w:p>
            <w:pPr>
              <w:pStyle w:val="Compact"/>
              <w:jc w:val="left"/>
            </w:pPr>
            <w:r>
              <w:t xml:space="preserve">14.5</w:t>
            </w:r>
          </w:p>
        </w:tc>
        <w:tc>
          <w:tcPr/>
          <w:p>
            <w:pPr>
              <w:pStyle w:val="Compact"/>
              <w:jc w:val="left"/>
            </w:pPr>
            <w:r>
              <w:t xml:space="preserve">3,199</w:t>
            </w:r>
          </w:p>
        </w:tc>
        <w:tc>
          <w:tcPr/>
          <w:p>
            <w:pPr>
              <w:pStyle w:val="Compact"/>
              <w:jc w:val="left"/>
            </w:pPr>
            <w:r>
              <w:t xml:space="preserve">679</w:t>
            </w:r>
          </w:p>
        </w:tc>
      </w:tr>
      <w:tr>
        <w:tc>
          <w:tcPr/>
          <w:p>
            <w:pPr>
              <w:pStyle w:val="Compact"/>
              <w:jc w:val="left"/>
            </w:pPr>
            <w:r>
              <w:t xml:space="preserve">ceiling vs 5-6.5% up, close = high</w:t>
            </w:r>
          </w:p>
        </w:tc>
        <w:tc>
          <w:tcPr/>
          <w:p>
            <w:pPr>
              <w:pStyle w:val="Compact"/>
              <w:jc w:val="left"/>
            </w:pPr>
            <w:r>
              <w:t xml:space="preserve">Intraday</w:t>
            </w:r>
          </w:p>
        </w:tc>
        <w:tc>
          <w:tcPr/>
          <w:p>
            <w:pPr>
              <w:pStyle w:val="Compact"/>
              <w:jc w:val="left"/>
            </w:pPr>
            <w:r>
              <w:t xml:space="preserve">-0.66</w:t>
            </w:r>
          </w:p>
        </w:tc>
        <w:tc>
          <w:tcPr/>
          <w:p>
            <w:pPr>
              <w:pStyle w:val="Compact"/>
              <w:jc w:val="left"/>
            </w:pPr>
            <w:r>
              <w:t xml:space="preserve">-3.4</w:t>
            </w:r>
          </w:p>
        </w:tc>
        <w:tc>
          <w:tcPr/>
          <w:p>
            <w:pPr>
              <w:pStyle w:val="Compact"/>
              <w:jc w:val="left"/>
            </w:pPr>
            <w:r>
              <w:t xml:space="preserve">3,199</w:t>
            </w:r>
          </w:p>
        </w:tc>
        <w:tc>
          <w:tcPr/>
          <w:p>
            <w:pPr>
              <w:pStyle w:val="Compact"/>
              <w:jc w:val="left"/>
            </w:pPr>
            <w:r>
              <w:t xml:space="preserve">679</w:t>
            </w:r>
          </w:p>
        </w:tc>
      </w:tr>
      <w:tr>
        <w:tc>
          <w:tcPr/>
          <w:p>
            <w:pPr>
              <w:pStyle w:val="Compact"/>
              <w:jc w:val="left"/>
            </w:pPr>
            <w:r>
              <w:t xml:space="preserve">ceiling vs 5-6.5% up, close = high</w:t>
            </w:r>
          </w:p>
        </w:tc>
        <w:tc>
          <w:tcPr/>
          <w:p>
            <w:pPr>
              <w:pStyle w:val="Compact"/>
              <w:jc w:val="left"/>
            </w:pPr>
            <w:r>
              <w:t xml:space="preserve">Close-to-close</w:t>
            </w:r>
          </w:p>
        </w:tc>
        <w:tc>
          <w:tcPr/>
          <w:p>
            <w:pPr>
              <w:pStyle w:val="Compact"/>
              <w:jc w:val="left"/>
            </w:pPr>
            <w:r>
              <w:t xml:space="preserve">2.47</w:t>
            </w:r>
          </w:p>
        </w:tc>
        <w:tc>
          <w:tcPr/>
          <w:p>
            <w:pPr>
              <w:pStyle w:val="Compact"/>
              <w:jc w:val="left"/>
            </w:pPr>
            <w:r>
              <w:t xml:space="preserve">7.2</w:t>
            </w:r>
          </w:p>
        </w:tc>
        <w:tc>
          <w:tcPr/>
          <w:p>
            <w:pPr>
              <w:pStyle w:val="Compact"/>
              <w:jc w:val="left"/>
            </w:pPr>
            <w:r>
              <w:t xml:space="preserve">3,199</w:t>
            </w:r>
          </w:p>
        </w:tc>
        <w:tc>
          <w:tcPr/>
          <w:p>
            <w:pPr>
              <w:pStyle w:val="Compact"/>
              <w:jc w:val="left"/>
            </w:pPr>
            <w:r>
              <w:t xml:space="preserve">679</w:t>
            </w:r>
          </w:p>
        </w:tc>
      </w:tr>
      <w:tr>
        <w:tc>
          <w:tcPr/>
          <w:p>
            <w:pPr>
              <w:pStyle w:val="Compact"/>
              <w:jc w:val="left"/>
            </w:pPr>
            <w:r>
              <w:t xml:space="preserve">ceiling vs 5-6.5% up, close = high</w:t>
            </w:r>
          </w:p>
        </w:tc>
        <w:tc>
          <w:tcPr/>
          <w:p>
            <w:pPr>
              <w:pStyle w:val="Compact"/>
              <w:jc w:val="left"/>
            </w:pPr>
            <w:r>
              <w:t xml:space="preserve">Next open to day-5 close</w:t>
            </w:r>
          </w:p>
        </w:tc>
        <w:tc>
          <w:tcPr/>
          <w:p>
            <w:pPr>
              <w:pStyle w:val="Compact"/>
              <w:jc w:val="left"/>
            </w:pPr>
            <w:r>
              <w:t xml:space="preserve">-0.49</w:t>
            </w:r>
          </w:p>
        </w:tc>
        <w:tc>
          <w:tcPr/>
          <w:p>
            <w:pPr>
              <w:pStyle w:val="Compact"/>
              <w:jc w:val="left"/>
            </w:pPr>
            <w:r>
              <w:t xml:space="preserve">-1.5</w:t>
            </w:r>
          </w:p>
        </w:tc>
        <w:tc>
          <w:tcPr/>
          <w:p>
            <w:pPr>
              <w:pStyle w:val="Compact"/>
              <w:jc w:val="left"/>
            </w:pPr>
            <w:r>
              <w:t xml:space="preserve">3,193</w:t>
            </w:r>
          </w:p>
        </w:tc>
        <w:tc>
          <w:tcPr/>
          <w:p>
            <w:pPr>
              <w:pStyle w:val="Compact"/>
              <w:jc w:val="left"/>
            </w:pPr>
            <w:r>
              <w:t xml:space="preserve">673</w:t>
            </w:r>
          </w:p>
        </w:tc>
      </w:tr>
      <w:tr>
        <w:tc>
          <w:tcPr/>
          <w:p>
            <w:pPr>
              <w:pStyle w:val="Compact"/>
              <w:jc w:val="left"/>
            </w:pPr>
            <w:r>
              <w:t xml:space="preserve">ceiling vs 3-5% up, close = high</w:t>
            </w:r>
          </w:p>
        </w:tc>
        <w:tc>
          <w:tcPr/>
          <w:p>
            <w:pPr>
              <w:pStyle w:val="Compact"/>
              <w:jc w:val="left"/>
            </w:pPr>
            <w:r>
              <w:t xml:space="preserve">Overnight gap</w:t>
            </w:r>
          </w:p>
        </w:tc>
        <w:tc>
          <w:tcPr/>
          <w:p>
            <w:pPr>
              <w:pStyle w:val="Compact"/>
              <w:jc w:val="left"/>
            </w:pPr>
            <w:r>
              <w:t xml:space="preserve">2.81</w:t>
            </w:r>
          </w:p>
        </w:tc>
        <w:tc>
          <w:tcPr/>
          <w:p>
            <w:pPr>
              <w:pStyle w:val="Compact"/>
              <w:jc w:val="left"/>
            </w:pPr>
            <w:r>
              <w:t xml:space="preserve">13.1</w:t>
            </w:r>
          </w:p>
        </w:tc>
        <w:tc>
          <w:tcPr/>
          <w:p>
            <w:pPr>
              <w:pStyle w:val="Compact"/>
              <w:jc w:val="left"/>
            </w:pPr>
            <w:r>
              <w:t xml:space="preserve">3,199</w:t>
            </w:r>
          </w:p>
        </w:tc>
        <w:tc>
          <w:tcPr/>
          <w:p>
            <w:pPr>
              <w:pStyle w:val="Compact"/>
              <w:jc w:val="left"/>
            </w:pPr>
            <w:r>
              <w:t xml:space="preserve">1,795</w:t>
            </w:r>
          </w:p>
        </w:tc>
      </w:tr>
      <w:tr>
        <w:tc>
          <w:tcPr/>
          <w:p>
            <w:pPr>
              <w:pStyle w:val="Compact"/>
              <w:jc w:val="left"/>
            </w:pPr>
            <w:r>
              <w:t xml:space="preserve">ceiling vs 3-5% up, close = high</w:t>
            </w:r>
          </w:p>
        </w:tc>
        <w:tc>
          <w:tcPr/>
          <w:p>
            <w:pPr>
              <w:pStyle w:val="Compact"/>
              <w:jc w:val="left"/>
            </w:pPr>
            <w:r>
              <w:t xml:space="preserve">Intraday</w:t>
            </w:r>
          </w:p>
        </w:tc>
        <w:tc>
          <w:tcPr/>
          <w:p>
            <w:pPr>
              <w:pStyle w:val="Compact"/>
              <w:jc w:val="left"/>
            </w:pPr>
            <w:r>
              <w:t xml:space="preserve">-0.61</w:t>
            </w:r>
          </w:p>
        </w:tc>
        <w:tc>
          <w:tcPr/>
          <w:p>
            <w:pPr>
              <w:pStyle w:val="Compact"/>
              <w:jc w:val="left"/>
            </w:pPr>
            <w:r>
              <w:t xml:space="preserve">-3.8</w:t>
            </w:r>
          </w:p>
        </w:tc>
        <w:tc>
          <w:tcPr/>
          <w:p>
            <w:pPr>
              <w:pStyle w:val="Compact"/>
              <w:jc w:val="left"/>
            </w:pPr>
            <w:r>
              <w:t xml:space="preserve">3,199</w:t>
            </w:r>
          </w:p>
        </w:tc>
        <w:tc>
          <w:tcPr/>
          <w:p>
            <w:pPr>
              <w:pStyle w:val="Compact"/>
              <w:jc w:val="left"/>
            </w:pPr>
            <w:r>
              <w:t xml:space="preserve">1,795</w:t>
            </w:r>
          </w:p>
        </w:tc>
      </w:tr>
      <w:tr>
        <w:tc>
          <w:tcPr/>
          <w:p>
            <w:pPr>
              <w:pStyle w:val="Compact"/>
              <w:jc w:val="left"/>
            </w:pPr>
            <w:r>
              <w:t xml:space="preserve">ceiling vs 3-5% up, close = high</w:t>
            </w:r>
          </w:p>
        </w:tc>
        <w:tc>
          <w:tcPr/>
          <w:p>
            <w:pPr>
              <w:pStyle w:val="Compact"/>
              <w:jc w:val="left"/>
            </w:pPr>
            <w:r>
              <w:t xml:space="preserve">Close-to-close</w:t>
            </w:r>
          </w:p>
        </w:tc>
        <w:tc>
          <w:tcPr/>
          <w:p>
            <w:pPr>
              <w:pStyle w:val="Compact"/>
              <w:jc w:val="left"/>
            </w:pPr>
            <w:r>
              <w:t xml:space="preserve">2.17</w:t>
            </w:r>
          </w:p>
        </w:tc>
        <w:tc>
          <w:tcPr/>
          <w:p>
            <w:pPr>
              <w:pStyle w:val="Compact"/>
              <w:jc w:val="left"/>
            </w:pPr>
            <w:r>
              <w:t xml:space="preserve">6.4</w:t>
            </w:r>
          </w:p>
        </w:tc>
        <w:tc>
          <w:tcPr/>
          <w:p>
            <w:pPr>
              <w:pStyle w:val="Compact"/>
              <w:jc w:val="left"/>
            </w:pPr>
            <w:r>
              <w:t xml:space="preserve">3,199</w:t>
            </w:r>
          </w:p>
        </w:tc>
        <w:tc>
          <w:tcPr/>
          <w:p>
            <w:pPr>
              <w:pStyle w:val="Compact"/>
              <w:jc w:val="left"/>
            </w:pPr>
            <w:r>
              <w:t xml:space="preserve">1,795</w:t>
            </w:r>
          </w:p>
        </w:tc>
      </w:tr>
      <w:tr>
        <w:tc>
          <w:tcPr/>
          <w:p>
            <w:pPr>
              <w:pStyle w:val="Compact"/>
              <w:jc w:val="left"/>
            </w:pPr>
            <w:r>
              <w:t xml:space="preserve">ceiling vs 3-5% up, close = high</w:t>
            </w:r>
          </w:p>
        </w:tc>
        <w:tc>
          <w:tcPr/>
          <w:p>
            <w:pPr>
              <w:pStyle w:val="Compact"/>
              <w:jc w:val="left"/>
            </w:pPr>
            <w:r>
              <w:t xml:space="preserve">Next open to day-5 close</w:t>
            </w:r>
          </w:p>
        </w:tc>
        <w:tc>
          <w:tcPr/>
          <w:p>
            <w:pPr>
              <w:pStyle w:val="Compact"/>
              <w:jc w:val="left"/>
            </w:pPr>
            <w:r>
              <w:t xml:space="preserve">-0.64</w:t>
            </w:r>
          </w:p>
        </w:tc>
        <w:tc>
          <w:tcPr/>
          <w:p>
            <w:pPr>
              <w:pStyle w:val="Compact"/>
              <w:jc w:val="left"/>
            </w:pPr>
            <w:r>
              <w:t xml:space="preserve">-2.7</w:t>
            </w:r>
          </w:p>
        </w:tc>
        <w:tc>
          <w:tcPr/>
          <w:p>
            <w:pPr>
              <w:pStyle w:val="Compact"/>
              <w:jc w:val="left"/>
            </w:pPr>
            <w:r>
              <w:t xml:space="preserve">3,193</w:t>
            </w:r>
          </w:p>
        </w:tc>
        <w:tc>
          <w:tcPr/>
          <w:p>
            <w:pPr>
              <w:pStyle w:val="Compact"/>
              <w:jc w:val="left"/>
            </w:pPr>
            <w:r>
              <w:t xml:space="preserve">1,790</w:t>
            </w:r>
          </w:p>
        </w:tc>
      </w:tr>
      <w:tr>
        <w:tc>
          <w:tcPr/>
          <w:p>
            <w:pPr>
              <w:pStyle w:val="Compact"/>
              <w:jc w:val="left"/>
            </w:pPr>
            <w:r>
              <w:t xml:space="preserve">floor vs 5-6.5% down, close = low</w:t>
            </w:r>
          </w:p>
        </w:tc>
        <w:tc>
          <w:tcPr/>
          <w:p>
            <w:pPr>
              <w:pStyle w:val="Compact"/>
              <w:jc w:val="left"/>
            </w:pPr>
            <w:r>
              <w:t xml:space="preserve">Overnight gap</w:t>
            </w:r>
          </w:p>
        </w:tc>
        <w:tc>
          <w:tcPr/>
          <w:p>
            <w:pPr>
              <w:pStyle w:val="Compact"/>
              <w:jc w:val="left"/>
            </w:pPr>
            <w:r>
              <w:t xml:space="preserve">-1.81</w:t>
            </w:r>
          </w:p>
        </w:tc>
        <w:tc>
          <w:tcPr/>
          <w:p>
            <w:pPr>
              <w:pStyle w:val="Compact"/>
              <w:jc w:val="left"/>
            </w:pPr>
            <w:r>
              <w:t xml:space="preserve">-8.7</w:t>
            </w:r>
          </w:p>
        </w:tc>
        <w:tc>
          <w:tcPr/>
          <w:p>
            <w:pPr>
              <w:pStyle w:val="Compact"/>
              <w:jc w:val="left"/>
            </w:pPr>
            <w:r>
              <w:t xml:space="preserve">2,111</w:t>
            </w:r>
          </w:p>
        </w:tc>
        <w:tc>
          <w:tcPr/>
          <w:p>
            <w:pPr>
              <w:pStyle w:val="Compact"/>
              <w:jc w:val="left"/>
            </w:pPr>
            <w:r>
              <w:t xml:space="preserve">722</w:t>
            </w:r>
          </w:p>
        </w:tc>
      </w:tr>
      <w:tr>
        <w:tc>
          <w:tcPr/>
          <w:p>
            <w:pPr>
              <w:pStyle w:val="Compact"/>
              <w:jc w:val="left"/>
            </w:pPr>
            <w:r>
              <w:t xml:space="preserve">floor vs 5-6.5% down, close = low</w:t>
            </w:r>
          </w:p>
        </w:tc>
        <w:tc>
          <w:tcPr/>
          <w:p>
            <w:pPr>
              <w:pStyle w:val="Compact"/>
              <w:jc w:val="left"/>
            </w:pPr>
            <w:r>
              <w:t xml:space="preserve">Intraday</w:t>
            </w:r>
          </w:p>
        </w:tc>
        <w:tc>
          <w:tcPr/>
          <w:p>
            <w:pPr>
              <w:pStyle w:val="Compact"/>
              <w:jc w:val="left"/>
            </w:pPr>
            <w:r>
              <w:t xml:space="preserve">-0.13</w:t>
            </w:r>
          </w:p>
        </w:tc>
        <w:tc>
          <w:tcPr/>
          <w:p>
            <w:pPr>
              <w:pStyle w:val="Compact"/>
              <w:jc w:val="left"/>
            </w:pPr>
            <w:r>
              <w:t xml:space="preserve">-0.6</w:t>
            </w:r>
          </w:p>
        </w:tc>
        <w:tc>
          <w:tcPr/>
          <w:p>
            <w:pPr>
              <w:pStyle w:val="Compact"/>
              <w:jc w:val="left"/>
            </w:pPr>
            <w:r>
              <w:t xml:space="preserve">2,111</w:t>
            </w:r>
          </w:p>
        </w:tc>
        <w:tc>
          <w:tcPr/>
          <w:p>
            <w:pPr>
              <w:pStyle w:val="Compact"/>
              <w:jc w:val="left"/>
            </w:pPr>
            <w:r>
              <w:t xml:space="preserve">722</w:t>
            </w:r>
          </w:p>
        </w:tc>
      </w:tr>
      <w:tr>
        <w:tc>
          <w:tcPr/>
          <w:p>
            <w:pPr>
              <w:pStyle w:val="Compact"/>
              <w:jc w:val="left"/>
            </w:pPr>
            <w:r>
              <w:t xml:space="preserve">floor vs 5-6.5% down, close = low</w:t>
            </w:r>
          </w:p>
        </w:tc>
        <w:tc>
          <w:tcPr/>
          <w:p>
            <w:pPr>
              <w:pStyle w:val="Compact"/>
              <w:jc w:val="left"/>
            </w:pPr>
            <w:r>
              <w:t xml:space="preserve">Close-to-close</w:t>
            </w:r>
          </w:p>
        </w:tc>
        <w:tc>
          <w:tcPr/>
          <w:p>
            <w:pPr>
              <w:pStyle w:val="Compact"/>
              <w:jc w:val="left"/>
            </w:pPr>
            <w:r>
              <w:t xml:space="preserve">-1.95</w:t>
            </w:r>
          </w:p>
        </w:tc>
        <w:tc>
          <w:tcPr/>
          <w:p>
            <w:pPr>
              <w:pStyle w:val="Compact"/>
              <w:jc w:val="left"/>
            </w:pPr>
            <w:r>
              <w:t xml:space="preserve">-10.7</w:t>
            </w:r>
          </w:p>
        </w:tc>
        <w:tc>
          <w:tcPr/>
          <w:p>
            <w:pPr>
              <w:pStyle w:val="Compact"/>
              <w:jc w:val="left"/>
            </w:pPr>
            <w:r>
              <w:t xml:space="preserve">2,111</w:t>
            </w:r>
          </w:p>
        </w:tc>
        <w:tc>
          <w:tcPr/>
          <w:p>
            <w:pPr>
              <w:pStyle w:val="Compact"/>
              <w:jc w:val="left"/>
            </w:pPr>
            <w:r>
              <w:t xml:space="preserve">722</w:t>
            </w:r>
          </w:p>
        </w:tc>
      </w:tr>
      <w:tr>
        <w:tc>
          <w:tcPr/>
          <w:p>
            <w:pPr>
              <w:pStyle w:val="Compact"/>
              <w:jc w:val="left"/>
            </w:pPr>
            <w:r>
              <w:t xml:space="preserve">floor vs 5-6.5% down, close = low</w:t>
            </w:r>
          </w:p>
        </w:tc>
        <w:tc>
          <w:tcPr/>
          <w:p>
            <w:pPr>
              <w:pStyle w:val="Compact"/>
              <w:jc w:val="left"/>
            </w:pPr>
            <w:r>
              <w:t xml:space="preserve">Next open to day-5 close</w:t>
            </w:r>
          </w:p>
        </w:tc>
        <w:tc>
          <w:tcPr/>
          <w:p>
            <w:pPr>
              <w:pStyle w:val="Compact"/>
              <w:jc w:val="left"/>
            </w:pPr>
            <w:r>
              <w:t xml:space="preserve">-1.23</w:t>
            </w:r>
          </w:p>
        </w:tc>
        <w:tc>
          <w:tcPr/>
          <w:p>
            <w:pPr>
              <w:pStyle w:val="Compact"/>
              <w:jc w:val="left"/>
            </w:pPr>
            <w:r>
              <w:t xml:space="preserve">-2.8</w:t>
            </w:r>
          </w:p>
        </w:tc>
        <w:tc>
          <w:tcPr/>
          <w:p>
            <w:pPr>
              <w:pStyle w:val="Compact"/>
              <w:jc w:val="left"/>
            </w:pPr>
            <w:r>
              <w:t xml:space="preserve">2,108</w:t>
            </w:r>
          </w:p>
        </w:tc>
        <w:tc>
          <w:tcPr/>
          <w:p>
            <w:pPr>
              <w:pStyle w:val="Compact"/>
              <w:jc w:val="left"/>
            </w:pPr>
            <w:r>
              <w:t xml:space="preserve">715</w:t>
            </w:r>
          </w:p>
        </w:tc>
      </w:tr>
      <w:tr>
        <w:tc>
          <w:tcPr/>
          <w:p>
            <w:pPr>
              <w:pStyle w:val="Compact"/>
              <w:jc w:val="left"/>
            </w:pPr>
            <w:r>
              <w:t xml:space="preserve">floor vs 3-5% down, close = low</w:t>
            </w:r>
          </w:p>
        </w:tc>
        <w:tc>
          <w:tcPr/>
          <w:p>
            <w:pPr>
              <w:pStyle w:val="Compact"/>
              <w:jc w:val="left"/>
            </w:pPr>
            <w:r>
              <w:t xml:space="preserve">Overnight gap</w:t>
            </w:r>
          </w:p>
        </w:tc>
        <w:tc>
          <w:tcPr/>
          <w:p>
            <w:pPr>
              <w:pStyle w:val="Compact"/>
              <w:jc w:val="left"/>
            </w:pPr>
            <w:r>
              <w:t xml:space="preserve">-1.35</w:t>
            </w:r>
          </w:p>
        </w:tc>
        <w:tc>
          <w:tcPr/>
          <w:p>
            <w:pPr>
              <w:pStyle w:val="Compact"/>
              <w:jc w:val="left"/>
            </w:pPr>
            <w:r>
              <w:t xml:space="preserve">-7.4</w:t>
            </w:r>
          </w:p>
        </w:tc>
        <w:tc>
          <w:tcPr/>
          <w:p>
            <w:pPr>
              <w:pStyle w:val="Compact"/>
              <w:jc w:val="left"/>
            </w:pPr>
            <w:r>
              <w:t xml:space="preserve">2,111</w:t>
            </w:r>
          </w:p>
        </w:tc>
        <w:tc>
          <w:tcPr/>
          <w:p>
            <w:pPr>
              <w:pStyle w:val="Compact"/>
              <w:jc w:val="left"/>
            </w:pPr>
            <w:r>
              <w:t xml:space="preserve">2,228</w:t>
            </w:r>
          </w:p>
        </w:tc>
      </w:tr>
      <w:tr>
        <w:tc>
          <w:tcPr/>
          <w:p>
            <w:pPr>
              <w:pStyle w:val="Compact"/>
              <w:jc w:val="left"/>
            </w:pPr>
            <w:r>
              <w:t xml:space="preserve">floor vs 3-5% down, close = low</w:t>
            </w:r>
          </w:p>
        </w:tc>
        <w:tc>
          <w:tcPr/>
          <w:p>
            <w:pPr>
              <w:pStyle w:val="Compact"/>
              <w:jc w:val="left"/>
            </w:pPr>
            <w:r>
              <w:t xml:space="preserve">Intraday</w:t>
            </w:r>
          </w:p>
        </w:tc>
        <w:tc>
          <w:tcPr/>
          <w:p>
            <w:pPr>
              <w:pStyle w:val="Compact"/>
              <w:jc w:val="left"/>
            </w:pPr>
            <w:r>
              <w:t xml:space="preserve">0.18</w:t>
            </w:r>
          </w:p>
        </w:tc>
        <w:tc>
          <w:tcPr/>
          <w:p>
            <w:pPr>
              <w:pStyle w:val="Compact"/>
              <w:jc w:val="left"/>
            </w:pPr>
            <w:r>
              <w:t xml:space="preserve">0.8</w:t>
            </w:r>
          </w:p>
        </w:tc>
        <w:tc>
          <w:tcPr/>
          <w:p>
            <w:pPr>
              <w:pStyle w:val="Compact"/>
              <w:jc w:val="left"/>
            </w:pPr>
            <w:r>
              <w:t xml:space="preserve">2,111</w:t>
            </w:r>
          </w:p>
        </w:tc>
        <w:tc>
          <w:tcPr/>
          <w:p>
            <w:pPr>
              <w:pStyle w:val="Compact"/>
              <w:jc w:val="left"/>
            </w:pPr>
            <w:r>
              <w:t xml:space="preserve">2,228</w:t>
            </w:r>
          </w:p>
        </w:tc>
      </w:tr>
      <w:tr>
        <w:tc>
          <w:tcPr/>
          <w:p>
            <w:pPr>
              <w:pStyle w:val="Compact"/>
              <w:jc w:val="left"/>
            </w:pPr>
            <w:r>
              <w:t xml:space="preserve">floor vs 3-5% down, close = low</w:t>
            </w:r>
          </w:p>
        </w:tc>
        <w:tc>
          <w:tcPr/>
          <w:p>
            <w:pPr>
              <w:pStyle w:val="Compact"/>
              <w:jc w:val="left"/>
            </w:pPr>
            <w:r>
              <w:t xml:space="preserve">Close-to-close</w:t>
            </w:r>
          </w:p>
        </w:tc>
        <w:tc>
          <w:tcPr/>
          <w:p>
            <w:pPr>
              <w:pStyle w:val="Compact"/>
              <w:jc w:val="left"/>
            </w:pPr>
            <w:r>
              <w:t xml:space="preserve">-1.19</w:t>
            </w:r>
          </w:p>
        </w:tc>
        <w:tc>
          <w:tcPr/>
          <w:p>
            <w:pPr>
              <w:pStyle w:val="Compact"/>
              <w:jc w:val="left"/>
            </w:pPr>
            <w:r>
              <w:t xml:space="preserve">-8.0</w:t>
            </w:r>
          </w:p>
        </w:tc>
        <w:tc>
          <w:tcPr/>
          <w:p>
            <w:pPr>
              <w:pStyle w:val="Compact"/>
              <w:jc w:val="left"/>
            </w:pPr>
            <w:r>
              <w:t xml:space="preserve">2,111</w:t>
            </w:r>
          </w:p>
        </w:tc>
        <w:tc>
          <w:tcPr/>
          <w:p>
            <w:pPr>
              <w:pStyle w:val="Compact"/>
              <w:jc w:val="left"/>
            </w:pPr>
            <w:r>
              <w:t xml:space="preserve">2,228</w:t>
            </w:r>
          </w:p>
        </w:tc>
      </w:tr>
      <w:tr>
        <w:tc>
          <w:tcPr/>
          <w:p>
            <w:pPr>
              <w:pStyle w:val="Compact"/>
              <w:jc w:val="left"/>
            </w:pPr>
            <w:r>
              <w:t xml:space="preserve">floor vs 3-5% down, close = low</w:t>
            </w:r>
          </w:p>
        </w:tc>
        <w:tc>
          <w:tcPr/>
          <w:p>
            <w:pPr>
              <w:pStyle w:val="Compact"/>
              <w:jc w:val="left"/>
            </w:pPr>
            <w:r>
              <w:t xml:space="preserve">Next open to day-5 close</w:t>
            </w:r>
          </w:p>
        </w:tc>
        <w:tc>
          <w:tcPr/>
          <w:p>
            <w:pPr>
              <w:pStyle w:val="Compact"/>
              <w:jc w:val="left"/>
            </w:pPr>
            <w:r>
              <w:t xml:space="preserve">-1.06</w:t>
            </w:r>
          </w:p>
        </w:tc>
        <w:tc>
          <w:tcPr/>
          <w:p>
            <w:pPr>
              <w:pStyle w:val="Compact"/>
              <w:jc w:val="left"/>
            </w:pPr>
            <w:r>
              <w:t xml:space="preserve">-2.5</w:t>
            </w:r>
          </w:p>
        </w:tc>
        <w:tc>
          <w:tcPr/>
          <w:p>
            <w:pPr>
              <w:pStyle w:val="Compact"/>
              <w:jc w:val="left"/>
            </w:pPr>
            <w:r>
              <w:t xml:space="preserve">2,108</w:t>
            </w:r>
          </w:p>
        </w:tc>
        <w:tc>
          <w:tcPr/>
          <w:p>
            <w:pPr>
              <w:pStyle w:val="Compact"/>
              <w:jc w:val="left"/>
            </w:pPr>
            <w:r>
              <w:t xml:space="preserve">2,218</w:t>
            </w:r>
          </w:p>
        </w:tc>
      </w:tr>
    </w:tbl>
    <w:p>
      <w:pPr>
        <w:pStyle w:val="BodyText"/>
      </w:pPr>
      <w:r>
        <w:rPr>
          <w:iCs/>
          <w:i/>
        </w:rPr>
        <w:t xml:space="preserve">Rival readings.</w:t>
      </w:r>
      <w:r>
        <w:t xml:space="preserve"> </w:t>
      </w:r>
      <w:r>
        <w:t xml:space="preserve">Three readings fit the pattern, and the data do not separate them. (1) Demand or supply that the limit prevented from clearing on day</w:t>
      </w:r>
      <w:r>
        <w:t xml:space="preserve"> </w:t>
      </w:r>
      <m:oMath>
        <m:r>
          <m:t>t</m:t>
        </m:r>
      </m:oMath>
      <w:r>
        <w:t xml:space="preserve"> </w:t>
      </w:r>
      <w:r>
        <w:t xml:space="preserve">is realized at the next opening, the reading of delayed price discovery. (2) Stocks that reach a limit are selected on news and retail attention, which persist overnight and are followed by the familiar overnight-gain-then-intraday-reversal of attention-grabbing stocks (Berkman et al., 2012), with or without a limit. (3) The opening call auction overshoots and partly corrects within the day. The sample contains no announcement data, no order book and no stock-days without a limit regime, so we offer only two partial checks. Within ceiling events the overnight gap rises with the day-</w:t>
      </w:r>
      <m:oMath>
        <m:r>
          <m:t>t</m:t>
        </m:r>
      </m:oMath>
      <w:r>
        <w:t xml:space="preserve"> </w:t>
      </w:r>
      <w:r>
        <w:t xml:space="preserve">volume relative to the prior 60-day mean (1.97%, 2.16% and 2.63% across terciles) and with the stock’s prior 20-day return (1.41%, 2.18% and 3.16%; repository table C24), so the gap is larger where attention and news are plausibly stronger, which fits reading (2) as well as reading (1); it remains positive and significant in the lowest tercile of each proxy (t = 4.8 for volume and 4.2 for prior return). For floors the pattern is not the same: the gap moves from -1.20% to -0.68% across volume terciles (less negative with more volume) and is not monotone in the prior return, so the attention reading does not carry over cleanly to floors. The contrast with 5–6.5% risers that also closed at their high (Table 5b) removes selection on a strong close but not selection on news. The intraday giveback after ceiling closes (-0.53%) fits readings (2) and (3) at least as well as a permanent price-discovery story. We therefore use</w:t>
      </w:r>
      <w:r>
        <w:t xml:space="preserve"> </w:t>
      </w:r>
      <w:r>
        <w:t xml:space="preserve">“</w:t>
      </w:r>
      <w:r>
        <w:t xml:space="preserve">break at the limit</w:t>
      </w:r>
      <w:r>
        <w:t xml:space="preserve">”</w:t>
      </w:r>
      <w:r>
        <w:t xml:space="preserve"> </w:t>
      </w:r>
      <w:r>
        <w:t xml:space="preserve">as a description, and</w:t>
      </w:r>
      <w:r>
        <w:t xml:space="preserve"> </w:t>
      </w:r>
      <w:r>
        <w:t xml:space="preserve">“</w:t>
      </w:r>
      <w:r>
        <w:t xml:space="preserve">delayed price discovery</w:t>
      </w:r>
      <w:r>
        <w:t xml:space="preserve">”</w:t>
      </w:r>
      <w:r>
        <w:t xml:space="preserve"> </w:t>
      </w:r>
      <w:r>
        <w:t xml:space="preserve">as a hypothesis.</w:t>
      </w:r>
    </w:p>
    <w:bookmarkEnd w:id="37"/>
    <w:bookmarkStart w:id="38" w:name="robustness-post-hoc"/>
    <w:p>
      <w:pPr>
        <w:pStyle w:val="Heading2"/>
      </w:pPr>
      <w:r>
        <w:t xml:space="preserve">4.5 Robustness (post hoc)</w:t>
      </w:r>
    </w:p>
    <w:p>
      <w:pPr>
        <w:pStyle w:val="FirstParagraph"/>
      </w:pPr>
      <w:r>
        <w:t xml:space="preserve">Table 6. Next-day abnormal returns (%) by sub-sample, with two-way-clustered t-statistics in parentheses. Market: dollar-volume weights lagged to day t; controls: same-date non-event stocks in the same liquidity tercile; liquidity terciles are cross-sectional terciles of trailing dollar volume on day t. Liquidity-tercile samples do not exhaust the events because the tercile requires a trailing dollar volume.</w:t>
      </w:r>
    </w:p>
    <w:tbl>
      <w:tblPr>
        <w:tblStyle w:val="Table"/>
        <w:tblW w:type="pct" w:w="5000"/>
        <w:tblLook w:firstRow="1" w:lastRow="0" w:firstColumn="0" w:lastColumn="0" w:noHBand="0" w:noVBand="0" w:val="0020"/>
        <w:jc w:val="start"/>
      </w:tblPr>
      <w:tblGrid>
        <w:gridCol w:w="2824"/>
        <w:gridCol w:w="387"/>
        <w:gridCol w:w="775"/>
        <w:gridCol w:w="1052"/>
        <w:gridCol w:w="1384"/>
        <w:gridCol w:w="1495"/>
      </w:tblGrid>
      <w:tr>
        <w:trPr>
          <w:tblHeader w:val="true"/>
        </w:trPr>
        <w:tc>
          <w:tcPr/>
          <w:p>
            <w:pPr>
              <w:pStyle w:val="Compact"/>
              <w:jc w:val="left"/>
            </w:pPr>
            <w:r>
              <w:t xml:space="preserve">Sample</w:t>
            </w:r>
          </w:p>
        </w:tc>
        <w:tc>
          <w:tcPr/>
          <w:p>
            <w:pPr>
              <w:pStyle w:val="Compact"/>
              <w:jc w:val="left"/>
            </w:pPr>
            <w:r>
              <w:t xml:space="preserve">Events</w:t>
            </w:r>
          </w:p>
        </w:tc>
        <w:tc>
          <w:tcPr/>
          <w:p>
            <w:pPr>
              <w:pStyle w:val="Compact"/>
              <w:jc w:val="left"/>
            </w:pPr>
            <w:r>
              <w:t xml:space="preserve">Gap vs market</w:t>
            </w:r>
          </w:p>
        </w:tc>
        <w:tc>
          <w:tcPr/>
          <w:p>
            <w:pPr>
              <w:pStyle w:val="Compact"/>
              <w:jc w:val="left"/>
            </w:pPr>
            <w:r>
              <w:t xml:space="preserve">Intraday vs market</w:t>
            </w:r>
          </w:p>
        </w:tc>
        <w:tc>
          <w:tcPr/>
          <w:p>
            <w:pPr>
              <w:pStyle w:val="Compact"/>
              <w:jc w:val="left"/>
            </w:pPr>
            <w:r>
              <w:t xml:space="preserve">Close-to-close vs market</w:t>
            </w:r>
          </w:p>
        </w:tc>
        <w:tc>
          <w:tcPr/>
          <w:p>
            <w:pPr>
              <w:pStyle w:val="Compact"/>
              <w:jc w:val="left"/>
            </w:pPr>
            <w:r>
              <w:t xml:space="preserve">Close-to-close vs controls</w:t>
            </w:r>
          </w:p>
        </w:tc>
      </w:tr>
      <w:tr>
        <w:tc>
          <w:tcPr/>
          <w:p>
            <w:pPr>
              <w:pStyle w:val="Compact"/>
              <w:jc w:val="left"/>
            </w:pPr>
            <w:r>
              <w:t xml:space="preserve">Ceiling all</w:t>
            </w:r>
          </w:p>
        </w:tc>
        <w:tc>
          <w:tcPr/>
          <w:p>
            <w:pPr>
              <w:pStyle w:val="Compact"/>
              <w:jc w:val="left"/>
            </w:pPr>
            <w:r>
              <w:t xml:space="preserve">3,199</w:t>
            </w:r>
          </w:p>
        </w:tc>
        <w:tc>
          <w:tcPr/>
          <w:p>
            <w:pPr>
              <w:pStyle w:val="Compact"/>
              <w:jc w:val="left"/>
            </w:pPr>
            <w:r>
              <w:t xml:space="preserve">2.24 (9.7)</w:t>
            </w:r>
          </w:p>
        </w:tc>
        <w:tc>
          <w:tcPr/>
          <w:p>
            <w:pPr>
              <w:pStyle w:val="Compact"/>
              <w:jc w:val="left"/>
            </w:pPr>
            <w:r>
              <w:t xml:space="preserve">-0.54 (-3.5)</w:t>
            </w:r>
          </w:p>
        </w:tc>
        <w:tc>
          <w:tcPr/>
          <w:p>
            <w:pPr>
              <w:pStyle w:val="Compact"/>
              <w:jc w:val="left"/>
            </w:pPr>
            <w:r>
              <w:t xml:space="preserve">1.66 (4.8)</w:t>
            </w:r>
          </w:p>
        </w:tc>
        <w:tc>
          <w:tcPr/>
          <w:p>
            <w:pPr>
              <w:pStyle w:val="Compact"/>
              <w:jc w:val="left"/>
            </w:pPr>
            <w:r>
              <w:t xml:space="preserve">2.16 (18.0)</w:t>
            </w:r>
          </w:p>
        </w:tc>
      </w:tr>
      <w:tr>
        <w:tc>
          <w:tcPr/>
          <w:p>
            <w:pPr>
              <w:pStyle w:val="Compact"/>
              <w:jc w:val="left"/>
            </w:pPr>
            <w:r>
              <w:t xml:space="preserve">Ceiling first half (by event date)</w:t>
            </w:r>
          </w:p>
        </w:tc>
        <w:tc>
          <w:tcPr/>
          <w:p>
            <w:pPr>
              <w:pStyle w:val="Compact"/>
              <w:jc w:val="left"/>
            </w:pPr>
            <w:r>
              <w:t xml:space="preserve">1,615</w:t>
            </w:r>
          </w:p>
        </w:tc>
        <w:tc>
          <w:tcPr/>
          <w:p>
            <w:pPr>
              <w:pStyle w:val="Compact"/>
              <w:jc w:val="left"/>
            </w:pPr>
            <w:r>
              <w:t xml:space="preserve">2.24 (5.4)</w:t>
            </w:r>
          </w:p>
        </w:tc>
        <w:tc>
          <w:tcPr/>
          <w:p>
            <w:pPr>
              <w:pStyle w:val="Compact"/>
              <w:jc w:val="left"/>
            </w:pPr>
            <w:r>
              <w:t xml:space="preserve">-0.77 (-3.3)</w:t>
            </w:r>
          </w:p>
        </w:tc>
        <w:tc>
          <w:tcPr/>
          <w:p>
            <w:pPr>
              <w:pStyle w:val="Compact"/>
              <w:jc w:val="left"/>
            </w:pPr>
            <w:r>
              <w:t xml:space="preserve">1.42 (2.3)</w:t>
            </w:r>
          </w:p>
        </w:tc>
        <w:tc>
          <w:tcPr/>
          <w:p>
            <w:pPr>
              <w:pStyle w:val="Compact"/>
              <w:jc w:val="left"/>
            </w:pPr>
            <w:r>
              <w:t xml:space="preserve">2.37 (17.4)</w:t>
            </w:r>
          </w:p>
        </w:tc>
      </w:tr>
      <w:tr>
        <w:tc>
          <w:tcPr/>
          <w:p>
            <w:pPr>
              <w:pStyle w:val="Compact"/>
              <w:jc w:val="left"/>
            </w:pPr>
            <w:r>
              <w:t xml:space="preserve">Ceiling second half (by event date)</w:t>
            </w:r>
          </w:p>
        </w:tc>
        <w:tc>
          <w:tcPr/>
          <w:p>
            <w:pPr>
              <w:pStyle w:val="Compact"/>
              <w:jc w:val="left"/>
            </w:pPr>
            <w:r>
              <w:t xml:space="preserve">1,584</w:t>
            </w:r>
          </w:p>
        </w:tc>
        <w:tc>
          <w:tcPr/>
          <w:p>
            <w:pPr>
              <w:pStyle w:val="Compact"/>
              <w:jc w:val="left"/>
            </w:pPr>
            <w:r>
              <w:t xml:space="preserve">2.25 (13.0)</w:t>
            </w:r>
          </w:p>
        </w:tc>
        <w:tc>
          <w:tcPr/>
          <w:p>
            <w:pPr>
              <w:pStyle w:val="Compact"/>
              <w:jc w:val="left"/>
            </w:pPr>
            <w:r>
              <w:t xml:space="preserve">-0.29 (-2.5)</w:t>
            </w:r>
          </w:p>
        </w:tc>
        <w:tc>
          <w:tcPr/>
          <w:p>
            <w:pPr>
              <w:pStyle w:val="Compact"/>
              <w:jc w:val="left"/>
            </w:pPr>
            <w:r>
              <w:t xml:space="preserve">1.91 (11.3)</w:t>
            </w:r>
          </w:p>
        </w:tc>
        <w:tc>
          <w:tcPr/>
          <w:p>
            <w:pPr>
              <w:pStyle w:val="Compact"/>
              <w:jc w:val="left"/>
            </w:pPr>
            <w:r>
              <w:t xml:space="preserve">1.94 (11.8)</w:t>
            </w:r>
          </w:p>
        </w:tc>
      </w:tr>
      <w:tr>
        <w:tc>
          <w:tcPr/>
          <w:p>
            <w:pPr>
              <w:pStyle w:val="Compact"/>
              <w:jc w:val="left"/>
            </w:pPr>
            <w:r>
              <w:t xml:space="preserve">Ceiling excluding market-crash days (market &lt; -2%)</w:t>
            </w:r>
          </w:p>
        </w:tc>
        <w:tc>
          <w:tcPr/>
          <w:p>
            <w:pPr>
              <w:pStyle w:val="Compact"/>
              <w:jc w:val="left"/>
            </w:pPr>
            <w:r>
              <w:t xml:space="preserve">3,125</w:t>
            </w:r>
          </w:p>
        </w:tc>
        <w:tc>
          <w:tcPr/>
          <w:p>
            <w:pPr>
              <w:pStyle w:val="Compact"/>
              <w:jc w:val="left"/>
            </w:pPr>
            <w:r>
              <w:t xml:space="preserve">2.24 (9.6)</w:t>
            </w:r>
          </w:p>
        </w:tc>
        <w:tc>
          <w:tcPr/>
          <w:p>
            <w:pPr>
              <w:pStyle w:val="Compact"/>
              <w:jc w:val="left"/>
            </w:pPr>
            <w:r>
              <w:t xml:space="preserve">-0.53 (-3.4)</w:t>
            </w:r>
          </w:p>
        </w:tc>
        <w:tc>
          <w:tcPr/>
          <w:p>
            <w:pPr>
              <w:pStyle w:val="Compact"/>
              <w:jc w:val="left"/>
            </w:pPr>
            <w:r>
              <w:t xml:space="preserve">1.67 (4.7)</w:t>
            </w:r>
          </w:p>
        </w:tc>
        <w:tc>
          <w:tcPr/>
          <w:p>
            <w:pPr>
              <w:pStyle w:val="Compact"/>
              <w:jc w:val="left"/>
            </w:pPr>
            <w:r>
              <w:t xml:space="preserve">2.18 (18.2)</w:t>
            </w:r>
          </w:p>
        </w:tc>
      </w:tr>
      <w:tr>
        <w:tc>
          <w:tcPr/>
          <w:p>
            <w:pPr>
              <w:pStyle w:val="Compact"/>
              <w:jc w:val="left"/>
            </w:pPr>
            <w:r>
              <w:t xml:space="preserve">Ceiling locked all day</w:t>
            </w:r>
          </w:p>
        </w:tc>
        <w:tc>
          <w:tcPr/>
          <w:p>
            <w:pPr>
              <w:pStyle w:val="Compact"/>
              <w:jc w:val="left"/>
            </w:pPr>
            <w:r>
              <w:t xml:space="preserve">522</w:t>
            </w:r>
          </w:p>
        </w:tc>
        <w:tc>
          <w:tcPr/>
          <w:p>
            <w:pPr>
              <w:pStyle w:val="Compact"/>
              <w:jc w:val="left"/>
            </w:pPr>
            <w:r>
              <w:t xml:space="preserve">2.91 (3.0)</w:t>
            </w:r>
          </w:p>
        </w:tc>
        <w:tc>
          <w:tcPr/>
          <w:p>
            <w:pPr>
              <w:pStyle w:val="Compact"/>
              <w:jc w:val="left"/>
            </w:pPr>
            <w:r>
              <w:t xml:space="preserve">-1.30 (-5.9)</w:t>
            </w:r>
          </w:p>
        </w:tc>
        <w:tc>
          <w:tcPr/>
          <w:p>
            <w:pPr>
              <w:pStyle w:val="Compact"/>
              <w:jc w:val="left"/>
            </w:pPr>
            <w:r>
              <w:t xml:space="preserve">1.54 (1.4)</w:t>
            </w:r>
          </w:p>
        </w:tc>
        <w:tc>
          <w:tcPr/>
          <w:p>
            <w:pPr>
              <w:pStyle w:val="Compact"/>
              <w:jc w:val="left"/>
            </w:pPr>
            <w:r>
              <w:t xml:space="preserve">3.52 (18.3)</w:t>
            </w:r>
          </w:p>
        </w:tc>
      </w:tr>
      <w:tr>
        <w:tc>
          <w:tcPr/>
          <w:p>
            <w:pPr>
              <w:pStyle w:val="Compact"/>
              <w:jc w:val="left"/>
            </w:pPr>
            <w:r>
              <w:t xml:space="preserve">Ceiling not locked all day</w:t>
            </w:r>
          </w:p>
        </w:tc>
        <w:tc>
          <w:tcPr/>
          <w:p>
            <w:pPr>
              <w:pStyle w:val="Compact"/>
              <w:jc w:val="left"/>
            </w:pPr>
            <w:r>
              <w:t xml:space="preserve">2,677</w:t>
            </w:r>
          </w:p>
        </w:tc>
        <w:tc>
          <w:tcPr/>
          <w:p>
            <w:pPr>
              <w:pStyle w:val="Compact"/>
              <w:jc w:val="left"/>
            </w:pPr>
            <w:r>
              <w:t xml:space="preserve">2.11 (14.2)</w:t>
            </w:r>
          </w:p>
        </w:tc>
        <w:tc>
          <w:tcPr/>
          <w:p>
            <w:pPr>
              <w:pStyle w:val="Compact"/>
              <w:jc w:val="left"/>
            </w:pPr>
            <w:r>
              <w:t xml:space="preserve">-0.39 (-3.6)</w:t>
            </w:r>
          </w:p>
        </w:tc>
        <w:tc>
          <w:tcPr/>
          <w:p>
            <w:pPr>
              <w:pStyle w:val="Compact"/>
              <w:jc w:val="left"/>
            </w:pPr>
            <w:r>
              <w:t xml:space="preserve">1.69 (8.5)</w:t>
            </w:r>
          </w:p>
        </w:tc>
        <w:tc>
          <w:tcPr/>
          <w:p>
            <w:pPr>
              <w:pStyle w:val="Compact"/>
              <w:jc w:val="left"/>
            </w:pPr>
            <w:r>
              <w:t xml:space="preserve">1.90 (16.5)</w:t>
            </w:r>
          </w:p>
        </w:tc>
      </w:tr>
      <w:tr>
        <w:tc>
          <w:tcPr/>
          <w:p>
            <w:pPr>
              <w:pStyle w:val="Compact"/>
              <w:jc w:val="left"/>
            </w:pPr>
            <w:r>
              <w:t xml:space="preserve">Ceiling liquidity tercile 1</w:t>
            </w:r>
          </w:p>
        </w:tc>
        <w:tc>
          <w:tcPr/>
          <w:p>
            <w:pPr>
              <w:pStyle w:val="Compact"/>
              <w:jc w:val="left"/>
            </w:pPr>
            <w:r>
              <w:t xml:space="preserve">832</w:t>
            </w:r>
          </w:p>
        </w:tc>
        <w:tc>
          <w:tcPr/>
          <w:p>
            <w:pPr>
              <w:pStyle w:val="Compact"/>
              <w:jc w:val="left"/>
            </w:pPr>
            <w:r>
              <w:t xml:space="preserve">2.59 (6.9)</w:t>
            </w:r>
          </w:p>
        </w:tc>
        <w:tc>
          <w:tcPr/>
          <w:p>
            <w:pPr>
              <w:pStyle w:val="Compact"/>
              <w:jc w:val="left"/>
            </w:pPr>
            <w:r>
              <w:t xml:space="preserve">-0.55 (-2.1)</w:t>
            </w:r>
          </w:p>
        </w:tc>
        <w:tc>
          <w:tcPr/>
          <w:p>
            <w:pPr>
              <w:pStyle w:val="Compact"/>
              <w:jc w:val="left"/>
            </w:pPr>
            <w:r>
              <w:t xml:space="preserve">1.99 (3.7)</w:t>
            </w:r>
          </w:p>
        </w:tc>
        <w:tc>
          <w:tcPr/>
          <w:p>
            <w:pPr>
              <w:pStyle w:val="Compact"/>
              <w:jc w:val="left"/>
            </w:pPr>
            <w:r>
              <w:t xml:space="preserve">2.49 (11.6)</w:t>
            </w:r>
          </w:p>
        </w:tc>
      </w:tr>
      <w:tr>
        <w:tc>
          <w:tcPr/>
          <w:p>
            <w:pPr>
              <w:pStyle w:val="Compact"/>
              <w:jc w:val="left"/>
            </w:pPr>
            <w:r>
              <w:t xml:space="preserve">Ceiling liquidity tercile 2</w:t>
            </w:r>
          </w:p>
        </w:tc>
        <w:tc>
          <w:tcPr/>
          <w:p>
            <w:pPr>
              <w:pStyle w:val="Compact"/>
              <w:jc w:val="left"/>
            </w:pPr>
            <w:r>
              <w:t xml:space="preserve">1,102</w:t>
            </w:r>
          </w:p>
        </w:tc>
        <w:tc>
          <w:tcPr/>
          <w:p>
            <w:pPr>
              <w:pStyle w:val="Compact"/>
              <w:jc w:val="left"/>
            </w:pPr>
            <w:r>
              <w:t xml:space="preserve">2.77 (11.1)</w:t>
            </w:r>
          </w:p>
        </w:tc>
        <w:tc>
          <w:tcPr/>
          <w:p>
            <w:pPr>
              <w:pStyle w:val="Compact"/>
              <w:jc w:val="left"/>
            </w:pPr>
            <w:r>
              <w:t xml:space="preserve">-0.88 (-3.9)</w:t>
            </w:r>
          </w:p>
        </w:tc>
        <w:tc>
          <w:tcPr/>
          <w:p>
            <w:pPr>
              <w:pStyle w:val="Compact"/>
              <w:jc w:val="left"/>
            </w:pPr>
            <w:r>
              <w:t xml:space="preserve">1.83 (4.2)</w:t>
            </w:r>
          </w:p>
        </w:tc>
        <w:tc>
          <w:tcPr/>
          <w:p>
            <w:pPr>
              <w:pStyle w:val="Compact"/>
              <w:jc w:val="left"/>
            </w:pPr>
            <w:r>
              <w:t xml:space="preserve">2.28 (16.2)</w:t>
            </w:r>
          </w:p>
        </w:tc>
      </w:tr>
      <w:tr>
        <w:tc>
          <w:tcPr/>
          <w:p>
            <w:pPr>
              <w:pStyle w:val="Compact"/>
              <w:jc w:val="left"/>
            </w:pPr>
            <w:r>
              <w:t xml:space="preserve">Ceiling liquidity tercile 3</w:t>
            </w:r>
          </w:p>
        </w:tc>
        <w:tc>
          <w:tcPr/>
          <w:p>
            <w:pPr>
              <w:pStyle w:val="Compact"/>
              <w:jc w:val="left"/>
            </w:pPr>
            <w:r>
              <w:t xml:space="preserve">1,166</w:t>
            </w:r>
          </w:p>
        </w:tc>
        <w:tc>
          <w:tcPr/>
          <w:p>
            <w:pPr>
              <w:pStyle w:val="Compact"/>
              <w:jc w:val="left"/>
            </w:pPr>
            <w:r>
              <w:t xml:space="preserve">1.52 (7.8)</w:t>
            </w:r>
          </w:p>
        </w:tc>
        <w:tc>
          <w:tcPr/>
          <w:p>
            <w:pPr>
              <w:pStyle w:val="Compact"/>
              <w:jc w:val="left"/>
            </w:pPr>
            <w:r>
              <w:t xml:space="preserve">-0.18 (-1.5)</w:t>
            </w:r>
          </w:p>
        </w:tc>
        <w:tc>
          <w:tcPr/>
          <w:p>
            <w:pPr>
              <w:pStyle w:val="Compact"/>
              <w:jc w:val="left"/>
            </w:pPr>
            <w:r>
              <w:t xml:space="preserve">1.32 (5.8)</w:t>
            </w:r>
          </w:p>
        </w:tc>
        <w:tc>
          <w:tcPr/>
          <w:p>
            <w:pPr>
              <w:pStyle w:val="Compact"/>
              <w:jc w:val="left"/>
            </w:pPr>
            <w:r>
              <w:t xml:space="preserve">1.82 (7.2)</w:t>
            </w:r>
          </w:p>
        </w:tc>
      </w:tr>
      <w:tr>
        <w:tc>
          <w:tcPr/>
          <w:p>
            <w:pPr>
              <w:pStyle w:val="Compact"/>
              <w:jc w:val="left"/>
            </w:pPr>
            <w:r>
              <w:t xml:space="preserve">Floor all</w:t>
            </w:r>
          </w:p>
        </w:tc>
        <w:tc>
          <w:tcPr/>
          <w:p>
            <w:pPr>
              <w:pStyle w:val="Compact"/>
              <w:jc w:val="left"/>
            </w:pPr>
            <w:r>
              <w:t xml:space="preserve">2,111</w:t>
            </w:r>
          </w:p>
        </w:tc>
        <w:tc>
          <w:tcPr/>
          <w:p>
            <w:pPr>
              <w:pStyle w:val="Compact"/>
              <w:jc w:val="left"/>
            </w:pPr>
            <w:r>
              <w:t xml:space="preserve">-0.97 (-4.6)</w:t>
            </w:r>
          </w:p>
        </w:tc>
        <w:tc>
          <w:tcPr/>
          <w:p>
            <w:pPr>
              <w:pStyle w:val="Compact"/>
              <w:jc w:val="left"/>
            </w:pPr>
            <w:r>
              <w:t xml:space="preserve">0.30 (1.4)</w:t>
            </w:r>
          </w:p>
        </w:tc>
        <w:tc>
          <w:tcPr/>
          <w:p>
            <w:pPr>
              <w:pStyle w:val="Compact"/>
              <w:jc w:val="left"/>
            </w:pPr>
            <w:r>
              <w:t xml:space="preserve">-0.69 (-4.8)</w:t>
            </w:r>
          </w:p>
        </w:tc>
        <w:tc>
          <w:tcPr/>
          <w:p>
            <w:pPr>
              <w:pStyle w:val="Compact"/>
              <w:jc w:val="left"/>
            </w:pPr>
            <w:r>
              <w:t xml:space="preserve">-1.65 (-3.4)</w:t>
            </w:r>
          </w:p>
        </w:tc>
      </w:tr>
      <w:tr>
        <w:tc>
          <w:tcPr/>
          <w:p>
            <w:pPr>
              <w:pStyle w:val="Compact"/>
              <w:jc w:val="left"/>
            </w:pPr>
            <w:r>
              <w:t xml:space="preserve">Floor first half (by event date)</w:t>
            </w:r>
          </w:p>
        </w:tc>
        <w:tc>
          <w:tcPr/>
          <w:p>
            <w:pPr>
              <w:pStyle w:val="Compact"/>
              <w:jc w:val="left"/>
            </w:pPr>
            <w:r>
              <w:t xml:space="preserve">1,059</w:t>
            </w:r>
          </w:p>
        </w:tc>
        <w:tc>
          <w:tcPr/>
          <w:p>
            <w:pPr>
              <w:pStyle w:val="Compact"/>
              <w:jc w:val="left"/>
            </w:pPr>
            <w:r>
              <w:t xml:space="preserve">-0.55 (-2.4)</w:t>
            </w:r>
          </w:p>
        </w:tc>
        <w:tc>
          <w:tcPr/>
          <w:p>
            <w:pPr>
              <w:pStyle w:val="Compact"/>
              <w:jc w:val="left"/>
            </w:pPr>
            <w:r>
              <w:t xml:space="preserve">-0.09 (-0.3)</w:t>
            </w:r>
          </w:p>
        </w:tc>
        <w:tc>
          <w:tcPr/>
          <w:p>
            <w:pPr>
              <w:pStyle w:val="Compact"/>
              <w:jc w:val="left"/>
            </w:pPr>
            <w:r>
              <w:t xml:space="preserve">-0.63 (-2.9)</w:t>
            </w:r>
          </w:p>
        </w:tc>
        <w:tc>
          <w:tcPr/>
          <w:p>
            <w:pPr>
              <w:pStyle w:val="Compact"/>
              <w:jc w:val="left"/>
            </w:pPr>
            <w:r>
              <w:t xml:space="preserve">-2.32 (-3.0)</w:t>
            </w:r>
          </w:p>
        </w:tc>
      </w:tr>
      <w:tr>
        <w:tc>
          <w:tcPr/>
          <w:p>
            <w:pPr>
              <w:pStyle w:val="Compact"/>
              <w:jc w:val="left"/>
            </w:pPr>
            <w:r>
              <w:t xml:space="preserve">Floor second half (by event date)</w:t>
            </w:r>
          </w:p>
        </w:tc>
        <w:tc>
          <w:tcPr/>
          <w:p>
            <w:pPr>
              <w:pStyle w:val="Compact"/>
              <w:jc w:val="left"/>
            </w:pPr>
            <w:r>
              <w:t xml:space="preserve">1,052</w:t>
            </w:r>
          </w:p>
        </w:tc>
        <w:tc>
          <w:tcPr/>
          <w:p>
            <w:pPr>
              <w:pStyle w:val="Compact"/>
              <w:jc w:val="left"/>
            </w:pPr>
            <w:r>
              <w:t xml:space="preserve">-1.40 (-6.5)</w:t>
            </w:r>
          </w:p>
        </w:tc>
        <w:tc>
          <w:tcPr/>
          <w:p>
            <w:pPr>
              <w:pStyle w:val="Compact"/>
              <w:jc w:val="left"/>
            </w:pPr>
            <w:r>
              <w:t xml:space="preserve">0.70 (4.9)</w:t>
            </w:r>
          </w:p>
        </w:tc>
        <w:tc>
          <w:tcPr/>
          <w:p>
            <w:pPr>
              <w:pStyle w:val="Compact"/>
              <w:jc w:val="left"/>
            </w:pPr>
            <w:r>
              <w:t xml:space="preserve">-0.75 (-4.3)</w:t>
            </w:r>
          </w:p>
        </w:tc>
        <w:tc>
          <w:tcPr/>
          <w:p>
            <w:pPr>
              <w:pStyle w:val="Compact"/>
              <w:jc w:val="left"/>
            </w:pPr>
            <w:r>
              <w:t xml:space="preserve">-0.95 (-4.5)</w:t>
            </w:r>
          </w:p>
        </w:tc>
      </w:tr>
      <w:tr>
        <w:tc>
          <w:tcPr/>
          <w:p>
            <w:pPr>
              <w:pStyle w:val="Compact"/>
              <w:jc w:val="left"/>
            </w:pPr>
            <w:r>
              <w:t xml:space="preserve">Floor excluding market-crash days (market &lt; -2%)</w:t>
            </w:r>
          </w:p>
        </w:tc>
        <w:tc>
          <w:tcPr/>
          <w:p>
            <w:pPr>
              <w:pStyle w:val="Compact"/>
              <w:jc w:val="left"/>
            </w:pPr>
            <w:r>
              <w:t xml:space="preserve">740</w:t>
            </w:r>
          </w:p>
        </w:tc>
        <w:tc>
          <w:tcPr/>
          <w:p>
            <w:pPr>
              <w:pStyle w:val="Compact"/>
              <w:jc w:val="left"/>
            </w:pPr>
            <w:r>
              <w:t xml:space="preserve">-1.83 (-8.7)</w:t>
            </w:r>
          </w:p>
        </w:tc>
        <w:tc>
          <w:tcPr/>
          <w:p>
            <w:pPr>
              <w:pStyle w:val="Compact"/>
              <w:jc w:val="left"/>
            </w:pPr>
            <w:r>
              <w:t xml:space="preserve">0.90 (5.3)</w:t>
            </w:r>
          </w:p>
        </w:tc>
        <w:tc>
          <w:tcPr/>
          <w:p>
            <w:pPr>
              <w:pStyle w:val="Compact"/>
              <w:jc w:val="left"/>
            </w:pPr>
            <w:r>
              <w:t xml:space="preserve">-0.99 (-4.5)</w:t>
            </w:r>
          </w:p>
        </w:tc>
        <w:tc>
          <w:tcPr/>
          <w:p>
            <w:pPr>
              <w:pStyle w:val="Compact"/>
              <w:jc w:val="left"/>
            </w:pPr>
            <w:r>
              <w:t xml:space="preserve">-0.98 (-4.3)</w:t>
            </w:r>
          </w:p>
        </w:tc>
      </w:tr>
      <w:tr>
        <w:tc>
          <w:tcPr/>
          <w:p>
            <w:pPr>
              <w:pStyle w:val="Compact"/>
              <w:jc w:val="left"/>
            </w:pPr>
            <w:r>
              <w:t xml:space="preserve">Floor locked all day</w:t>
            </w:r>
          </w:p>
        </w:tc>
        <w:tc>
          <w:tcPr/>
          <w:p>
            <w:pPr>
              <w:pStyle w:val="Compact"/>
              <w:jc w:val="left"/>
            </w:pPr>
            <w:r>
              <w:t xml:space="preserve">260</w:t>
            </w:r>
          </w:p>
        </w:tc>
        <w:tc>
          <w:tcPr/>
          <w:p>
            <w:pPr>
              <w:pStyle w:val="Compact"/>
              <w:jc w:val="left"/>
            </w:pPr>
            <w:r>
              <w:t xml:space="preserve">-2.50 (-4.8)</w:t>
            </w:r>
          </w:p>
        </w:tc>
        <w:tc>
          <w:tcPr/>
          <w:p>
            <w:pPr>
              <w:pStyle w:val="Compact"/>
              <w:jc w:val="left"/>
            </w:pPr>
            <w:r>
              <w:t xml:space="preserve">1.11 (2.4)</w:t>
            </w:r>
          </w:p>
        </w:tc>
        <w:tc>
          <w:tcPr/>
          <w:p>
            <w:pPr>
              <w:pStyle w:val="Compact"/>
              <w:jc w:val="left"/>
            </w:pPr>
            <w:r>
              <w:t xml:space="preserve">-1.44 (-3.4)</w:t>
            </w:r>
          </w:p>
        </w:tc>
        <w:tc>
          <w:tcPr/>
          <w:p>
            <w:pPr>
              <w:pStyle w:val="Compact"/>
              <w:jc w:val="left"/>
            </w:pPr>
            <w:r>
              <w:t xml:space="preserve">-2.18 (-2.7)</w:t>
            </w:r>
          </w:p>
        </w:tc>
      </w:tr>
      <w:tr>
        <w:tc>
          <w:tcPr/>
          <w:p>
            <w:pPr>
              <w:pStyle w:val="Compact"/>
              <w:jc w:val="left"/>
            </w:pPr>
            <w:r>
              <w:t xml:space="preserve">Floor not locked all day</w:t>
            </w:r>
          </w:p>
        </w:tc>
        <w:tc>
          <w:tcPr/>
          <w:p>
            <w:pPr>
              <w:pStyle w:val="Compact"/>
              <w:jc w:val="left"/>
            </w:pPr>
            <w:r>
              <w:t xml:space="preserve">1,851</w:t>
            </w:r>
          </w:p>
        </w:tc>
        <w:tc>
          <w:tcPr/>
          <w:p>
            <w:pPr>
              <w:pStyle w:val="Compact"/>
              <w:jc w:val="left"/>
            </w:pPr>
            <w:r>
              <w:t xml:space="preserve">-0.76 (-4.1)</w:t>
            </w:r>
          </w:p>
        </w:tc>
        <w:tc>
          <w:tcPr/>
          <w:p>
            <w:pPr>
              <w:pStyle w:val="Compact"/>
              <w:jc w:val="left"/>
            </w:pPr>
            <w:r>
              <w:t xml:space="preserve">0.19 (0.9)</w:t>
            </w:r>
          </w:p>
        </w:tc>
        <w:tc>
          <w:tcPr/>
          <w:p>
            <w:pPr>
              <w:pStyle w:val="Compact"/>
              <w:jc w:val="left"/>
            </w:pPr>
            <w:r>
              <w:t xml:space="preserve">-0.59 (-3.9)</w:t>
            </w:r>
          </w:p>
        </w:tc>
        <w:tc>
          <w:tcPr/>
          <w:p>
            <w:pPr>
              <w:pStyle w:val="Compact"/>
              <w:jc w:val="left"/>
            </w:pPr>
            <w:r>
              <w:t xml:space="preserve">-1.58 (-3.4)</w:t>
            </w:r>
          </w:p>
        </w:tc>
      </w:tr>
      <w:tr>
        <w:tc>
          <w:tcPr/>
          <w:p>
            <w:pPr>
              <w:pStyle w:val="Compact"/>
              <w:jc w:val="left"/>
            </w:pPr>
            <w:r>
              <w:t xml:space="preserve">Floor liquidity tercile 1</w:t>
            </w:r>
          </w:p>
        </w:tc>
        <w:tc>
          <w:tcPr/>
          <w:p>
            <w:pPr>
              <w:pStyle w:val="Compact"/>
              <w:jc w:val="left"/>
            </w:pPr>
            <w:r>
              <w:t xml:space="preserve">469</w:t>
            </w:r>
          </w:p>
        </w:tc>
        <w:tc>
          <w:tcPr/>
          <w:p>
            <w:pPr>
              <w:pStyle w:val="Compact"/>
              <w:jc w:val="left"/>
            </w:pPr>
            <w:r>
              <w:t xml:space="preserve">-0.32 (-1.0)</w:t>
            </w:r>
          </w:p>
        </w:tc>
        <w:tc>
          <w:tcPr/>
          <w:p>
            <w:pPr>
              <w:pStyle w:val="Compact"/>
              <w:jc w:val="left"/>
            </w:pPr>
            <w:r>
              <w:t xml:space="preserve">0.42 (1.7)</w:t>
            </w:r>
          </w:p>
        </w:tc>
        <w:tc>
          <w:tcPr/>
          <w:p>
            <w:pPr>
              <w:pStyle w:val="Compact"/>
              <w:jc w:val="left"/>
            </w:pPr>
            <w:r>
              <w:t xml:space="preserve">0.06 (0.2)</w:t>
            </w:r>
          </w:p>
        </w:tc>
        <w:tc>
          <w:tcPr/>
          <w:p>
            <w:pPr>
              <w:pStyle w:val="Compact"/>
              <w:jc w:val="left"/>
            </w:pPr>
            <w:r>
              <w:t xml:space="preserve">-0.56 (-1.8)</w:t>
            </w:r>
          </w:p>
        </w:tc>
      </w:tr>
      <w:tr>
        <w:tc>
          <w:tcPr/>
          <w:p>
            <w:pPr>
              <w:pStyle w:val="Compact"/>
              <w:jc w:val="left"/>
            </w:pPr>
            <w:r>
              <w:t xml:space="preserve">Floor liquidity tercile 2</w:t>
            </w:r>
          </w:p>
        </w:tc>
        <w:tc>
          <w:tcPr/>
          <w:p>
            <w:pPr>
              <w:pStyle w:val="Compact"/>
              <w:jc w:val="left"/>
            </w:pPr>
            <w:r>
              <w:t xml:space="preserve">685</w:t>
            </w:r>
          </w:p>
        </w:tc>
        <w:tc>
          <w:tcPr/>
          <w:p>
            <w:pPr>
              <w:pStyle w:val="Compact"/>
              <w:jc w:val="left"/>
            </w:pPr>
            <w:r>
              <w:t xml:space="preserve">-1.44 (-4.4)</w:t>
            </w:r>
          </w:p>
        </w:tc>
        <w:tc>
          <w:tcPr/>
          <w:p>
            <w:pPr>
              <w:pStyle w:val="Compact"/>
              <w:jc w:val="left"/>
            </w:pPr>
            <w:r>
              <w:t xml:space="preserve">0.29 (0.9)</w:t>
            </w:r>
          </w:p>
        </w:tc>
        <w:tc>
          <w:tcPr/>
          <w:p>
            <w:pPr>
              <w:pStyle w:val="Compact"/>
              <w:jc w:val="left"/>
            </w:pPr>
            <w:r>
              <w:t xml:space="preserve">-1.17 (-5.0)</w:t>
            </w:r>
          </w:p>
        </w:tc>
        <w:tc>
          <w:tcPr/>
          <w:p>
            <w:pPr>
              <w:pStyle w:val="Compact"/>
              <w:jc w:val="left"/>
            </w:pPr>
            <w:r>
              <w:t xml:space="preserve">-2.24 (-4.1)</w:t>
            </w:r>
          </w:p>
        </w:tc>
      </w:tr>
      <w:tr>
        <w:tc>
          <w:tcPr/>
          <w:p>
            <w:pPr>
              <w:pStyle w:val="Compact"/>
              <w:jc w:val="left"/>
            </w:pPr>
            <w:r>
              <w:t xml:space="preserve">Floor liquidity tercile 3</w:t>
            </w:r>
          </w:p>
        </w:tc>
        <w:tc>
          <w:tcPr/>
          <w:p>
            <w:pPr>
              <w:pStyle w:val="Compact"/>
              <w:jc w:val="left"/>
            </w:pPr>
            <w:r>
              <w:t xml:space="preserve">893</w:t>
            </w:r>
          </w:p>
        </w:tc>
        <w:tc>
          <w:tcPr/>
          <w:p>
            <w:pPr>
              <w:pStyle w:val="Compact"/>
              <w:jc w:val="left"/>
            </w:pPr>
            <w:r>
              <w:t xml:space="preserve">-0.91 (-5.2)</w:t>
            </w:r>
          </w:p>
        </w:tc>
        <w:tc>
          <w:tcPr/>
          <w:p>
            <w:pPr>
              <w:pStyle w:val="Compact"/>
              <w:jc w:val="left"/>
            </w:pPr>
            <w:r>
              <w:t xml:space="preserve">0.18 (0.9)</w:t>
            </w:r>
          </w:p>
        </w:tc>
        <w:tc>
          <w:tcPr/>
          <w:p>
            <w:pPr>
              <w:pStyle w:val="Compact"/>
              <w:jc w:val="left"/>
            </w:pPr>
            <w:r>
              <w:t xml:space="preserve">-0.74 (-5.1)</w:t>
            </w:r>
          </w:p>
        </w:tc>
        <w:tc>
          <w:tcPr/>
          <w:p>
            <w:pPr>
              <w:pStyle w:val="Compact"/>
              <w:jc w:val="left"/>
            </w:pPr>
            <w:r>
              <w:t xml:space="preserve">-1.77 (-3.1)</w:t>
            </w:r>
          </w:p>
        </w:tc>
      </w:tr>
    </w:tbl>
    <w:p>
      <w:pPr>
        <w:pStyle w:val="BodyText"/>
      </w:pPr>
      <w:r>
        <w:t xml:space="preserve">The pattern is not driven by one part of the sample (Table 6). It appears in both halves of the event dates, in each liquidity tercile for ceilings, and on days when the stock was locked at one price from open to close, which is the case in which unfilled interest is most plausible. The overnight gap on locked ceiling days (2.91%) is larger than on other ceiling days (2.11%), and the intraday giveback is also larger on locked days (-1.30% against -0.39%). Using same-date, same-liquidity non-event stocks as the control instead of the market raises the close-to-close ceiling effect from 1.66% to 2.16% and the floor effect from -0.69% to -1.65%, so the benchmark matters for the size of the floor effect in particular. The estimates are heterogeneous: the ceiling gap is smaller in the most liquid tercile (1.52%) than in the other two; floor events are concentrated on market-wide down days (excluding days on which the market fell more than 2% leaves only 740 of 2,111 floor events, with a larger gap of -1.83%), and the floor gap is not significant in the least liquid tercile (t = -1.0).</w:t>
      </w:r>
    </w:p>
    <w:bookmarkEnd w:id="38"/>
    <w:bookmarkStart w:id="39" w:name="what-can-an-investor-do-with-it"/>
    <w:p>
      <w:pPr>
        <w:pStyle w:val="Heading2"/>
      </w:pPr>
      <w:r>
        <w:t xml:space="preserve">4.6 What can an investor do with it?</w:t>
      </w:r>
    </w:p>
    <w:p>
      <w:pPr>
        <w:pStyle w:val="FirstParagraph"/>
      </w:pPr>
      <w:r>
        <w:t xml:space="preserve">The close-to-close continuation is not available to an outside buyer. A stock that closes at its ceiling typically cannot be bought at that close, so the first price at which it can be bought is the next open, which already contains the gap. Measured from that open, the abnormal return of ceiling stocks is -0.54% within the day (two-way-clustered t = -3.5) and -0.75% through the fifth close (t = -2.7); against same-date liquidity-matched controls the corresponding figures are -0.50% (t = -6.0) and -0.53% (t = -1.8). Table 6b collects these figures. A long-only investor therefore gains nothing from chasing ceiling stocks at the quoted open, and a holder of a ceiling stock who sells at the next open instead of at the close avoids an average intraday giveback of about 0.54 percentage points. These figures are measured at the quoted open: in an opening call auction a buyer may be rationed or unable to trade when the stock opens again at the limit (522 of the ceiling events were locked at one price all day on day</w:t>
      </w:r>
      <w:r>
        <w:t xml:space="preserve"> </w:t>
      </w:r>
      <m:oMath>
        <m:r>
          <m:t>t</m:t>
        </m:r>
      </m:oMath>
      <w:r>
        <w:t xml:space="preserve">, and some of these open again at the limit), so they describe prices, not achievable fills. Short selling the intraday reversal is not feasible in this market without borrowing. Trading costs would further reduce any intraday strategy; the only cost proxy we have comes from 21 large banks in the same data (a Corwin–Schultz spread of about 59 basis points on average, an upward-biased estimator) and is not necessarily representative of the stocks that experience limit events.</w:t>
      </w:r>
    </w:p>
    <w:p>
      <w:pPr>
        <w:pStyle w:val="BodyText"/>
      </w:pPr>
      <w:r>
        <w:t xml:space="preserve">Table 6b. Returns available from the next open (post hoc). Market: dollar-volume weights lagged to day t; controls: same-date non-event stocks in the same liquidity tercile. Prices are quoted opens and closes, not achievable fills.</w:t>
      </w:r>
    </w:p>
    <w:tbl>
      <w:tblPr>
        <w:tblStyle w:val="Table"/>
        <w:tblW w:type="pct" w:w="5000"/>
        <w:tblLook w:firstRow="1" w:lastRow="0" w:firstColumn="0" w:lastColumn="0" w:noHBand="0" w:noVBand="0" w:val="0020"/>
        <w:jc w:val="start"/>
      </w:tblPr>
      <w:tblGrid>
        <w:gridCol w:w="918"/>
        <w:gridCol w:w="3787"/>
        <w:gridCol w:w="1033"/>
        <w:gridCol w:w="1377"/>
        <w:gridCol w:w="803"/>
      </w:tblGrid>
      <w:tr>
        <w:trPr>
          <w:tblHeader w:val="true"/>
        </w:trPr>
        <w:tc>
          <w:tcPr/>
          <w:p>
            <w:pPr>
              <w:pStyle w:val="Compact"/>
              <w:jc w:val="left"/>
            </w:pPr>
            <w:r>
              <w:t xml:space="preserve">Event</w:t>
            </w:r>
          </w:p>
        </w:tc>
        <w:tc>
          <w:tcPr/>
          <w:p>
            <w:pPr>
              <w:pStyle w:val="Compact"/>
              <w:jc w:val="left"/>
            </w:pPr>
            <w:r>
              <w:t xml:space="preserve">Outcome</w:t>
            </w:r>
          </w:p>
        </w:tc>
        <w:tc>
          <w:tcPr/>
          <w:p>
            <w:pPr>
              <w:pStyle w:val="Compact"/>
              <w:jc w:val="left"/>
            </w:pPr>
            <w:r>
              <w:t xml:space="preserve">Mean (%)</w:t>
            </w:r>
          </w:p>
        </w:tc>
        <w:tc>
          <w:tcPr/>
          <w:p>
            <w:pPr>
              <w:pStyle w:val="Compact"/>
              <w:jc w:val="left"/>
            </w:pPr>
            <w:r>
              <w:t xml:space="preserve">t (two-way)</w:t>
            </w:r>
          </w:p>
        </w:tc>
        <w:tc>
          <w:tcPr/>
          <w:p>
            <w:pPr>
              <w:pStyle w:val="Compact"/>
              <w:jc w:val="left"/>
            </w:pPr>
            <w:r>
              <w:t xml:space="preserve">Events</w:t>
            </w:r>
          </w:p>
        </w:tc>
      </w:tr>
      <w:tr>
        <w:tc>
          <w:tcPr/>
          <w:p>
            <w:pPr>
              <w:pStyle w:val="Compact"/>
              <w:jc w:val="left"/>
            </w:pPr>
            <w:r>
              <w:t xml:space="preserve">Ceiling</w:t>
            </w:r>
          </w:p>
        </w:tc>
        <w:tc>
          <w:tcPr/>
          <w:p>
            <w:pPr>
              <w:pStyle w:val="Compact"/>
              <w:jc w:val="left"/>
            </w:pPr>
            <w:r>
              <w:t xml:space="preserve">Open to close, vs market</w:t>
            </w:r>
          </w:p>
        </w:tc>
        <w:tc>
          <w:tcPr/>
          <w:p>
            <w:pPr>
              <w:pStyle w:val="Compact"/>
              <w:jc w:val="left"/>
            </w:pPr>
            <w:r>
              <w:t xml:space="preserve">-0.54</w:t>
            </w:r>
          </w:p>
        </w:tc>
        <w:tc>
          <w:tcPr/>
          <w:p>
            <w:pPr>
              <w:pStyle w:val="Compact"/>
              <w:jc w:val="left"/>
            </w:pPr>
            <w:r>
              <w:t xml:space="preserve">-3.5</w:t>
            </w:r>
          </w:p>
        </w:tc>
        <w:tc>
          <w:tcPr/>
          <w:p>
            <w:pPr>
              <w:pStyle w:val="Compact"/>
              <w:jc w:val="left"/>
            </w:pPr>
            <w:r>
              <w:t xml:space="preserve">3,199</w:t>
            </w:r>
          </w:p>
        </w:tc>
      </w:tr>
      <w:tr>
        <w:tc>
          <w:tcPr/>
          <w:p>
            <w:pPr>
              <w:pStyle w:val="Compact"/>
              <w:jc w:val="left"/>
            </w:pPr>
            <w:r>
              <w:t xml:space="preserve">Ceiling</w:t>
            </w:r>
          </w:p>
        </w:tc>
        <w:tc>
          <w:tcPr/>
          <w:p>
            <w:pPr>
              <w:pStyle w:val="Compact"/>
              <w:jc w:val="left"/>
            </w:pPr>
            <w:r>
              <w:t xml:space="preserve">Open to close, vs controls</w:t>
            </w:r>
          </w:p>
        </w:tc>
        <w:tc>
          <w:tcPr/>
          <w:p>
            <w:pPr>
              <w:pStyle w:val="Compact"/>
              <w:jc w:val="left"/>
            </w:pPr>
            <w:r>
              <w:t xml:space="preserve">-0.50</w:t>
            </w:r>
          </w:p>
        </w:tc>
        <w:tc>
          <w:tcPr/>
          <w:p>
            <w:pPr>
              <w:pStyle w:val="Compact"/>
              <w:jc w:val="left"/>
            </w:pPr>
            <w:r>
              <w:t xml:space="preserve">-6.0</w:t>
            </w:r>
          </w:p>
        </w:tc>
        <w:tc>
          <w:tcPr/>
          <w:p>
            <w:pPr>
              <w:pStyle w:val="Compact"/>
              <w:jc w:val="left"/>
            </w:pPr>
            <w:r>
              <w:t xml:space="preserve">3,100</w:t>
            </w:r>
          </w:p>
        </w:tc>
      </w:tr>
      <w:tr>
        <w:tc>
          <w:tcPr/>
          <w:p>
            <w:pPr>
              <w:pStyle w:val="Compact"/>
              <w:jc w:val="left"/>
            </w:pPr>
            <w:r>
              <w:t xml:space="preserve">Ceiling</w:t>
            </w:r>
          </w:p>
        </w:tc>
        <w:tc>
          <w:tcPr/>
          <w:p>
            <w:pPr>
              <w:pStyle w:val="Compact"/>
              <w:jc w:val="left"/>
            </w:pPr>
            <w:r>
              <w:t xml:space="preserve">Open to day-5 close, vs market</w:t>
            </w:r>
          </w:p>
        </w:tc>
        <w:tc>
          <w:tcPr/>
          <w:p>
            <w:pPr>
              <w:pStyle w:val="Compact"/>
              <w:jc w:val="left"/>
            </w:pPr>
            <w:r>
              <w:t xml:space="preserve">-0.75</w:t>
            </w:r>
          </w:p>
        </w:tc>
        <w:tc>
          <w:tcPr/>
          <w:p>
            <w:pPr>
              <w:pStyle w:val="Compact"/>
              <w:jc w:val="left"/>
            </w:pPr>
            <w:r>
              <w:t xml:space="preserve">-2.7</w:t>
            </w:r>
          </w:p>
        </w:tc>
        <w:tc>
          <w:tcPr/>
          <w:p>
            <w:pPr>
              <w:pStyle w:val="Compact"/>
              <w:jc w:val="left"/>
            </w:pPr>
            <w:r>
              <w:t xml:space="preserve">3,193</w:t>
            </w:r>
          </w:p>
        </w:tc>
      </w:tr>
      <w:tr>
        <w:tc>
          <w:tcPr/>
          <w:p>
            <w:pPr>
              <w:pStyle w:val="Compact"/>
              <w:jc w:val="left"/>
            </w:pPr>
            <w:r>
              <w:t xml:space="preserve">Ceiling</w:t>
            </w:r>
          </w:p>
        </w:tc>
        <w:tc>
          <w:tcPr/>
          <w:p>
            <w:pPr>
              <w:pStyle w:val="Compact"/>
              <w:jc w:val="left"/>
            </w:pPr>
            <w:r>
              <w:t xml:space="preserve">Open to day-5 close, vs controls</w:t>
            </w:r>
          </w:p>
        </w:tc>
        <w:tc>
          <w:tcPr/>
          <w:p>
            <w:pPr>
              <w:pStyle w:val="Compact"/>
              <w:jc w:val="left"/>
            </w:pPr>
            <w:r>
              <w:t xml:space="preserve">-0.53</w:t>
            </w:r>
          </w:p>
        </w:tc>
        <w:tc>
          <w:tcPr/>
          <w:p>
            <w:pPr>
              <w:pStyle w:val="Compact"/>
              <w:jc w:val="left"/>
            </w:pPr>
            <w:r>
              <w:t xml:space="preserve">-1.8</w:t>
            </w:r>
          </w:p>
        </w:tc>
        <w:tc>
          <w:tcPr/>
          <w:p>
            <w:pPr>
              <w:pStyle w:val="Compact"/>
              <w:jc w:val="left"/>
            </w:pPr>
            <w:r>
              <w:t xml:space="preserve">3,099</w:t>
            </w:r>
          </w:p>
        </w:tc>
      </w:tr>
      <w:tr>
        <w:tc>
          <w:tcPr/>
          <w:p>
            <w:pPr>
              <w:pStyle w:val="Compact"/>
              <w:jc w:val="left"/>
            </w:pPr>
            <w:r>
              <w:t xml:space="preserve">Floor</w:t>
            </w:r>
          </w:p>
        </w:tc>
        <w:tc>
          <w:tcPr/>
          <w:p>
            <w:pPr>
              <w:pStyle w:val="Compact"/>
              <w:jc w:val="left"/>
            </w:pPr>
            <w:r>
              <w:t xml:space="preserve">Open to close, vs market</w:t>
            </w:r>
          </w:p>
        </w:tc>
        <w:tc>
          <w:tcPr/>
          <w:p>
            <w:pPr>
              <w:pStyle w:val="Compact"/>
              <w:jc w:val="left"/>
            </w:pPr>
            <w:r>
              <w:t xml:space="preserve">0.30</w:t>
            </w:r>
          </w:p>
        </w:tc>
        <w:tc>
          <w:tcPr/>
          <w:p>
            <w:pPr>
              <w:pStyle w:val="Compact"/>
              <w:jc w:val="left"/>
            </w:pPr>
            <w:r>
              <w:t xml:space="preserve">1.4</w:t>
            </w:r>
          </w:p>
        </w:tc>
        <w:tc>
          <w:tcPr/>
          <w:p>
            <w:pPr>
              <w:pStyle w:val="Compact"/>
              <w:jc w:val="left"/>
            </w:pPr>
            <w:r>
              <w:t xml:space="preserve">2,111</w:t>
            </w:r>
          </w:p>
        </w:tc>
      </w:tr>
      <w:tr>
        <w:tc>
          <w:tcPr/>
          <w:p>
            <w:pPr>
              <w:pStyle w:val="Compact"/>
              <w:jc w:val="left"/>
            </w:pPr>
            <w:r>
              <w:t xml:space="preserve">Floor</w:t>
            </w:r>
          </w:p>
        </w:tc>
        <w:tc>
          <w:tcPr/>
          <w:p>
            <w:pPr>
              <w:pStyle w:val="Compact"/>
              <w:jc w:val="left"/>
            </w:pPr>
            <w:r>
              <w:t xml:space="preserve">Open to close, vs controls</w:t>
            </w:r>
          </w:p>
        </w:tc>
        <w:tc>
          <w:tcPr/>
          <w:p>
            <w:pPr>
              <w:pStyle w:val="Compact"/>
              <w:jc w:val="left"/>
            </w:pPr>
            <w:r>
              <w:t xml:space="preserve">0.14</w:t>
            </w:r>
          </w:p>
        </w:tc>
        <w:tc>
          <w:tcPr/>
          <w:p>
            <w:pPr>
              <w:pStyle w:val="Compact"/>
              <w:jc w:val="left"/>
            </w:pPr>
            <w:r>
              <w:t xml:space="preserve">0.6</w:t>
            </w:r>
          </w:p>
        </w:tc>
        <w:tc>
          <w:tcPr/>
          <w:p>
            <w:pPr>
              <w:pStyle w:val="Compact"/>
              <w:jc w:val="left"/>
            </w:pPr>
            <w:r>
              <w:t xml:space="preserve">2,047</w:t>
            </w:r>
          </w:p>
        </w:tc>
      </w:tr>
      <w:tr>
        <w:tc>
          <w:tcPr/>
          <w:p>
            <w:pPr>
              <w:pStyle w:val="Compact"/>
              <w:jc w:val="left"/>
            </w:pPr>
            <w:r>
              <w:t xml:space="preserve">Floor</w:t>
            </w:r>
          </w:p>
        </w:tc>
        <w:tc>
          <w:tcPr/>
          <w:p>
            <w:pPr>
              <w:pStyle w:val="Compact"/>
              <w:jc w:val="left"/>
            </w:pPr>
            <w:r>
              <w:t xml:space="preserve">Open to day-5 close, vs market</w:t>
            </w:r>
          </w:p>
        </w:tc>
        <w:tc>
          <w:tcPr/>
          <w:p>
            <w:pPr>
              <w:pStyle w:val="Compact"/>
              <w:jc w:val="left"/>
            </w:pPr>
            <w:r>
              <w:t xml:space="preserve">-0.82</w:t>
            </w:r>
          </w:p>
        </w:tc>
        <w:tc>
          <w:tcPr/>
          <w:p>
            <w:pPr>
              <w:pStyle w:val="Compact"/>
              <w:jc w:val="left"/>
            </w:pPr>
            <w:r>
              <w:t xml:space="preserve">-1.7</w:t>
            </w:r>
          </w:p>
        </w:tc>
        <w:tc>
          <w:tcPr/>
          <w:p>
            <w:pPr>
              <w:pStyle w:val="Compact"/>
              <w:jc w:val="left"/>
            </w:pPr>
            <w:r>
              <w:t xml:space="preserve">2,108</w:t>
            </w:r>
          </w:p>
        </w:tc>
      </w:tr>
      <w:tr>
        <w:tc>
          <w:tcPr/>
          <w:p>
            <w:pPr>
              <w:pStyle w:val="Compact"/>
              <w:jc w:val="left"/>
            </w:pPr>
            <w:r>
              <w:t xml:space="preserve">Floor</w:t>
            </w:r>
          </w:p>
        </w:tc>
        <w:tc>
          <w:tcPr/>
          <w:p>
            <w:pPr>
              <w:pStyle w:val="Compact"/>
              <w:jc w:val="left"/>
            </w:pPr>
            <w:r>
              <w:t xml:space="preserve">Open to day-5 close, vs controls</w:t>
            </w:r>
          </w:p>
        </w:tc>
        <w:tc>
          <w:tcPr/>
          <w:p>
            <w:pPr>
              <w:pStyle w:val="Compact"/>
              <w:jc w:val="left"/>
            </w:pPr>
            <w:r>
              <w:t xml:space="preserve">-0.36</w:t>
            </w:r>
          </w:p>
        </w:tc>
        <w:tc>
          <w:tcPr/>
          <w:p>
            <w:pPr>
              <w:pStyle w:val="Compact"/>
              <w:jc w:val="left"/>
            </w:pPr>
            <w:r>
              <w:t xml:space="preserve">-0.6</w:t>
            </w:r>
          </w:p>
        </w:tc>
        <w:tc>
          <w:tcPr/>
          <w:p>
            <w:pPr>
              <w:pStyle w:val="Compact"/>
              <w:jc w:val="left"/>
            </w:pPr>
            <w:r>
              <w:t xml:space="preserve">2,047</w:t>
            </w:r>
          </w:p>
        </w:tc>
      </w:tr>
    </w:tbl>
    <w:p>
      <w:pPr>
        <w:pStyle w:val="BodyText"/>
      </w:pPr>
      <w:r>
        <w:t xml:space="preserve">After floor closes, prices keep falling from the next open to the fifth close against the market (Table 6b) and against 5–6.5% fallers that also closed at their low (-1.23 percentage points, t = -2.8), a post-open drift that a gap-only mechanism does not explain; it is concentrated in the period before the platform change (Section 4.8).</w:t>
      </w:r>
    </w:p>
    <w:bookmarkEnd w:id="39"/>
    <w:bookmarkStart w:id="40" w:name="responses-to-design-concerns-post-hoc"/>
    <w:p>
      <w:pPr>
        <w:pStyle w:val="Heading2"/>
      </w:pPr>
      <w:r>
        <w:t xml:space="preserve">4.7 Responses to design concerns (post hoc)</w:t>
      </w:r>
    </w:p>
    <w:p>
      <w:pPr>
        <w:pStyle w:val="FirstParagraph"/>
      </w:pPr>
      <w:r>
        <w:t xml:space="preserve">An independent devil’s-advocate review of the log-specified design (</w:t>
      </w:r>
      <w:r>
        <w:rPr>
          <w:rStyle w:val="VerbatimChar"/>
        </w:rPr>
        <w:t xml:space="preserve">review/DA_checkpoint1_report.md</w:t>
      </w:r>
      <w:r>
        <w:t xml:space="preserve">; retrospective, because it was run after the log-specified results were known, as the reviewer noted) raised concerns about the event definition, overlapping events, the hold-out split, selection across projects, the benchmark and attrition. We addressed each with additional analyses that were not log-specified and are labelled post hoc (</w:t>
      </w:r>
      <w:r>
        <w:rPr>
          <w:rStyle w:val="VerbatimChar"/>
        </w:rPr>
        <w:t xml:space="preserve">process/decisions.md</w:t>
      </w:r>
      <w:r>
        <w:t xml:space="preserve"> </w:t>
      </w:r>
      <w:r>
        <w:t xml:space="preserve">A5).</w:t>
      </w:r>
    </w:p>
    <w:p>
      <w:pPr>
        <w:pStyle w:val="BodyText"/>
      </w:pPr>
      <w:r>
        <w:t xml:space="preserve">Table 7. Next-day abnormal returns (%) by event definition and benchmark (two-way-clustered t-statistics in parentheses). Controls: same-date non-event stocks in the same liquidity tercile. Streak start: no event of the same type on the previous day. Event counts differ across tables by construction: 3,220 ceilings in Table 4 (all days up to the last trading day minus one), 3,207 rule-based ceilings in Tables 5 to 7 (days up to the last trading day minus five so that day-5 outcomes exist), 3,199 of these with a next-day price, and 3,187 in Table 3, which also requires complete returns for days t+1 to t+5.</w:t>
      </w:r>
    </w:p>
    <w:tbl>
      <w:tblPr>
        <w:tblStyle w:val="Table"/>
        <w:tblW w:type="pct" w:w="5000"/>
        <w:tblLook w:firstRow="1" w:lastRow="0" w:firstColumn="0" w:lastColumn="0" w:noHBand="0" w:noVBand="0" w:val="0020"/>
        <w:jc w:val="start"/>
      </w:tblPr>
      <w:tblGrid>
        <w:gridCol w:w="1868"/>
        <w:gridCol w:w="711"/>
        <w:gridCol w:w="800"/>
        <w:gridCol w:w="622"/>
        <w:gridCol w:w="711"/>
        <w:gridCol w:w="845"/>
        <w:gridCol w:w="934"/>
        <w:gridCol w:w="1423"/>
      </w:tblGrid>
      <w:tr>
        <w:trPr>
          <w:tblHeader w:val="true"/>
        </w:trPr>
        <w:tc>
          <w:tcPr/>
          <w:p>
            <w:pPr>
              <w:pStyle w:val="Compact"/>
              <w:jc w:val="left"/>
            </w:pPr>
            <w:r>
              <w:t xml:space="preserve">Event definition</w:t>
            </w:r>
          </w:p>
        </w:tc>
        <w:tc>
          <w:tcPr/>
          <w:p>
            <w:pPr>
              <w:pStyle w:val="Compact"/>
              <w:jc w:val="left"/>
            </w:pPr>
            <w:r>
              <w:t xml:space="preserve">Events (market)</w:t>
            </w:r>
          </w:p>
        </w:tc>
        <w:tc>
          <w:tcPr/>
          <w:p>
            <w:pPr>
              <w:pStyle w:val="Compact"/>
              <w:jc w:val="left"/>
            </w:pPr>
            <w:r>
              <w:t xml:space="preserve">Events (controls)</w:t>
            </w:r>
          </w:p>
        </w:tc>
        <w:tc>
          <w:tcPr/>
          <w:p>
            <w:pPr>
              <w:pStyle w:val="Compact"/>
              <w:jc w:val="left"/>
            </w:pPr>
            <w:r>
              <w:t xml:space="preserve">Gap vs market</w:t>
            </w:r>
          </w:p>
        </w:tc>
        <w:tc>
          <w:tcPr/>
          <w:p>
            <w:pPr>
              <w:pStyle w:val="Compact"/>
              <w:jc w:val="left"/>
            </w:pPr>
            <w:r>
              <w:t xml:space="preserve">Gap vs controls</w:t>
            </w:r>
          </w:p>
        </w:tc>
        <w:tc>
          <w:tcPr/>
          <w:p>
            <w:pPr>
              <w:pStyle w:val="Compact"/>
              <w:jc w:val="left"/>
            </w:pPr>
            <w:r>
              <w:t xml:space="preserve">Intraday vs market</w:t>
            </w:r>
          </w:p>
        </w:tc>
        <w:tc>
          <w:tcPr/>
          <w:p>
            <w:pPr>
              <w:pStyle w:val="Compact"/>
              <w:jc w:val="left"/>
            </w:pPr>
            <w:r>
              <w:t xml:space="preserve">Intraday vs controls</w:t>
            </w:r>
          </w:p>
        </w:tc>
        <w:tc>
          <w:tcPr/>
          <w:p>
            <w:pPr>
              <w:pStyle w:val="Compact"/>
              <w:jc w:val="left"/>
            </w:pPr>
            <w:r>
              <w:t xml:space="preserve">Open to day-5 close vs controls</w:t>
            </w:r>
          </w:p>
        </w:tc>
      </w:tr>
      <w:tr>
        <w:tc>
          <w:tcPr/>
          <w:p>
            <w:pPr>
              <w:pStyle w:val="Compact"/>
              <w:jc w:val="left"/>
            </w:pPr>
            <w:r>
              <w:t xml:space="preserve">Ceiling: rule-based</w:t>
            </w:r>
          </w:p>
        </w:tc>
        <w:tc>
          <w:tcPr/>
          <w:p>
            <w:pPr>
              <w:pStyle w:val="Compact"/>
              <w:jc w:val="left"/>
            </w:pPr>
            <w:r>
              <w:t xml:space="preserve">3,199</w:t>
            </w:r>
          </w:p>
        </w:tc>
        <w:tc>
          <w:tcPr/>
          <w:p>
            <w:pPr>
              <w:pStyle w:val="Compact"/>
              <w:jc w:val="left"/>
            </w:pPr>
            <w:r>
              <w:t xml:space="preserve">3,100</w:t>
            </w:r>
          </w:p>
        </w:tc>
        <w:tc>
          <w:tcPr/>
          <w:p>
            <w:pPr>
              <w:pStyle w:val="Compact"/>
              <w:jc w:val="left"/>
            </w:pPr>
            <w:r>
              <w:t xml:space="preserve">2.24 (9.7)</w:t>
            </w:r>
          </w:p>
        </w:tc>
        <w:tc>
          <w:tcPr/>
          <w:p>
            <w:pPr>
              <w:pStyle w:val="Compact"/>
              <w:jc w:val="left"/>
            </w:pPr>
            <w:r>
              <w:t xml:space="preserve">2.70 (20.2)</w:t>
            </w:r>
          </w:p>
        </w:tc>
        <w:tc>
          <w:tcPr/>
          <w:p>
            <w:pPr>
              <w:pStyle w:val="Compact"/>
              <w:jc w:val="left"/>
            </w:pPr>
            <w:r>
              <w:t xml:space="preserve">-0.54 (-3.5)</w:t>
            </w:r>
          </w:p>
        </w:tc>
        <w:tc>
          <w:tcPr/>
          <w:p>
            <w:pPr>
              <w:pStyle w:val="Compact"/>
              <w:jc w:val="left"/>
            </w:pPr>
            <w:r>
              <w:t xml:space="preserve">-0.50 (-6.0)</w:t>
            </w:r>
          </w:p>
        </w:tc>
        <w:tc>
          <w:tcPr/>
          <w:p>
            <w:pPr>
              <w:pStyle w:val="Compact"/>
              <w:jc w:val="left"/>
            </w:pPr>
            <w:r>
              <w:t xml:space="preserve">-0.53 (-1.8)</w:t>
            </w:r>
          </w:p>
        </w:tc>
      </w:tr>
      <w:tr>
        <w:tc>
          <w:tcPr/>
          <w:p>
            <w:pPr>
              <w:pStyle w:val="Compact"/>
              <w:jc w:val="left"/>
            </w:pPr>
            <w:r>
              <w:t xml:space="preserve">Ceiling: exact tick-rule hit</w:t>
            </w:r>
          </w:p>
        </w:tc>
        <w:tc>
          <w:tcPr/>
          <w:p>
            <w:pPr>
              <w:pStyle w:val="Compact"/>
              <w:jc w:val="left"/>
            </w:pPr>
            <w:r>
              <w:t xml:space="preserve">1,648</w:t>
            </w:r>
          </w:p>
        </w:tc>
        <w:tc>
          <w:tcPr/>
          <w:p>
            <w:pPr>
              <w:pStyle w:val="Compact"/>
              <w:jc w:val="left"/>
            </w:pPr>
            <w:r>
              <w:t xml:space="preserve">1,583</w:t>
            </w:r>
          </w:p>
        </w:tc>
        <w:tc>
          <w:tcPr/>
          <w:p>
            <w:pPr>
              <w:pStyle w:val="Compact"/>
              <w:jc w:val="left"/>
            </w:pPr>
            <w:r>
              <w:t xml:space="preserve">2.77 (13.5)</w:t>
            </w:r>
          </w:p>
        </w:tc>
        <w:tc>
          <w:tcPr/>
          <w:p>
            <w:pPr>
              <w:pStyle w:val="Compact"/>
              <w:jc w:val="left"/>
            </w:pPr>
            <w:r>
              <w:t xml:space="preserve">3.19 (21.5)</w:t>
            </w:r>
          </w:p>
        </w:tc>
        <w:tc>
          <w:tcPr/>
          <w:p>
            <w:pPr>
              <w:pStyle w:val="Compact"/>
              <w:jc w:val="left"/>
            </w:pPr>
            <w:r>
              <w:t xml:space="preserve">-0.73 (-5.3)</w:t>
            </w:r>
          </w:p>
        </w:tc>
        <w:tc>
          <w:tcPr/>
          <w:p>
            <w:pPr>
              <w:pStyle w:val="Compact"/>
              <w:jc w:val="left"/>
            </w:pPr>
            <w:r>
              <w:t xml:space="preserve">-0.74 (-7.5)</w:t>
            </w:r>
          </w:p>
        </w:tc>
        <w:tc>
          <w:tcPr/>
          <w:p>
            <w:pPr>
              <w:pStyle w:val="Compact"/>
              <w:jc w:val="left"/>
            </w:pPr>
            <w:r>
              <w:t xml:space="preserve">-0.88 (-2.3)</w:t>
            </w:r>
          </w:p>
        </w:tc>
      </w:tr>
      <w:tr>
        <w:tc>
          <w:tcPr/>
          <w:p>
            <w:pPr>
              <w:pStyle w:val="Compact"/>
              <w:jc w:val="left"/>
            </w:pPr>
            <w:r>
              <w:t xml:space="preserve">Ceiling: near-hit (rule-based, not exact)</w:t>
            </w:r>
          </w:p>
        </w:tc>
        <w:tc>
          <w:tcPr/>
          <w:p>
            <w:pPr>
              <w:pStyle w:val="Compact"/>
              <w:jc w:val="left"/>
            </w:pPr>
            <w:r>
              <w:t xml:space="preserve">1,557</w:t>
            </w:r>
          </w:p>
        </w:tc>
        <w:tc>
          <w:tcPr/>
          <w:p>
            <w:pPr>
              <w:pStyle w:val="Compact"/>
              <w:jc w:val="left"/>
            </w:pPr>
            <w:r>
              <w:t xml:space="preserve">1,523</w:t>
            </w:r>
          </w:p>
        </w:tc>
        <w:tc>
          <w:tcPr/>
          <w:p>
            <w:pPr>
              <w:pStyle w:val="Compact"/>
              <w:jc w:val="left"/>
            </w:pPr>
            <w:r>
              <w:t xml:space="preserve">1.67 (6.4)</w:t>
            </w:r>
          </w:p>
        </w:tc>
        <w:tc>
          <w:tcPr/>
          <w:p>
            <w:pPr>
              <w:pStyle w:val="Compact"/>
              <w:jc w:val="left"/>
            </w:pPr>
            <w:r>
              <w:t xml:space="preserve">2.17 (13.2)</w:t>
            </w:r>
          </w:p>
        </w:tc>
        <w:tc>
          <w:tcPr/>
          <w:p>
            <w:pPr>
              <w:pStyle w:val="Compact"/>
              <w:jc w:val="left"/>
            </w:pPr>
            <w:r>
              <w:t xml:space="preserve">-0.32 (-1.6)</w:t>
            </w:r>
          </w:p>
        </w:tc>
        <w:tc>
          <w:tcPr/>
          <w:p>
            <w:pPr>
              <w:pStyle w:val="Compact"/>
              <w:jc w:val="left"/>
            </w:pPr>
            <w:r>
              <w:t xml:space="preserve">-0.24 (-2.4)</w:t>
            </w:r>
          </w:p>
        </w:tc>
        <w:tc>
          <w:tcPr/>
          <w:p>
            <w:pPr>
              <w:pStyle w:val="Compact"/>
              <w:jc w:val="left"/>
            </w:pPr>
            <w:r>
              <w:t xml:space="preserve">-0.15 (-0.5)</w:t>
            </w:r>
          </w:p>
        </w:tc>
      </w:tr>
      <w:tr>
        <w:tc>
          <w:tcPr/>
          <w:p>
            <w:pPr>
              <w:pStyle w:val="Compact"/>
              <w:jc w:val="left"/>
            </w:pPr>
            <w:r>
              <w:t xml:space="preserve">Ceiling: first day of streak (rule-based)</w:t>
            </w:r>
          </w:p>
        </w:tc>
        <w:tc>
          <w:tcPr/>
          <w:p>
            <w:pPr>
              <w:pStyle w:val="Compact"/>
              <w:jc w:val="left"/>
            </w:pPr>
            <w:r>
              <w:t xml:space="preserve">2,480</w:t>
            </w:r>
          </w:p>
        </w:tc>
        <w:tc>
          <w:tcPr/>
          <w:p>
            <w:pPr>
              <w:pStyle w:val="Compact"/>
              <w:jc w:val="left"/>
            </w:pPr>
            <w:r>
              <w:t xml:space="preserve">2,403</w:t>
            </w:r>
          </w:p>
        </w:tc>
        <w:tc>
          <w:tcPr/>
          <w:p>
            <w:pPr>
              <w:pStyle w:val="Compact"/>
              <w:jc w:val="left"/>
            </w:pPr>
            <w:r>
              <w:t xml:space="preserve">1.83 (8.2)</w:t>
            </w:r>
          </w:p>
        </w:tc>
        <w:tc>
          <w:tcPr/>
          <w:p>
            <w:pPr>
              <w:pStyle w:val="Compact"/>
              <w:jc w:val="left"/>
            </w:pPr>
            <w:r>
              <w:t xml:space="preserve">2.37 (15.6)</w:t>
            </w:r>
          </w:p>
        </w:tc>
        <w:tc>
          <w:tcPr/>
          <w:p>
            <w:pPr>
              <w:pStyle w:val="Compact"/>
              <w:jc w:val="left"/>
            </w:pPr>
            <w:r>
              <w:t xml:space="preserve">-0.38 (-1.9)</w:t>
            </w:r>
          </w:p>
        </w:tc>
        <w:tc>
          <w:tcPr/>
          <w:p>
            <w:pPr>
              <w:pStyle w:val="Compact"/>
              <w:jc w:val="left"/>
            </w:pPr>
            <w:r>
              <w:t xml:space="preserve">-0.31 (-3.8)</w:t>
            </w:r>
          </w:p>
        </w:tc>
        <w:tc>
          <w:tcPr/>
          <w:p>
            <w:pPr>
              <w:pStyle w:val="Compact"/>
              <w:jc w:val="left"/>
            </w:pPr>
            <w:r>
              <w:t xml:space="preserve">-0.43 (-1.6)</w:t>
            </w:r>
          </w:p>
        </w:tc>
      </w:tr>
      <w:tr>
        <w:tc>
          <w:tcPr/>
          <w:p>
            <w:pPr>
              <w:pStyle w:val="Compact"/>
              <w:jc w:val="left"/>
            </w:pPr>
            <w:r>
              <w:t xml:space="preserve">Ceiling: first day of streak (exact)</w:t>
            </w:r>
          </w:p>
        </w:tc>
        <w:tc>
          <w:tcPr/>
          <w:p>
            <w:pPr>
              <w:pStyle w:val="Compact"/>
              <w:jc w:val="left"/>
            </w:pPr>
            <w:r>
              <w:t xml:space="preserve">1,287</w:t>
            </w:r>
          </w:p>
        </w:tc>
        <w:tc>
          <w:tcPr/>
          <w:p>
            <w:pPr>
              <w:pStyle w:val="Compact"/>
              <w:jc w:val="left"/>
            </w:pPr>
            <w:r>
              <w:t xml:space="preserve">1,232</w:t>
            </w:r>
          </w:p>
        </w:tc>
        <w:tc>
          <w:tcPr/>
          <w:p>
            <w:pPr>
              <w:pStyle w:val="Compact"/>
              <w:jc w:val="left"/>
            </w:pPr>
            <w:r>
              <w:t xml:space="preserve">2.37 (12.2)</w:t>
            </w:r>
          </w:p>
        </w:tc>
        <w:tc>
          <w:tcPr/>
          <w:p>
            <w:pPr>
              <w:pStyle w:val="Compact"/>
              <w:jc w:val="left"/>
            </w:pPr>
            <w:r>
              <w:t xml:space="preserve">2.85 (19.3)</w:t>
            </w:r>
          </w:p>
        </w:tc>
        <w:tc>
          <w:tcPr/>
          <w:p>
            <w:pPr>
              <w:pStyle w:val="Compact"/>
              <w:jc w:val="left"/>
            </w:pPr>
            <w:r>
              <w:t xml:space="preserve">-0.55 (-3.1)</w:t>
            </w:r>
          </w:p>
        </w:tc>
        <w:tc>
          <w:tcPr/>
          <w:p>
            <w:pPr>
              <w:pStyle w:val="Compact"/>
              <w:jc w:val="left"/>
            </w:pPr>
            <w:r>
              <w:t xml:space="preserve">-0.53 (-4.9)</w:t>
            </w:r>
          </w:p>
        </w:tc>
        <w:tc>
          <w:tcPr/>
          <w:p>
            <w:pPr>
              <w:pStyle w:val="Compact"/>
              <w:jc w:val="left"/>
            </w:pPr>
            <w:r>
              <w:t xml:space="preserve">-0.73 (-2.1)</w:t>
            </w:r>
          </w:p>
        </w:tc>
      </w:tr>
      <w:tr>
        <w:tc>
          <w:tcPr/>
          <w:p>
            <w:pPr>
              <w:pStyle w:val="Compact"/>
              <w:jc w:val="left"/>
            </w:pPr>
            <w:r>
              <w:t xml:space="preserve">Ceiling: locked all day</w:t>
            </w:r>
          </w:p>
        </w:tc>
        <w:tc>
          <w:tcPr/>
          <w:p>
            <w:pPr>
              <w:pStyle w:val="Compact"/>
              <w:jc w:val="left"/>
            </w:pPr>
            <w:r>
              <w:t xml:space="preserve">522</w:t>
            </w:r>
          </w:p>
        </w:tc>
        <w:tc>
          <w:tcPr/>
          <w:p>
            <w:pPr>
              <w:pStyle w:val="Compact"/>
              <w:jc w:val="left"/>
            </w:pPr>
            <w:r>
              <w:t xml:space="preserve">505</w:t>
            </w:r>
          </w:p>
        </w:tc>
        <w:tc>
          <w:tcPr/>
          <w:p>
            <w:pPr>
              <w:pStyle w:val="Compact"/>
              <w:jc w:val="left"/>
            </w:pPr>
            <w:r>
              <w:t xml:space="preserve">2.91 (3.0)</w:t>
            </w:r>
          </w:p>
        </w:tc>
        <w:tc>
          <w:tcPr/>
          <w:p>
            <w:pPr>
              <w:pStyle w:val="Compact"/>
              <w:jc w:val="left"/>
            </w:pPr>
            <w:r>
              <w:t xml:space="preserve">4.39 (12.2)</w:t>
            </w:r>
          </w:p>
        </w:tc>
        <w:tc>
          <w:tcPr/>
          <w:p>
            <w:pPr>
              <w:pStyle w:val="Compact"/>
              <w:jc w:val="left"/>
            </w:pPr>
            <w:r>
              <w:t xml:space="preserve">-1.30 (-5.9)</w:t>
            </w:r>
          </w:p>
        </w:tc>
        <w:tc>
          <w:tcPr/>
          <w:p>
            <w:pPr>
              <w:pStyle w:val="Compact"/>
              <w:jc w:val="left"/>
            </w:pPr>
            <w:r>
              <w:t xml:space="preserve">-0.81 (-3.1)</w:t>
            </w:r>
          </w:p>
        </w:tc>
        <w:tc>
          <w:tcPr/>
          <w:p>
            <w:pPr>
              <w:pStyle w:val="Compact"/>
              <w:jc w:val="left"/>
            </w:pPr>
            <w:r>
              <w:t xml:space="preserve">0.57 (0.8)</w:t>
            </w:r>
          </w:p>
        </w:tc>
      </w:tr>
      <w:tr>
        <w:tc>
          <w:tcPr/>
          <w:p>
            <w:pPr>
              <w:pStyle w:val="Compact"/>
              <w:jc w:val="left"/>
            </w:pPr>
            <w:r>
              <w:t xml:space="preserve">Floor: rule-based</w:t>
            </w:r>
          </w:p>
        </w:tc>
        <w:tc>
          <w:tcPr/>
          <w:p>
            <w:pPr>
              <w:pStyle w:val="Compact"/>
              <w:jc w:val="left"/>
            </w:pPr>
            <w:r>
              <w:t xml:space="preserve">2,111</w:t>
            </w:r>
          </w:p>
        </w:tc>
        <w:tc>
          <w:tcPr/>
          <w:p>
            <w:pPr>
              <w:pStyle w:val="Compact"/>
              <w:jc w:val="left"/>
            </w:pPr>
            <w:r>
              <w:t xml:space="preserve">2,047</w:t>
            </w:r>
          </w:p>
        </w:tc>
        <w:tc>
          <w:tcPr/>
          <w:p>
            <w:pPr>
              <w:pStyle w:val="Compact"/>
              <w:jc w:val="left"/>
            </w:pPr>
            <w:r>
              <w:t xml:space="preserve">-0.97 (-4.6)</w:t>
            </w:r>
          </w:p>
        </w:tc>
        <w:tc>
          <w:tcPr/>
          <w:p>
            <w:pPr>
              <w:pStyle w:val="Compact"/>
              <w:jc w:val="left"/>
            </w:pPr>
            <w:r>
              <w:t xml:space="preserve">-1.75 (-4.0)</w:t>
            </w:r>
          </w:p>
        </w:tc>
        <w:tc>
          <w:tcPr/>
          <w:p>
            <w:pPr>
              <w:pStyle w:val="Compact"/>
              <w:jc w:val="left"/>
            </w:pPr>
            <w:r>
              <w:t xml:space="preserve">0.30 (1.4)</w:t>
            </w:r>
          </w:p>
        </w:tc>
        <w:tc>
          <w:tcPr/>
          <w:p>
            <w:pPr>
              <w:pStyle w:val="Compact"/>
              <w:jc w:val="left"/>
            </w:pPr>
            <w:r>
              <w:t xml:space="preserve">0.14 (0.6)</w:t>
            </w:r>
          </w:p>
        </w:tc>
        <w:tc>
          <w:tcPr/>
          <w:p>
            <w:pPr>
              <w:pStyle w:val="Compact"/>
              <w:jc w:val="left"/>
            </w:pPr>
            <w:r>
              <w:t xml:space="preserve">-0.36 (-0.6)</w:t>
            </w:r>
          </w:p>
        </w:tc>
      </w:tr>
      <w:tr>
        <w:tc>
          <w:tcPr/>
          <w:p>
            <w:pPr>
              <w:pStyle w:val="Compact"/>
              <w:jc w:val="left"/>
            </w:pPr>
            <w:r>
              <w:t xml:space="preserve">Floor: exact tick-rule hit</w:t>
            </w:r>
          </w:p>
        </w:tc>
        <w:tc>
          <w:tcPr/>
          <w:p>
            <w:pPr>
              <w:pStyle w:val="Compact"/>
              <w:jc w:val="left"/>
            </w:pPr>
            <w:r>
              <w:t xml:space="preserve">1,028</w:t>
            </w:r>
          </w:p>
        </w:tc>
        <w:tc>
          <w:tcPr/>
          <w:p>
            <w:pPr>
              <w:pStyle w:val="Compact"/>
              <w:jc w:val="left"/>
            </w:pPr>
            <w:r>
              <w:t xml:space="preserve">984</w:t>
            </w:r>
          </w:p>
        </w:tc>
        <w:tc>
          <w:tcPr/>
          <w:p>
            <w:pPr>
              <w:pStyle w:val="Compact"/>
              <w:jc w:val="left"/>
            </w:pPr>
            <w:r>
              <w:t xml:space="preserve">-1.29 (-5.0)</w:t>
            </w:r>
          </w:p>
        </w:tc>
        <w:tc>
          <w:tcPr/>
          <w:p>
            <w:pPr>
              <w:pStyle w:val="Compact"/>
              <w:jc w:val="left"/>
            </w:pPr>
            <w:r>
              <w:t xml:space="preserve">-1.93 (-4.8)</w:t>
            </w:r>
          </w:p>
        </w:tc>
        <w:tc>
          <w:tcPr/>
          <w:p>
            <w:pPr>
              <w:pStyle w:val="Compact"/>
              <w:jc w:val="left"/>
            </w:pPr>
            <w:r>
              <w:t xml:space="preserve">0.41 (1.7)</w:t>
            </w:r>
          </w:p>
        </w:tc>
        <w:tc>
          <w:tcPr/>
          <w:p>
            <w:pPr>
              <w:pStyle w:val="Compact"/>
              <w:jc w:val="left"/>
            </w:pPr>
            <w:r>
              <w:t xml:space="preserve">0.23 (0.9)</w:t>
            </w:r>
          </w:p>
        </w:tc>
        <w:tc>
          <w:tcPr/>
          <w:p>
            <w:pPr>
              <w:pStyle w:val="Compact"/>
              <w:jc w:val="left"/>
            </w:pPr>
            <w:r>
              <w:t xml:space="preserve">-0.49 (-0.8)</w:t>
            </w:r>
          </w:p>
        </w:tc>
      </w:tr>
      <w:tr>
        <w:tc>
          <w:tcPr/>
          <w:p>
            <w:pPr>
              <w:pStyle w:val="Compact"/>
              <w:jc w:val="left"/>
            </w:pPr>
            <w:r>
              <w:t xml:space="preserve">Floor: near-hit (rule-based, not exact)</w:t>
            </w:r>
          </w:p>
        </w:tc>
        <w:tc>
          <w:tcPr/>
          <w:p>
            <w:pPr>
              <w:pStyle w:val="Compact"/>
              <w:jc w:val="left"/>
            </w:pPr>
            <w:r>
              <w:t xml:space="preserve">1,086</w:t>
            </w:r>
          </w:p>
        </w:tc>
        <w:tc>
          <w:tcPr/>
          <w:p>
            <w:pPr>
              <w:pStyle w:val="Compact"/>
              <w:jc w:val="left"/>
            </w:pPr>
            <w:r>
              <w:t xml:space="preserve">1,066</w:t>
            </w:r>
          </w:p>
        </w:tc>
        <w:tc>
          <w:tcPr/>
          <w:p>
            <w:pPr>
              <w:pStyle w:val="Compact"/>
              <w:jc w:val="left"/>
            </w:pPr>
            <w:r>
              <w:t xml:space="preserve">-0.66 (-3.7)</w:t>
            </w:r>
          </w:p>
        </w:tc>
        <w:tc>
          <w:tcPr/>
          <w:p>
            <w:pPr>
              <w:pStyle w:val="Compact"/>
              <w:jc w:val="left"/>
            </w:pPr>
            <w:r>
              <w:t xml:space="preserve">-1.58 (-3.2)</w:t>
            </w:r>
          </w:p>
        </w:tc>
        <w:tc>
          <w:tcPr/>
          <w:p>
            <w:pPr>
              <w:pStyle w:val="Compact"/>
              <w:jc w:val="left"/>
            </w:pPr>
            <w:r>
              <w:t xml:space="preserve">0.20 (0.9)</w:t>
            </w:r>
          </w:p>
        </w:tc>
        <w:tc>
          <w:tcPr/>
          <w:p>
            <w:pPr>
              <w:pStyle w:val="Compact"/>
              <w:jc w:val="left"/>
            </w:pPr>
            <w:r>
              <w:t xml:space="preserve">0.04 (0.2)</w:t>
            </w:r>
          </w:p>
        </w:tc>
        <w:tc>
          <w:tcPr/>
          <w:p>
            <w:pPr>
              <w:pStyle w:val="Compact"/>
              <w:jc w:val="left"/>
            </w:pPr>
            <w:r>
              <w:t xml:space="preserve">-0.22 (-0.3)</w:t>
            </w:r>
          </w:p>
        </w:tc>
      </w:tr>
      <w:tr>
        <w:tc>
          <w:tcPr/>
          <w:p>
            <w:pPr>
              <w:pStyle w:val="Compact"/>
              <w:jc w:val="left"/>
            </w:pPr>
            <w:r>
              <w:t xml:space="preserve">Floor: first day of streak (exact)</w:t>
            </w:r>
          </w:p>
        </w:tc>
        <w:tc>
          <w:tcPr/>
          <w:p>
            <w:pPr>
              <w:pStyle w:val="Compact"/>
              <w:jc w:val="left"/>
            </w:pPr>
            <w:r>
              <w:t xml:space="preserve">831</w:t>
            </w:r>
          </w:p>
        </w:tc>
        <w:tc>
          <w:tcPr/>
          <w:p>
            <w:pPr>
              <w:pStyle w:val="Compact"/>
              <w:jc w:val="left"/>
            </w:pPr>
            <w:r>
              <w:t xml:space="preserve">801</w:t>
            </w:r>
          </w:p>
        </w:tc>
        <w:tc>
          <w:tcPr/>
          <w:p>
            <w:pPr>
              <w:pStyle w:val="Compact"/>
              <w:jc w:val="left"/>
            </w:pPr>
            <w:r>
              <w:t xml:space="preserve">-1.04 (-4.7)</w:t>
            </w:r>
          </w:p>
        </w:tc>
        <w:tc>
          <w:tcPr/>
          <w:p>
            <w:pPr>
              <w:pStyle w:val="Compact"/>
              <w:jc w:val="left"/>
            </w:pPr>
            <w:r>
              <w:t xml:space="preserve">-1.72 (-4.2)</w:t>
            </w:r>
          </w:p>
        </w:tc>
        <w:tc>
          <w:tcPr/>
          <w:p>
            <w:pPr>
              <w:pStyle w:val="Compact"/>
              <w:jc w:val="left"/>
            </w:pPr>
            <w:r>
              <w:t xml:space="preserve">0.22 (0.9)</w:t>
            </w:r>
          </w:p>
        </w:tc>
        <w:tc>
          <w:tcPr/>
          <w:p>
            <w:pPr>
              <w:pStyle w:val="Compact"/>
              <w:jc w:val="left"/>
            </w:pPr>
            <w:r>
              <w:t xml:space="preserve">0.07 (0.3)</w:t>
            </w:r>
          </w:p>
        </w:tc>
        <w:tc>
          <w:tcPr/>
          <w:p>
            <w:pPr>
              <w:pStyle w:val="Compact"/>
              <w:jc w:val="left"/>
            </w:pPr>
            <w:r>
              <w:t xml:space="preserve">-0.62 (-0.9)</w:t>
            </w:r>
          </w:p>
        </w:tc>
      </w:tr>
    </w:tbl>
    <w:p>
      <w:pPr>
        <w:pStyle w:val="BodyText"/>
      </w:pPr>
      <w:r>
        <w:t xml:space="preserve">Exact tick-rule ceiling counts differ across tables for the same reason as the rule-based counts: 1,666 in Table 4 (days up to the last trading day minus one), 1,654 in the event window (days up to the last trading day minus five), 1,648 of these with a next-day price and 1,583 with a control value (Table 7).</w:t>
      </w:r>
    </w:p>
    <w:p>
      <w:pPr>
        <w:pStyle w:val="BodyText"/>
      </w:pPr>
      <w:r>
        <w:rPr>
          <w:iCs/>
          <w:i/>
        </w:rPr>
        <w:t xml:space="preserve">Event definition.</w:t>
      </w:r>
      <w:r>
        <w:t xml:space="preserve"> </w:t>
      </w:r>
      <w:r>
        <w:t xml:space="preserve">The log-specified rule includes strong closes that did not reach the limit price. Table 7 separates exact tick-rule hits from near-hits: for exact ceiling hits the overnight gap is 2.77% against the market (t = 13.5) and the intraday return -0.73%; near-hits show a smaller gap (1.67%) and an intraday return that is not significant. The size of the effect rises with proximity to the limit, which supports an association with the limit itself, and the series’ adjustment status for corporate actions is not documented by the vendor.</w:t>
      </w:r>
    </w:p>
    <w:p>
      <w:pPr>
        <w:pStyle w:val="BodyText"/>
      </w:pPr>
      <w:r>
        <w:rPr>
          <w:iCs/>
          <w:i/>
        </w:rPr>
        <w:t xml:space="preserve">Overlapping events.</w:t>
      </w:r>
      <w:r>
        <w:t xml:space="preserve"> </w:t>
      </w:r>
      <w:r>
        <w:t xml:space="preserve">Restricting to the first day of a streak removes mechanical dependence between consecutive limit days: for exact hits the gap is 2.37% (t = 12.2) and the intraday return -0.55% (t = -3.1). The four log-specified event tests are two effective tests (ceiling and floor), each at two nested horizons.</w:t>
      </w:r>
    </w:p>
    <w:p>
      <w:pPr>
        <w:pStyle w:val="BodyText"/>
      </w:pPr>
      <w:r>
        <w:rPr>
          <w:iCs/>
          <w:i/>
        </w:rPr>
        <w:t xml:space="preserve">Benchmark.</w:t>
      </w:r>
      <w:r>
        <w:t xml:space="preserve"> </w:t>
      </w:r>
      <w:r>
        <w:t xml:space="preserve">Dollar-volume weights are concentrated (the ten largest stocks carry on average 34% of the benchmark). Against same-date, same-liquidity-tercile control stocks the overnight gap after a ceiling is 2.70% (t = 20.2) and the intraday return -0.50% (t = -6.0); an equal-weighted market gives a gap of 2.38%. The tradable five-day return from the next open is -0.75% against the market (t = -2.7) but only -0.53% against the controls (t = -1.8); we therefore describe the intraday reversal as robust to the benchmark and the five-day tradable shortfall as benchmark-sensitive.</w:t>
      </w:r>
    </w:p>
    <w:p>
      <w:pPr>
        <w:pStyle w:val="BodyText"/>
      </w:pPr>
      <w:r>
        <w:rPr>
          <w:iCs/>
          <w:i/>
        </w:rPr>
        <w:t xml:space="preserve">Return outliers.</w:t>
      </w:r>
      <w:r>
        <w:t xml:space="preserve"> </w:t>
      </w:r>
      <w:r>
        <w:t xml:space="preserve">There are 96 stock-days with a return beyond ±8%, which a 7% band does not allow (first-day listing bands, resumed trading or unadjusted corporate actions are candidates). Dropping every event whose stock has such a return within five trading days leaves the ceiling gap at 2.26% (t = 9.7, from 2.24%) and the floor gap at -0.98% (from -0.97%) (repository table C25). The exclusion drops events only; the outlier stock-days stay in the market benchmark, and it catches only returns beyond ±8%, so it bounds but does not remove the corporate-action concern.</w:t>
      </w:r>
    </w:p>
    <w:p>
      <w:pPr>
        <w:pStyle w:val="BodyText"/>
      </w:pPr>
      <w:r>
        <w:rPr>
          <w:iCs/>
          <w:i/>
        </w:rPr>
        <w:t xml:space="preserve">Attrition.</w:t>
      </w:r>
      <w:r>
        <w:t xml:space="preserve"> </w:t>
      </w:r>
      <w:r>
        <w:t xml:space="preserve">Of 3,207 rule-based ceiling closes and 2,115 floor closes, 8 and 4 lack a next-day price; treating a missing next day as a zero return changes the means by less than 0.01 percentage points (repository table C12). The universe is a snapshot of stocks listed at the time of data collection, so stocks delisted earlier in the sample window are absent.</w:t>
      </w:r>
    </w:p>
    <w:p>
      <w:pPr>
        <w:pStyle w:val="BodyText"/>
      </w:pPr>
      <w:r>
        <w:t xml:space="preserve">Table 8. Sensitivity of the Fama–MacBeth t-statistics to the Newey–West lag, and the minimum detectable slope at 80% power (2.8 standard errors).</w:t>
      </w:r>
    </w:p>
    <w:tbl>
      <w:tblPr>
        <w:tblStyle w:val="Table"/>
        <w:tblW w:type="pct" w:w="5000"/>
        <w:tblLook w:firstRow="1" w:lastRow="0" w:firstColumn="0" w:lastColumn="0" w:noHBand="0" w:noVBand="0" w:val="0020"/>
        <w:jc w:val="start"/>
      </w:tblPr>
      <w:tblGrid>
        <w:gridCol w:w="1089"/>
        <w:gridCol w:w="871"/>
        <w:gridCol w:w="871"/>
        <w:gridCol w:w="871"/>
        <w:gridCol w:w="4214"/>
      </w:tblGrid>
      <w:tr>
        <w:trPr>
          <w:tblHeader w:val="true"/>
        </w:trPr>
        <w:tc>
          <w:tcPr/>
          <w:p>
            <w:pPr>
              <w:pStyle w:val="Compact"/>
              <w:jc w:val="left"/>
            </w:pPr>
            <w:r>
              <w:t xml:space="preserve">Characteristic</w:t>
            </w:r>
          </w:p>
        </w:tc>
        <w:tc>
          <w:tcPr/>
          <w:p>
            <w:pPr>
              <w:pStyle w:val="Compact"/>
              <w:jc w:val="left"/>
            </w:pPr>
            <w:r>
              <w:t xml:space="preserve">t, NW lag 2</w:t>
            </w:r>
          </w:p>
        </w:tc>
        <w:tc>
          <w:tcPr/>
          <w:p>
            <w:pPr>
              <w:pStyle w:val="Compact"/>
              <w:jc w:val="left"/>
            </w:pPr>
            <w:r>
              <w:t xml:space="preserve">t, NW lag 4</w:t>
            </w:r>
          </w:p>
        </w:tc>
        <w:tc>
          <w:tcPr/>
          <w:p>
            <w:pPr>
              <w:pStyle w:val="Compact"/>
              <w:jc w:val="left"/>
            </w:pPr>
            <w:r>
              <w:t xml:space="preserve">t, NW lag 8</w:t>
            </w:r>
          </w:p>
        </w:tc>
        <w:tc>
          <w:tcPr/>
          <w:p>
            <w:pPr>
              <w:pStyle w:val="Compact"/>
              <w:jc w:val="left"/>
            </w:pPr>
            <w:r>
              <w:t xml:space="preserve">Minimum detectable slope, 80% power (% per week per s.d.)</w:t>
            </w:r>
          </w:p>
        </w:tc>
      </w:tr>
      <w:tr>
        <w:tc>
          <w:tcPr/>
          <w:p>
            <w:pPr>
              <w:pStyle w:val="Compact"/>
              <w:jc w:val="left"/>
            </w:pPr>
            <w:r>
              <w:t xml:space="preserve">MOM3M</w:t>
            </w:r>
          </w:p>
        </w:tc>
        <w:tc>
          <w:tcPr/>
          <w:p>
            <w:pPr>
              <w:pStyle w:val="Compact"/>
              <w:jc w:val="left"/>
            </w:pPr>
            <w:r>
              <w:t xml:space="preserve">1.39</w:t>
            </w:r>
          </w:p>
        </w:tc>
        <w:tc>
          <w:tcPr/>
          <w:p>
            <w:pPr>
              <w:pStyle w:val="Compact"/>
              <w:jc w:val="left"/>
            </w:pPr>
            <w:r>
              <w:t xml:space="preserve">1.45</w:t>
            </w:r>
          </w:p>
        </w:tc>
        <w:tc>
          <w:tcPr/>
          <w:p>
            <w:pPr>
              <w:pStyle w:val="Compact"/>
              <w:jc w:val="left"/>
            </w:pPr>
            <w:r>
              <w:t xml:space="preserve">1.74</w:t>
            </w:r>
          </w:p>
        </w:tc>
        <w:tc>
          <w:tcPr/>
          <w:p>
            <w:pPr>
              <w:pStyle w:val="Compact"/>
              <w:jc w:val="left"/>
            </w:pPr>
            <w:r>
              <w:t xml:space="preserve">0.24</w:t>
            </w:r>
          </w:p>
        </w:tc>
      </w:tr>
      <w:tr>
        <w:tc>
          <w:tcPr/>
          <w:p>
            <w:pPr>
              <w:pStyle w:val="Compact"/>
              <w:jc w:val="left"/>
            </w:pPr>
            <w:r>
              <w:t xml:space="preserve">IMOM</w:t>
            </w:r>
          </w:p>
        </w:tc>
        <w:tc>
          <w:tcPr/>
          <w:p>
            <w:pPr>
              <w:pStyle w:val="Compact"/>
              <w:jc w:val="left"/>
            </w:pPr>
            <w:r>
              <w:t xml:space="preserve">1.39</w:t>
            </w:r>
          </w:p>
        </w:tc>
        <w:tc>
          <w:tcPr/>
          <w:p>
            <w:pPr>
              <w:pStyle w:val="Compact"/>
              <w:jc w:val="left"/>
            </w:pPr>
            <w:r>
              <w:t xml:space="preserve">1.45</w:t>
            </w:r>
          </w:p>
        </w:tc>
        <w:tc>
          <w:tcPr/>
          <w:p>
            <w:pPr>
              <w:pStyle w:val="Compact"/>
              <w:jc w:val="left"/>
            </w:pPr>
            <w:r>
              <w:t xml:space="preserve">1.72</w:t>
            </w:r>
          </w:p>
        </w:tc>
        <w:tc>
          <w:tcPr/>
          <w:p>
            <w:pPr>
              <w:pStyle w:val="Compact"/>
              <w:jc w:val="left"/>
            </w:pPr>
            <w:r>
              <w:t xml:space="preserve">0.24</w:t>
            </w:r>
          </w:p>
        </w:tc>
      </w:tr>
      <w:tr>
        <w:tc>
          <w:tcPr/>
          <w:p>
            <w:pPr>
              <w:pStyle w:val="Compact"/>
              <w:jc w:val="left"/>
            </w:pPr>
            <w:r>
              <w:t xml:space="preserve">DVOLCHG</w:t>
            </w:r>
          </w:p>
        </w:tc>
        <w:tc>
          <w:tcPr/>
          <w:p>
            <w:pPr>
              <w:pStyle w:val="Compact"/>
              <w:jc w:val="left"/>
            </w:pPr>
            <w:r>
              <w:t xml:space="preserve">1.32</w:t>
            </w:r>
          </w:p>
        </w:tc>
        <w:tc>
          <w:tcPr/>
          <w:p>
            <w:pPr>
              <w:pStyle w:val="Compact"/>
              <w:jc w:val="left"/>
            </w:pPr>
            <w:r>
              <w:t xml:space="preserve">1.42</w:t>
            </w:r>
          </w:p>
        </w:tc>
        <w:tc>
          <w:tcPr/>
          <w:p>
            <w:pPr>
              <w:pStyle w:val="Compact"/>
              <w:jc w:val="left"/>
            </w:pPr>
            <w:r>
              <w:t xml:space="preserve">1.79</w:t>
            </w:r>
          </w:p>
        </w:tc>
        <w:tc>
          <w:tcPr/>
          <w:p>
            <w:pPr>
              <w:pStyle w:val="Compact"/>
              <w:jc w:val="left"/>
            </w:pPr>
            <w:r>
              <w:t xml:space="preserve">0.14</w:t>
            </w:r>
          </w:p>
        </w:tc>
      </w:tr>
      <w:tr>
        <w:tc>
          <w:tcPr/>
          <w:p>
            <w:pPr>
              <w:pStyle w:val="Compact"/>
              <w:jc w:val="left"/>
            </w:pPr>
            <w:r>
              <w:t xml:space="preserve">TURNCHG</w:t>
            </w:r>
          </w:p>
        </w:tc>
        <w:tc>
          <w:tcPr/>
          <w:p>
            <w:pPr>
              <w:pStyle w:val="Compact"/>
              <w:jc w:val="left"/>
            </w:pPr>
            <w:r>
              <w:t xml:space="preserve">1.19</w:t>
            </w:r>
          </w:p>
        </w:tc>
        <w:tc>
          <w:tcPr/>
          <w:p>
            <w:pPr>
              <w:pStyle w:val="Compact"/>
              <w:jc w:val="left"/>
            </w:pPr>
            <w:r>
              <w:t xml:space="preserve">1.27</w:t>
            </w:r>
          </w:p>
        </w:tc>
        <w:tc>
          <w:tcPr/>
          <w:p>
            <w:pPr>
              <w:pStyle w:val="Compact"/>
              <w:jc w:val="left"/>
            </w:pPr>
            <w:r>
              <w:t xml:space="preserve">1.60</w:t>
            </w:r>
          </w:p>
        </w:tc>
        <w:tc>
          <w:tcPr/>
          <w:p>
            <w:pPr>
              <w:pStyle w:val="Compact"/>
              <w:jc w:val="left"/>
            </w:pPr>
            <w:r>
              <w:t xml:space="preserve">0.13</w:t>
            </w:r>
          </w:p>
        </w:tc>
      </w:tr>
      <w:tr>
        <w:tc>
          <w:tcPr/>
          <w:p>
            <w:pPr>
              <w:pStyle w:val="Compact"/>
              <w:jc w:val="left"/>
            </w:pPr>
            <w:r>
              <w:t xml:space="preserve">MOM6M</w:t>
            </w:r>
          </w:p>
        </w:tc>
        <w:tc>
          <w:tcPr/>
          <w:p>
            <w:pPr>
              <w:pStyle w:val="Compact"/>
              <w:jc w:val="left"/>
            </w:pPr>
            <w:r>
              <w:t xml:space="preserve">1.09</w:t>
            </w:r>
          </w:p>
        </w:tc>
        <w:tc>
          <w:tcPr/>
          <w:p>
            <w:pPr>
              <w:pStyle w:val="Compact"/>
              <w:jc w:val="left"/>
            </w:pPr>
            <w:r>
              <w:t xml:space="preserve">1.12</w:t>
            </w:r>
          </w:p>
        </w:tc>
        <w:tc>
          <w:tcPr/>
          <w:p>
            <w:pPr>
              <w:pStyle w:val="Compact"/>
              <w:jc w:val="left"/>
            </w:pPr>
            <w:r>
              <w:t xml:space="preserve">1.31</w:t>
            </w:r>
          </w:p>
        </w:tc>
        <w:tc>
          <w:tcPr/>
          <w:p>
            <w:pPr>
              <w:pStyle w:val="Compact"/>
              <w:jc w:val="left"/>
            </w:pPr>
            <w:r>
              <w:t xml:space="preserve">0.24</w:t>
            </w:r>
          </w:p>
        </w:tc>
      </w:tr>
      <w:tr>
        <w:tc>
          <w:tcPr/>
          <w:p>
            <w:pPr>
              <w:pStyle w:val="Compact"/>
              <w:jc w:val="left"/>
            </w:pPr>
            <w:r>
              <w:t xml:space="preserve">REV1M</w:t>
            </w:r>
          </w:p>
        </w:tc>
        <w:tc>
          <w:tcPr/>
          <w:p>
            <w:pPr>
              <w:pStyle w:val="Compact"/>
              <w:jc w:val="left"/>
            </w:pPr>
            <w:r>
              <w:t xml:space="preserve">0.84</w:t>
            </w:r>
          </w:p>
        </w:tc>
        <w:tc>
          <w:tcPr/>
          <w:p>
            <w:pPr>
              <w:pStyle w:val="Compact"/>
              <w:jc w:val="left"/>
            </w:pPr>
            <w:r>
              <w:t xml:space="preserve">0.92</w:t>
            </w:r>
          </w:p>
        </w:tc>
        <w:tc>
          <w:tcPr/>
          <w:p>
            <w:pPr>
              <w:pStyle w:val="Compact"/>
              <w:jc w:val="left"/>
            </w:pPr>
            <w:r>
              <w:t xml:space="preserve">1.08</w:t>
            </w:r>
          </w:p>
        </w:tc>
        <w:tc>
          <w:tcPr/>
          <w:p>
            <w:pPr>
              <w:pStyle w:val="Compact"/>
              <w:jc w:val="left"/>
            </w:pPr>
            <w:r>
              <w:t xml:space="preserve">0.23</w:t>
            </w:r>
          </w:p>
        </w:tc>
      </w:tr>
      <w:tr>
        <w:tc>
          <w:tcPr/>
          <w:p>
            <w:pPr>
              <w:pStyle w:val="Compact"/>
              <w:jc w:val="left"/>
            </w:pPr>
            <w:r>
              <w:t xml:space="preserve">MIN</w:t>
            </w:r>
          </w:p>
        </w:tc>
        <w:tc>
          <w:tcPr/>
          <w:p>
            <w:pPr>
              <w:pStyle w:val="Compact"/>
              <w:jc w:val="left"/>
            </w:pPr>
            <w:r>
              <w:t xml:space="preserve">0.75</w:t>
            </w:r>
          </w:p>
        </w:tc>
        <w:tc>
          <w:tcPr/>
          <w:p>
            <w:pPr>
              <w:pStyle w:val="Compact"/>
              <w:jc w:val="left"/>
            </w:pPr>
            <w:r>
              <w:t xml:space="preserve">0.86</w:t>
            </w:r>
          </w:p>
        </w:tc>
        <w:tc>
          <w:tcPr/>
          <w:p>
            <w:pPr>
              <w:pStyle w:val="Compact"/>
              <w:jc w:val="left"/>
            </w:pPr>
            <w:r>
              <w:t xml:space="preserve">1.04</w:t>
            </w:r>
          </w:p>
        </w:tc>
        <w:tc>
          <w:tcPr/>
          <w:p>
            <w:pPr>
              <w:pStyle w:val="Compact"/>
              <w:jc w:val="left"/>
            </w:pPr>
            <w:r>
              <w:t xml:space="preserve">0.16</w:t>
            </w:r>
          </w:p>
        </w:tc>
      </w:tr>
      <w:tr>
        <w:tc>
          <w:tcPr/>
          <w:p>
            <w:pPr>
              <w:pStyle w:val="Compact"/>
              <w:jc w:val="left"/>
            </w:pPr>
            <w:r>
              <w:t xml:space="preserve">DOWNVOL</w:t>
            </w:r>
          </w:p>
        </w:tc>
        <w:tc>
          <w:tcPr/>
          <w:p>
            <w:pPr>
              <w:pStyle w:val="Compact"/>
              <w:jc w:val="left"/>
            </w:pPr>
            <w:r>
              <w:t xml:space="preserve">-0.82</w:t>
            </w:r>
          </w:p>
        </w:tc>
        <w:tc>
          <w:tcPr/>
          <w:p>
            <w:pPr>
              <w:pStyle w:val="Compact"/>
              <w:jc w:val="left"/>
            </w:pPr>
            <w:r>
              <w:t xml:space="preserve">-0.84</w:t>
            </w:r>
          </w:p>
        </w:tc>
        <w:tc>
          <w:tcPr/>
          <w:p>
            <w:pPr>
              <w:pStyle w:val="Compact"/>
              <w:jc w:val="left"/>
            </w:pPr>
            <w:r>
              <w:t xml:space="preserve">-0.85</w:t>
            </w:r>
          </w:p>
        </w:tc>
        <w:tc>
          <w:tcPr/>
          <w:p>
            <w:pPr>
              <w:pStyle w:val="Compact"/>
              <w:jc w:val="left"/>
            </w:pPr>
            <w:r>
              <w:t xml:space="preserve">0.21</w:t>
            </w:r>
          </w:p>
        </w:tc>
      </w:tr>
      <w:tr>
        <w:tc>
          <w:tcPr/>
          <w:p>
            <w:pPr>
              <w:pStyle w:val="Compact"/>
              <w:jc w:val="left"/>
            </w:pPr>
            <w:r>
              <w:t xml:space="preserve">CSSPREAD</w:t>
            </w:r>
          </w:p>
        </w:tc>
        <w:tc>
          <w:tcPr/>
          <w:p>
            <w:pPr>
              <w:pStyle w:val="Compact"/>
              <w:jc w:val="left"/>
            </w:pPr>
            <w:r>
              <w:t xml:space="preserve">-0.80</w:t>
            </w:r>
          </w:p>
        </w:tc>
        <w:tc>
          <w:tcPr/>
          <w:p>
            <w:pPr>
              <w:pStyle w:val="Compact"/>
              <w:jc w:val="left"/>
            </w:pPr>
            <w:r>
              <w:t xml:space="preserve">-0.77</w:t>
            </w:r>
          </w:p>
        </w:tc>
        <w:tc>
          <w:tcPr/>
          <w:p>
            <w:pPr>
              <w:pStyle w:val="Compact"/>
              <w:jc w:val="left"/>
            </w:pPr>
            <w:r>
              <w:t xml:space="preserve">-0.73</w:t>
            </w:r>
          </w:p>
        </w:tc>
        <w:tc>
          <w:tcPr/>
          <w:p>
            <w:pPr>
              <w:pStyle w:val="Compact"/>
              <w:jc w:val="left"/>
            </w:pPr>
            <w:r>
              <w:t xml:space="preserve">0.19</w:t>
            </w:r>
          </w:p>
        </w:tc>
      </w:tr>
      <w:tr>
        <w:tc>
          <w:tcPr/>
          <w:p>
            <w:pPr>
              <w:pStyle w:val="Compact"/>
              <w:jc w:val="left"/>
            </w:pPr>
            <w:r>
              <w:t xml:space="preserve">INTRADAY</w:t>
            </w:r>
          </w:p>
        </w:tc>
        <w:tc>
          <w:tcPr/>
          <w:p>
            <w:pPr>
              <w:pStyle w:val="Compact"/>
              <w:jc w:val="left"/>
            </w:pPr>
            <w:r>
              <w:t xml:space="preserve">0.57</w:t>
            </w:r>
          </w:p>
        </w:tc>
        <w:tc>
          <w:tcPr/>
          <w:p>
            <w:pPr>
              <w:pStyle w:val="Compact"/>
              <w:jc w:val="left"/>
            </w:pPr>
            <w:r>
              <w:t xml:space="preserve">0.62</w:t>
            </w:r>
          </w:p>
        </w:tc>
        <w:tc>
          <w:tcPr/>
          <w:p>
            <w:pPr>
              <w:pStyle w:val="Compact"/>
              <w:jc w:val="left"/>
            </w:pPr>
            <w:r>
              <w:t xml:space="preserve">0.76</w:t>
            </w:r>
          </w:p>
        </w:tc>
        <w:tc>
          <w:tcPr/>
          <w:p>
            <w:pPr>
              <w:pStyle w:val="Compact"/>
              <w:jc w:val="left"/>
            </w:pPr>
            <w:r>
              <w:t xml:space="preserve">0.16</w:t>
            </w:r>
          </w:p>
        </w:tc>
      </w:tr>
      <w:tr>
        <w:tc>
          <w:tcPr/>
          <w:p>
            <w:pPr>
              <w:pStyle w:val="Compact"/>
              <w:jc w:val="left"/>
            </w:pPr>
            <w:r>
              <w:t xml:space="preserve">IVOL</w:t>
            </w:r>
          </w:p>
        </w:tc>
        <w:tc>
          <w:tcPr/>
          <w:p>
            <w:pPr>
              <w:pStyle w:val="Compact"/>
              <w:jc w:val="left"/>
            </w:pPr>
            <w:r>
              <w:t xml:space="preserve">-0.52</w:t>
            </w:r>
          </w:p>
        </w:tc>
        <w:tc>
          <w:tcPr/>
          <w:p>
            <w:pPr>
              <w:pStyle w:val="Compact"/>
              <w:jc w:val="left"/>
            </w:pPr>
            <w:r>
              <w:t xml:space="preserve">-0.54</w:t>
            </w:r>
          </w:p>
        </w:tc>
        <w:tc>
          <w:tcPr/>
          <w:p>
            <w:pPr>
              <w:pStyle w:val="Compact"/>
              <w:jc w:val="left"/>
            </w:pPr>
            <w:r>
              <w:t xml:space="preserve">-0.62</w:t>
            </w:r>
          </w:p>
        </w:tc>
        <w:tc>
          <w:tcPr/>
          <w:p>
            <w:pPr>
              <w:pStyle w:val="Compact"/>
              <w:jc w:val="left"/>
            </w:pPr>
            <w:r>
              <w:t xml:space="preserve">0.14</w:t>
            </w:r>
          </w:p>
        </w:tc>
      </w:tr>
      <w:tr>
        <w:tc>
          <w:tcPr/>
          <w:p>
            <w:pPr>
              <w:pStyle w:val="Compact"/>
              <w:jc w:val="left"/>
            </w:pPr>
            <w:r>
              <w:t xml:space="preserve">RANGEVOL</w:t>
            </w:r>
          </w:p>
        </w:tc>
        <w:tc>
          <w:tcPr/>
          <w:p>
            <w:pPr>
              <w:pStyle w:val="Compact"/>
              <w:jc w:val="left"/>
            </w:pPr>
            <w:r>
              <w:t xml:space="preserve">-0.51</w:t>
            </w:r>
          </w:p>
        </w:tc>
        <w:tc>
          <w:tcPr/>
          <w:p>
            <w:pPr>
              <w:pStyle w:val="Compact"/>
              <w:jc w:val="left"/>
            </w:pPr>
            <w:r>
              <w:t xml:space="preserve">-0.51</w:t>
            </w:r>
          </w:p>
        </w:tc>
        <w:tc>
          <w:tcPr/>
          <w:p>
            <w:pPr>
              <w:pStyle w:val="Compact"/>
              <w:jc w:val="left"/>
            </w:pPr>
            <w:r>
              <w:t xml:space="preserve">-0.50</w:t>
            </w:r>
          </w:p>
        </w:tc>
        <w:tc>
          <w:tcPr/>
          <w:p>
            <w:pPr>
              <w:pStyle w:val="Compact"/>
              <w:jc w:val="left"/>
            </w:pPr>
            <w:r>
              <w:t xml:space="preserve">0.20</w:t>
            </w:r>
          </w:p>
        </w:tc>
      </w:tr>
      <w:tr>
        <w:tc>
          <w:tcPr/>
          <w:p>
            <w:pPr>
              <w:pStyle w:val="Compact"/>
              <w:jc w:val="left"/>
            </w:pPr>
            <w:r>
              <w:t xml:space="preserve">REV1W</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0.46</w:t>
            </w:r>
          </w:p>
        </w:tc>
        <w:tc>
          <w:tcPr/>
          <w:p>
            <w:pPr>
              <w:pStyle w:val="Compact"/>
              <w:jc w:val="left"/>
            </w:pPr>
            <w:r>
              <w:t xml:space="preserve">0.23</w:t>
            </w:r>
          </w:p>
        </w:tc>
      </w:tr>
      <w:tr>
        <w:tc>
          <w:tcPr/>
          <w:p>
            <w:pPr>
              <w:pStyle w:val="Compact"/>
              <w:jc w:val="left"/>
            </w:pPr>
            <w:r>
              <w:t xml:space="preserve">LIMITFREQ</w:t>
            </w:r>
          </w:p>
        </w:tc>
        <w:tc>
          <w:tcPr/>
          <w:p>
            <w:pPr>
              <w:pStyle w:val="Compact"/>
              <w:jc w:val="left"/>
            </w:pPr>
            <w:r>
              <w:t xml:space="preserve">-0.26</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0.25</w:t>
            </w:r>
          </w:p>
        </w:tc>
      </w:tr>
      <w:tr>
        <w:tc>
          <w:tcPr/>
          <w:p>
            <w:pPr>
              <w:pStyle w:val="Compact"/>
              <w:jc w:val="left"/>
            </w:pPr>
            <w:r>
              <w:t xml:space="preserve">LNDVOL</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0.25</w:t>
            </w:r>
          </w:p>
        </w:tc>
      </w:tr>
      <w:tr>
        <w:tc>
          <w:tcPr/>
          <w:p>
            <w:pPr>
              <w:pStyle w:val="Compact"/>
              <w:jc w:val="left"/>
            </w:pPr>
            <w:r>
              <w:t xml:space="preserve">AMIHUD</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0.24</w:t>
            </w:r>
          </w:p>
        </w:tc>
      </w:tr>
      <w:tr>
        <w:tc>
          <w:tcPr/>
          <w:p>
            <w:pPr>
              <w:pStyle w:val="Compact"/>
              <w:jc w:val="left"/>
            </w:pPr>
            <w:r>
              <w:t xml:space="preserve">KURT</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0.21</w:t>
            </w:r>
          </w:p>
        </w:tc>
        <w:tc>
          <w:tcPr/>
          <w:p>
            <w:pPr>
              <w:pStyle w:val="Compact"/>
              <w:jc w:val="left"/>
            </w:pPr>
            <w:r>
              <w:t xml:space="preserve">0.16</w:t>
            </w:r>
          </w:p>
        </w:tc>
      </w:tr>
      <w:tr>
        <w:tc>
          <w:tcPr/>
          <w:p>
            <w:pPr>
              <w:pStyle w:val="Compact"/>
              <w:jc w:val="left"/>
            </w:pPr>
            <w:r>
              <w:t xml:space="preserve">BETA</w:t>
            </w:r>
          </w:p>
        </w:tc>
        <w:tc>
          <w:tcPr/>
          <w:p>
            <w:pPr>
              <w:pStyle w:val="Compact"/>
              <w:jc w:val="left"/>
            </w:pPr>
            <w:r>
              <w:t xml:space="preserve">-0.18</w:t>
            </w:r>
          </w:p>
        </w:tc>
        <w:tc>
          <w:tcPr/>
          <w:p>
            <w:pPr>
              <w:pStyle w:val="Compact"/>
              <w:jc w:val="left"/>
            </w:pPr>
            <w:r>
              <w:t xml:space="preserve">-0.18</w:t>
            </w:r>
          </w:p>
        </w:tc>
        <w:tc>
          <w:tcPr/>
          <w:p>
            <w:pPr>
              <w:pStyle w:val="Compact"/>
              <w:jc w:val="left"/>
            </w:pPr>
            <w:r>
              <w:t xml:space="preserve">-0.18</w:t>
            </w:r>
          </w:p>
        </w:tc>
        <w:tc>
          <w:tcPr/>
          <w:p>
            <w:pPr>
              <w:pStyle w:val="Compact"/>
              <w:jc w:val="left"/>
            </w:pPr>
            <w:r>
              <w:t xml:space="preserve">0.31</w:t>
            </w:r>
          </w:p>
        </w:tc>
      </w:tr>
      <w:tr>
        <w:tc>
          <w:tcPr/>
          <w:p>
            <w:pPr>
              <w:pStyle w:val="Compact"/>
              <w:jc w:val="left"/>
            </w:pPr>
            <w:r>
              <w:t xml:space="preserve">VOL</w:t>
            </w:r>
          </w:p>
        </w:tc>
        <w:tc>
          <w:tcPr/>
          <w:p>
            <w:pPr>
              <w:pStyle w:val="Compact"/>
              <w:jc w:val="left"/>
            </w:pPr>
            <w:r>
              <w:t xml:space="preserve">-0.09</w:t>
            </w:r>
          </w:p>
        </w:tc>
        <w:tc>
          <w:tcPr/>
          <w:p>
            <w:pPr>
              <w:pStyle w:val="Compact"/>
              <w:jc w:val="left"/>
            </w:pPr>
            <w:r>
              <w:t xml:space="preserve">-0.09</w:t>
            </w:r>
          </w:p>
        </w:tc>
        <w:tc>
          <w:tcPr/>
          <w:p>
            <w:pPr>
              <w:pStyle w:val="Compact"/>
              <w:jc w:val="left"/>
            </w:pPr>
            <w:r>
              <w:t xml:space="preserve">-0.09</w:t>
            </w:r>
          </w:p>
        </w:tc>
        <w:tc>
          <w:tcPr/>
          <w:p>
            <w:pPr>
              <w:pStyle w:val="Compact"/>
              <w:jc w:val="left"/>
            </w:pPr>
            <w:r>
              <w:t xml:space="preserve">0.20</w:t>
            </w:r>
          </w:p>
        </w:tc>
      </w:tr>
      <w:tr>
        <w:tc>
          <w:tcPr/>
          <w:p>
            <w:pPr>
              <w:pStyle w:val="Compact"/>
              <w:jc w:val="left"/>
            </w:pPr>
            <w:r>
              <w:t xml:space="preserve">OVERNIGHT</w:t>
            </w:r>
          </w:p>
        </w:tc>
        <w:tc>
          <w:tcPr/>
          <w:p>
            <w:pPr>
              <w:pStyle w:val="Compact"/>
              <w:jc w:val="left"/>
            </w:pPr>
            <w:r>
              <w:t xml:space="preserve">0.06</w:t>
            </w:r>
          </w:p>
        </w:tc>
        <w:tc>
          <w:tcPr/>
          <w:p>
            <w:pPr>
              <w:pStyle w:val="Compact"/>
              <w:jc w:val="left"/>
            </w:pPr>
            <w:r>
              <w:t xml:space="preserve">0.06</w:t>
            </w:r>
          </w:p>
        </w:tc>
        <w:tc>
          <w:tcPr/>
          <w:p>
            <w:pPr>
              <w:pStyle w:val="Compact"/>
              <w:jc w:val="left"/>
            </w:pPr>
            <w:r>
              <w:t xml:space="preserve">0.05</w:t>
            </w:r>
          </w:p>
        </w:tc>
        <w:tc>
          <w:tcPr/>
          <w:p>
            <w:pPr>
              <w:pStyle w:val="Compact"/>
              <w:jc w:val="left"/>
            </w:pPr>
            <w:r>
              <w:t xml:space="preserve">0.18</w:t>
            </w:r>
          </w:p>
        </w:tc>
      </w:tr>
      <w:tr>
        <w:tc>
          <w:tcPr/>
          <w:p>
            <w:pPr>
              <w:pStyle w:val="Compact"/>
              <w:jc w:val="left"/>
            </w:pPr>
            <w:r>
              <w:t xml:space="preserve">SKEW</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0.12</w:t>
            </w:r>
          </w:p>
        </w:tc>
      </w:tr>
      <w:tr>
        <w:tc>
          <w:tcPr/>
          <w:p>
            <w:pPr>
              <w:pStyle w:val="Compact"/>
              <w:jc w:val="left"/>
            </w:pPr>
            <w:r>
              <w:t xml:space="preserve">MAX</w:t>
            </w:r>
          </w:p>
        </w:tc>
        <w:tc>
          <w:tcPr/>
          <w:p>
            <w:pPr>
              <w:pStyle w:val="Compact"/>
              <w:jc w:val="left"/>
            </w:pPr>
            <w:r>
              <w:t xml:space="preserve">-0.02</w:t>
            </w:r>
          </w:p>
        </w:tc>
        <w:tc>
          <w:tcPr/>
          <w:p>
            <w:pPr>
              <w:pStyle w:val="Compact"/>
              <w:jc w:val="left"/>
            </w:pPr>
            <w:r>
              <w:t xml:space="preserve">-0.02</w:t>
            </w:r>
          </w:p>
        </w:tc>
        <w:tc>
          <w:tcPr/>
          <w:p>
            <w:pPr>
              <w:pStyle w:val="Compact"/>
              <w:jc w:val="left"/>
            </w:pPr>
            <w:r>
              <w:t xml:space="preserve">-0.02</w:t>
            </w:r>
          </w:p>
        </w:tc>
        <w:tc>
          <w:tcPr/>
          <w:p>
            <w:pPr>
              <w:pStyle w:val="Compact"/>
              <w:jc w:val="left"/>
            </w:pPr>
            <w:r>
              <w:t xml:space="preserve">0.15</w:t>
            </w:r>
          </w:p>
        </w:tc>
      </w:tr>
    </w:tbl>
    <w:p>
      <w:pPr>
        <w:pStyle w:val="BodyText"/>
      </w:pPr>
      <w:r>
        <w:rPr>
          <w:iCs/>
          <w:i/>
        </w:rPr>
        <w:t xml:space="preserve">Power and effective tests.</w:t>
      </w:r>
      <w:r>
        <w:t xml:space="preserve"> </w:t>
      </w:r>
      <w:r>
        <w:t xml:space="preserve">With 79 weekly cross-sections the minimum detectable slope is between 0.12 and 0.31 percentage points per week per standard deviation of the characteristic (Table 8); a null for characteristics below that size is not informative. The 22 characteristics are correlated: the effective number of tests is about 6.8 by the participation ratio of the average correlation matrix and 14 by the Li–Ji method, so the Benjamini–Hochberg control over 22 nominal tests is conservative. The conclusions about the characteristics do not depend on the Newey–West lag: the largest absolute t-statistic is 1.79 at 8 lags (DVOLCHG; MOM3M 1.74; both below 1.96).</w:t>
      </w:r>
    </w:p>
    <w:p>
      <w:pPr>
        <w:pStyle w:val="BodyText"/>
      </w:pPr>
      <w:r>
        <w:rPr>
          <w:iCs/>
          <w:i/>
        </w:rPr>
        <w:t xml:space="preserve">Selection across projects.</w:t>
      </w:r>
      <w:r>
        <w:t xml:space="preserve"> </w:t>
      </w:r>
      <w:r>
        <w:t xml:space="preserve">The family-wide control addresses the 26 tests in this manuscript. Paper C is one of three manuscripts produced from the same data and was chosen after the earlier two returned null results, from a list of 14 candidate ideas (</w:t>
      </w:r>
      <w:r>
        <w:rPr>
          <w:rStyle w:val="VerbatimChar"/>
        </w:rPr>
        <w:t xml:space="preserve">process/03_brainstorm_round2.md</w:t>
      </w:r>
      <w:r>
        <w:t xml:space="preserve">); estimates of an effect chosen because it is large are biased upward in expectation (winner’s curse). To bound the issue we report that all four event tests would still survive a Bonferroni correction at 5% for a project-wide family of up to 683 tests when p-values use a t reference with date clusters (the largest event p-value is 7.3e-05; the normal reference used in the first draft gave 816 tests), and for up to 125 tests with calendar-week clusters (largest p-value 4.0e-04). The size of the project-wide family is arbitrary, and the bound addresses false discoveries, not the winner’s-curse bias in the size of the effect.</w:t>
      </w:r>
    </w:p>
    <w:bookmarkEnd w:id="40"/>
    <w:bookmarkStart w:id="41" w:name="X1026b267c654a72192686855b8c38dd2421408a"/>
    <w:p>
      <w:pPr>
        <w:pStyle w:val="Heading2"/>
      </w:pPr>
      <w:r>
        <w:t xml:space="preserve">4.8 The May 2025 trading-platform change (post hoc)</w:t>
      </w:r>
    </w:p>
    <w:p>
      <w:pPr>
        <w:pStyle w:val="FirstParagraph"/>
      </w:pPr>
      <w:r>
        <w:t xml:space="preserve">HOSE moved to the KRX trading platform on 5 May 2025, inside the sample (Section 2). We split events by the date of the opening that defines the gap: 936 ceiling events open before the change and 2,263 after it.</w:t>
      </w:r>
    </w:p>
    <w:p>
      <w:pPr>
        <w:pStyle w:val="BodyText"/>
      </w:pPr>
      <w:r>
        <w:t xml:space="preserve">Table 9. Next-day abnormal returns (%, market-adjusted, lagged weights) before and after the KRX platform change of 5 May 2025, two-way-clustered t-statistics in parentheses; the difference t-statistic treats the two periods as independent.</w:t>
      </w:r>
    </w:p>
    <w:tbl>
      <w:tblPr>
        <w:tblStyle w:val="Table"/>
        <w:tblW w:type="pct" w:w="5000"/>
        <w:tblLook w:firstRow="1" w:lastRow="0" w:firstColumn="0" w:lastColumn="0" w:noHBand="0" w:noVBand="0" w:val="0020"/>
        <w:jc w:val="start"/>
      </w:tblPr>
      <w:tblGrid>
        <w:gridCol w:w="633"/>
        <w:gridCol w:w="1980"/>
        <w:gridCol w:w="1346"/>
        <w:gridCol w:w="792"/>
        <w:gridCol w:w="1267"/>
        <w:gridCol w:w="712"/>
        <w:gridCol w:w="1188"/>
      </w:tblGrid>
      <w:tr>
        <w:trPr>
          <w:tblHeader w:val="true"/>
        </w:trPr>
        <w:tc>
          <w:tcPr/>
          <w:p>
            <w:pPr>
              <w:pStyle w:val="Compact"/>
              <w:jc w:val="left"/>
            </w:pPr>
            <w:r>
              <w:t xml:space="preserve">Event</w:t>
            </w:r>
          </w:p>
        </w:tc>
        <w:tc>
          <w:tcPr/>
          <w:p>
            <w:pPr>
              <w:pStyle w:val="Compact"/>
              <w:jc w:val="left"/>
            </w:pPr>
            <w:r>
              <w:t xml:space="preserve">Outcome</w:t>
            </w:r>
          </w:p>
        </w:tc>
        <w:tc>
          <w:tcPr/>
          <w:p>
            <w:pPr>
              <w:pStyle w:val="Compact"/>
              <w:jc w:val="left"/>
            </w:pPr>
            <w:r>
              <w:t xml:space="preserve">Before: mean (t)</w:t>
            </w:r>
          </w:p>
        </w:tc>
        <w:tc>
          <w:tcPr/>
          <w:p>
            <w:pPr>
              <w:pStyle w:val="Compact"/>
              <w:jc w:val="left"/>
            </w:pPr>
            <w:r>
              <w:t xml:space="preserve">Before: n</w:t>
            </w:r>
          </w:p>
        </w:tc>
        <w:tc>
          <w:tcPr/>
          <w:p>
            <w:pPr>
              <w:pStyle w:val="Compact"/>
              <w:jc w:val="left"/>
            </w:pPr>
            <w:r>
              <w:t xml:space="preserve">After: mean (t)</w:t>
            </w:r>
          </w:p>
        </w:tc>
        <w:tc>
          <w:tcPr/>
          <w:p>
            <w:pPr>
              <w:pStyle w:val="Compact"/>
              <w:jc w:val="left"/>
            </w:pPr>
            <w:r>
              <w:t xml:space="preserve">After: n</w:t>
            </w:r>
          </w:p>
        </w:tc>
        <w:tc>
          <w:tcPr/>
          <w:p>
            <w:pPr>
              <w:pStyle w:val="Compact"/>
              <w:jc w:val="left"/>
            </w:pPr>
            <w:r>
              <w:t xml:space="preserve">Difference (t)</w:t>
            </w:r>
          </w:p>
        </w:tc>
      </w:tr>
      <w:tr>
        <w:tc>
          <w:tcPr/>
          <w:p>
            <w:pPr>
              <w:pStyle w:val="Compact"/>
              <w:jc w:val="left"/>
            </w:pPr>
            <w:r>
              <w:t xml:space="preserve">Ceiling</w:t>
            </w:r>
          </w:p>
        </w:tc>
        <w:tc>
          <w:tcPr/>
          <w:p>
            <w:pPr>
              <w:pStyle w:val="Compact"/>
              <w:jc w:val="left"/>
            </w:pPr>
            <w:r>
              <w:t xml:space="preserve">Overnight gap</w:t>
            </w:r>
          </w:p>
        </w:tc>
        <w:tc>
          <w:tcPr/>
          <w:p>
            <w:pPr>
              <w:pStyle w:val="Compact"/>
              <w:jc w:val="left"/>
            </w:pPr>
            <w:r>
              <w:t xml:space="preserve">1.65 (3.2)</w:t>
            </w:r>
          </w:p>
        </w:tc>
        <w:tc>
          <w:tcPr/>
          <w:p>
            <w:pPr>
              <w:pStyle w:val="Compact"/>
              <w:jc w:val="left"/>
            </w:pPr>
            <w:r>
              <w:t xml:space="preserve">936</w:t>
            </w:r>
          </w:p>
        </w:tc>
        <w:tc>
          <w:tcPr/>
          <w:p>
            <w:pPr>
              <w:pStyle w:val="Compact"/>
              <w:jc w:val="left"/>
            </w:pPr>
            <w:r>
              <w:t xml:space="preserve">2.49 (17.9)</w:t>
            </w:r>
          </w:p>
        </w:tc>
        <w:tc>
          <w:tcPr/>
          <w:p>
            <w:pPr>
              <w:pStyle w:val="Compact"/>
              <w:jc w:val="left"/>
            </w:pPr>
            <w:r>
              <w:t xml:space="preserve">2,263</w:t>
            </w:r>
          </w:p>
        </w:tc>
        <w:tc>
          <w:tcPr/>
          <w:p>
            <w:pPr>
              <w:pStyle w:val="Compact"/>
              <w:jc w:val="left"/>
            </w:pPr>
            <w:r>
              <w:t xml:space="preserve">0.85 (1.6)</w:t>
            </w:r>
          </w:p>
        </w:tc>
      </w:tr>
      <w:tr>
        <w:tc>
          <w:tcPr/>
          <w:p>
            <w:pPr>
              <w:pStyle w:val="Compact"/>
              <w:jc w:val="left"/>
            </w:pPr>
            <w:r>
              <w:t xml:space="preserve">Ceiling</w:t>
            </w:r>
          </w:p>
        </w:tc>
        <w:tc>
          <w:tcPr/>
          <w:p>
            <w:pPr>
              <w:pStyle w:val="Compact"/>
              <w:jc w:val="left"/>
            </w:pPr>
            <w:r>
              <w:t xml:space="preserve">Intraday</w:t>
            </w:r>
          </w:p>
        </w:tc>
        <w:tc>
          <w:tcPr/>
          <w:p>
            <w:pPr>
              <w:pStyle w:val="Compact"/>
              <w:jc w:val="left"/>
            </w:pPr>
            <w:r>
              <w:t xml:space="preserve">-0.77 (-2.0)</w:t>
            </w:r>
          </w:p>
        </w:tc>
        <w:tc>
          <w:tcPr/>
          <w:p>
            <w:pPr>
              <w:pStyle w:val="Compact"/>
              <w:jc w:val="left"/>
            </w:pPr>
            <w:r>
              <w:t xml:space="preserve">936</w:t>
            </w:r>
          </w:p>
        </w:tc>
        <w:tc>
          <w:tcPr/>
          <w:p>
            <w:pPr>
              <w:pStyle w:val="Compact"/>
              <w:jc w:val="left"/>
            </w:pPr>
            <w:r>
              <w:t xml:space="preserve">-0.44 (-4.3)</w:t>
            </w:r>
          </w:p>
        </w:tc>
        <w:tc>
          <w:tcPr/>
          <w:p>
            <w:pPr>
              <w:pStyle w:val="Compact"/>
              <w:jc w:val="left"/>
            </w:pPr>
            <w:r>
              <w:t xml:space="preserve">2,263</w:t>
            </w:r>
          </w:p>
        </w:tc>
        <w:tc>
          <w:tcPr/>
          <w:p>
            <w:pPr>
              <w:pStyle w:val="Compact"/>
              <w:jc w:val="left"/>
            </w:pPr>
            <w:r>
              <w:t xml:space="preserve">0.34 (0.8)</w:t>
            </w:r>
          </w:p>
        </w:tc>
      </w:tr>
      <w:tr>
        <w:tc>
          <w:tcPr/>
          <w:p>
            <w:pPr>
              <w:pStyle w:val="Compact"/>
              <w:jc w:val="left"/>
            </w:pPr>
            <w:r>
              <w:t xml:space="preserve">Ceiling</w:t>
            </w:r>
          </w:p>
        </w:tc>
        <w:tc>
          <w:tcPr/>
          <w:p>
            <w:pPr>
              <w:pStyle w:val="Compact"/>
              <w:jc w:val="left"/>
            </w:pPr>
            <w:r>
              <w:t xml:space="preserve">Close-to-close</w:t>
            </w:r>
          </w:p>
        </w:tc>
        <w:tc>
          <w:tcPr/>
          <w:p>
            <w:pPr>
              <w:pStyle w:val="Compact"/>
              <w:jc w:val="left"/>
            </w:pPr>
            <w:r>
              <w:t xml:space="preserve">0.83 (1.0)</w:t>
            </w:r>
          </w:p>
        </w:tc>
        <w:tc>
          <w:tcPr/>
          <w:p>
            <w:pPr>
              <w:pStyle w:val="Compact"/>
              <w:jc w:val="left"/>
            </w:pPr>
            <w:r>
              <w:t xml:space="preserve">936</w:t>
            </w:r>
          </w:p>
        </w:tc>
        <w:tc>
          <w:tcPr/>
          <w:p>
            <w:pPr>
              <w:pStyle w:val="Compact"/>
              <w:jc w:val="left"/>
            </w:pPr>
            <w:r>
              <w:t xml:space="preserve">2.01 (14.6)</w:t>
            </w:r>
          </w:p>
        </w:tc>
        <w:tc>
          <w:tcPr/>
          <w:p>
            <w:pPr>
              <w:pStyle w:val="Compact"/>
              <w:jc w:val="left"/>
            </w:pPr>
            <w:r>
              <w:t xml:space="preserve">2,263</w:t>
            </w:r>
          </w:p>
        </w:tc>
        <w:tc>
          <w:tcPr/>
          <w:p>
            <w:pPr>
              <w:pStyle w:val="Compact"/>
              <w:jc w:val="left"/>
            </w:pPr>
            <w:r>
              <w:t xml:space="preserve">1.18 (1.3)</w:t>
            </w:r>
          </w:p>
        </w:tc>
      </w:tr>
      <w:tr>
        <w:tc>
          <w:tcPr/>
          <w:p>
            <w:pPr>
              <w:pStyle w:val="Compact"/>
              <w:jc w:val="left"/>
            </w:pPr>
            <w:r>
              <w:t xml:space="preserve">Ceiling</w:t>
            </w:r>
          </w:p>
        </w:tc>
        <w:tc>
          <w:tcPr/>
          <w:p>
            <w:pPr>
              <w:pStyle w:val="Compact"/>
              <w:jc w:val="left"/>
            </w:pPr>
            <w:r>
              <w:t xml:space="preserve">Next open to day-5 close</w:t>
            </w:r>
          </w:p>
        </w:tc>
        <w:tc>
          <w:tcPr/>
          <w:p>
            <w:pPr>
              <w:pStyle w:val="Compact"/>
              <w:jc w:val="left"/>
            </w:pPr>
            <w:r>
              <w:t xml:space="preserve">-0.71 (-1.3)</w:t>
            </w:r>
          </w:p>
        </w:tc>
        <w:tc>
          <w:tcPr/>
          <w:p>
            <w:pPr>
              <w:pStyle w:val="Compact"/>
              <w:jc w:val="left"/>
            </w:pPr>
            <w:r>
              <w:t xml:space="preserve">936</w:t>
            </w:r>
          </w:p>
        </w:tc>
        <w:tc>
          <w:tcPr/>
          <w:p>
            <w:pPr>
              <w:pStyle w:val="Compact"/>
              <w:jc w:val="left"/>
            </w:pPr>
            <w:r>
              <w:t xml:space="preserve">-0.77 (-2.5)</w:t>
            </w:r>
          </w:p>
        </w:tc>
        <w:tc>
          <w:tcPr/>
          <w:p>
            <w:pPr>
              <w:pStyle w:val="Compact"/>
              <w:jc w:val="left"/>
            </w:pPr>
            <w:r>
              <w:t xml:space="preserve">2,257</w:t>
            </w:r>
          </w:p>
        </w:tc>
        <w:tc>
          <w:tcPr/>
          <w:p>
            <w:pPr>
              <w:pStyle w:val="Compact"/>
              <w:jc w:val="left"/>
            </w:pPr>
            <w:r>
              <w:t xml:space="preserve">-0.06 (-0.1)</w:t>
            </w:r>
          </w:p>
        </w:tc>
      </w:tr>
      <w:tr>
        <w:tc>
          <w:tcPr/>
          <w:p>
            <w:pPr>
              <w:pStyle w:val="Compact"/>
              <w:jc w:val="left"/>
            </w:pPr>
            <w:r>
              <w:t xml:space="preserve">Floor</w:t>
            </w:r>
          </w:p>
        </w:tc>
        <w:tc>
          <w:tcPr/>
          <w:p>
            <w:pPr>
              <w:pStyle w:val="Compact"/>
              <w:jc w:val="left"/>
            </w:pPr>
            <w:r>
              <w:t xml:space="preserve">Overnight gap</w:t>
            </w:r>
          </w:p>
        </w:tc>
        <w:tc>
          <w:tcPr/>
          <w:p>
            <w:pPr>
              <w:pStyle w:val="Compact"/>
              <w:jc w:val="left"/>
            </w:pPr>
            <w:r>
              <w:t xml:space="preserve">-0.42 (-1.9)</w:t>
            </w:r>
          </w:p>
        </w:tc>
        <w:tc>
          <w:tcPr/>
          <w:p>
            <w:pPr>
              <w:pStyle w:val="Compact"/>
              <w:jc w:val="left"/>
            </w:pPr>
            <w:r>
              <w:t xml:space="preserve">891</w:t>
            </w:r>
          </w:p>
        </w:tc>
        <w:tc>
          <w:tcPr/>
          <w:p>
            <w:pPr>
              <w:pStyle w:val="Compact"/>
              <w:jc w:val="left"/>
            </w:pPr>
            <w:r>
              <w:t xml:space="preserve">-1.37 (-7.0)</w:t>
            </w:r>
          </w:p>
        </w:tc>
        <w:tc>
          <w:tcPr/>
          <w:p>
            <w:pPr>
              <w:pStyle w:val="Compact"/>
              <w:jc w:val="left"/>
            </w:pPr>
            <w:r>
              <w:t xml:space="preserve">1,220</w:t>
            </w:r>
          </w:p>
        </w:tc>
        <w:tc>
          <w:tcPr/>
          <w:p>
            <w:pPr>
              <w:pStyle w:val="Compact"/>
              <w:jc w:val="left"/>
            </w:pPr>
            <w:r>
              <w:t xml:space="preserve">-0.95 (-3.2)</w:t>
            </w:r>
          </w:p>
        </w:tc>
      </w:tr>
      <w:tr>
        <w:tc>
          <w:tcPr/>
          <w:p>
            <w:pPr>
              <w:pStyle w:val="Compact"/>
              <w:jc w:val="left"/>
            </w:pPr>
            <w:r>
              <w:t xml:space="preserve">Floor</w:t>
            </w:r>
          </w:p>
        </w:tc>
        <w:tc>
          <w:tcPr/>
          <w:p>
            <w:pPr>
              <w:pStyle w:val="Compact"/>
              <w:jc w:val="left"/>
            </w:pPr>
            <w:r>
              <w:t xml:space="preserve">Intraday</w:t>
            </w:r>
          </w:p>
        </w:tc>
        <w:tc>
          <w:tcPr/>
          <w:p>
            <w:pPr>
              <w:pStyle w:val="Compact"/>
              <w:jc w:val="left"/>
            </w:pPr>
            <w:r>
              <w:t xml:space="preserve">-0.15 (-0.4)</w:t>
            </w:r>
          </w:p>
        </w:tc>
        <w:tc>
          <w:tcPr/>
          <w:p>
            <w:pPr>
              <w:pStyle w:val="Compact"/>
              <w:jc w:val="left"/>
            </w:pPr>
            <w:r>
              <w:t xml:space="preserve">891</w:t>
            </w:r>
          </w:p>
        </w:tc>
        <w:tc>
          <w:tcPr/>
          <w:p>
            <w:pPr>
              <w:pStyle w:val="Compact"/>
              <w:jc w:val="left"/>
            </w:pPr>
            <w:r>
              <w:t xml:space="preserve">0.64 (4.6)</w:t>
            </w:r>
          </w:p>
        </w:tc>
        <w:tc>
          <w:tcPr/>
          <w:p>
            <w:pPr>
              <w:pStyle w:val="Compact"/>
              <w:jc w:val="left"/>
            </w:pPr>
            <w:r>
              <w:t xml:space="preserve">1,220</w:t>
            </w:r>
          </w:p>
        </w:tc>
        <w:tc>
          <w:tcPr/>
          <w:p>
            <w:pPr>
              <w:pStyle w:val="Compact"/>
              <w:jc w:val="left"/>
            </w:pPr>
            <w:r>
              <w:t xml:space="preserve">0.79 (2.0)</w:t>
            </w:r>
          </w:p>
        </w:tc>
      </w:tr>
      <w:tr>
        <w:tc>
          <w:tcPr/>
          <w:p>
            <w:pPr>
              <w:pStyle w:val="Compact"/>
              <w:jc w:val="left"/>
            </w:pPr>
            <w:r>
              <w:t xml:space="preserve">Floor</w:t>
            </w:r>
          </w:p>
        </w:tc>
        <w:tc>
          <w:tcPr/>
          <w:p>
            <w:pPr>
              <w:pStyle w:val="Compact"/>
              <w:jc w:val="left"/>
            </w:pPr>
            <w:r>
              <w:t xml:space="preserve">Close-to-close</w:t>
            </w:r>
          </w:p>
        </w:tc>
        <w:tc>
          <w:tcPr/>
          <w:p>
            <w:pPr>
              <w:pStyle w:val="Compact"/>
              <w:jc w:val="left"/>
            </w:pPr>
            <w:r>
              <w:t xml:space="preserve">-0.57 (-2.3)</w:t>
            </w:r>
          </w:p>
        </w:tc>
        <w:tc>
          <w:tcPr/>
          <w:p>
            <w:pPr>
              <w:pStyle w:val="Compact"/>
              <w:jc w:val="left"/>
            </w:pPr>
            <w:r>
              <w:t xml:space="preserve">891</w:t>
            </w:r>
          </w:p>
        </w:tc>
        <w:tc>
          <w:tcPr/>
          <w:p>
            <w:pPr>
              <w:pStyle w:val="Compact"/>
              <w:jc w:val="left"/>
            </w:pPr>
            <w:r>
              <w:t xml:space="preserve">-0.78 (-5.0)</w:t>
            </w:r>
          </w:p>
        </w:tc>
        <w:tc>
          <w:tcPr/>
          <w:p>
            <w:pPr>
              <w:pStyle w:val="Compact"/>
              <w:jc w:val="left"/>
            </w:pPr>
            <w:r>
              <w:t xml:space="preserve">1,220</w:t>
            </w:r>
          </w:p>
        </w:tc>
        <w:tc>
          <w:tcPr/>
          <w:p>
            <w:pPr>
              <w:pStyle w:val="Compact"/>
              <w:jc w:val="left"/>
            </w:pPr>
            <w:r>
              <w:t xml:space="preserve">-0.21 (-0.7)</w:t>
            </w:r>
          </w:p>
        </w:tc>
      </w:tr>
      <w:tr>
        <w:tc>
          <w:tcPr/>
          <w:p>
            <w:pPr>
              <w:pStyle w:val="Compact"/>
              <w:jc w:val="left"/>
            </w:pPr>
            <w:r>
              <w:t xml:space="preserve">Floor</w:t>
            </w:r>
          </w:p>
        </w:tc>
        <w:tc>
          <w:tcPr/>
          <w:p>
            <w:pPr>
              <w:pStyle w:val="Compact"/>
              <w:jc w:val="left"/>
            </w:pPr>
            <w:r>
              <w:t xml:space="preserve">Next open to day-5 close</w:t>
            </w:r>
          </w:p>
        </w:tc>
        <w:tc>
          <w:tcPr/>
          <w:p>
            <w:pPr>
              <w:pStyle w:val="Compact"/>
              <w:jc w:val="left"/>
            </w:pPr>
            <w:r>
              <w:t xml:space="preserve">-1.73 (-4.7)</w:t>
            </w:r>
          </w:p>
        </w:tc>
        <w:tc>
          <w:tcPr/>
          <w:p>
            <w:pPr>
              <w:pStyle w:val="Compact"/>
              <w:jc w:val="left"/>
            </w:pPr>
            <w:r>
              <w:t xml:space="preserve">891</w:t>
            </w:r>
          </w:p>
        </w:tc>
        <w:tc>
          <w:tcPr/>
          <w:p>
            <w:pPr>
              <w:pStyle w:val="Compact"/>
              <w:jc w:val="left"/>
            </w:pPr>
            <w:r>
              <w:t xml:space="preserve">-0.15 (-0.3)</w:t>
            </w:r>
          </w:p>
        </w:tc>
        <w:tc>
          <w:tcPr/>
          <w:p>
            <w:pPr>
              <w:pStyle w:val="Compact"/>
              <w:jc w:val="left"/>
            </w:pPr>
            <w:r>
              <w:t xml:space="preserve">1,217</w:t>
            </w:r>
          </w:p>
        </w:tc>
        <w:tc>
          <w:tcPr/>
          <w:p>
            <w:pPr>
              <w:pStyle w:val="Compact"/>
              <w:jc w:val="left"/>
            </w:pPr>
            <w:r>
              <w:t xml:space="preserve">1.58 (2.5)</w:t>
            </w:r>
          </w:p>
        </w:tc>
      </w:tr>
    </w:tbl>
    <w:p>
      <w:pPr>
        <w:pStyle w:val="BodyText"/>
      </w:pPr>
      <w:r>
        <w:t xml:space="preserve">The ceiling gap is present in both periods (1.65% before, 2.49% after) and is larger after the change, although the difference is not significant (t = 1.6). The floor gap is larger in absolute value after the change (-0.42% before, -1.37% after; difference t = -3.2), and the intraday return after floor closes turns positive (0.64%, t = 4.6) while the post-open drift to day 5 that Table 6b shows for floors is confined to the earlier period (-1.73% before, -0.15% after). The platform change coincides with a different market period and with a growing sample of events (roughly 60–70% of the events are after the change), so the split documents that the main pattern holds on both sides and that the details differ; it does not isolate an effect of the auction rules.</w:t>
      </w:r>
    </w:p>
    <w:bookmarkEnd w:id="41"/>
    <w:bookmarkEnd w:id="42"/>
    <w:bookmarkStart w:id="43" w:name="discussion"/>
    <w:p>
      <w:pPr>
        <w:pStyle w:val="Heading1"/>
      </w:pPr>
      <w:r>
        <w:t xml:space="preserve">5. Discussion</w:t>
      </w:r>
    </w:p>
    <w:p>
      <w:pPr>
        <w:pStyle w:val="FirstParagraph"/>
      </w:pPr>
      <w:r>
        <w:rPr>
          <w:bCs/>
          <w:b/>
        </w:rPr>
        <w:t xml:space="preserve">Interpretation.</w:t>
      </w:r>
      <w:r>
        <w:t xml:space="preserve"> </w:t>
      </w:r>
      <w:r>
        <w:t xml:space="preserve">The evidence is consistent with delayed price discovery in the sense of Kim and Rhee (1997) and with the continuation reported by Berkman and Lee (2002), with a refinement on timing: the continuation is concentrated in the opening, not spread over the next days, and the intraday return that follows reverses part of it. Berkman et al. (2012) document, for U.S. stocks and without any limit, positive overnight returns followed by intraday reversals, concentrated among stocks that recently attracted retail attention. The signature after ceiling closes is the same, and Lou et al. (2019) show that overnight and intraday returns have different persistence and that heterogeneous traders can explain it. Our data cannot identify who trades, what news arrived, or how the opening auction formed its price (Section 4.4 lists the rival readings). What is specific to this setting is that the gap is larger than for comparable moves just below the limit, including those that also closed at their high, which is the part of the evidence that a pure attention reading must explain. The post-open drift after floor closes, which is confined to the period before the platform change (Section 4.8), is not explained by a gap-only reading.</w:t>
      </w:r>
    </w:p>
    <w:p>
      <w:pPr>
        <w:pStyle w:val="BodyText"/>
      </w:pPr>
      <w:r>
        <w:rPr>
          <w:bCs/>
          <w:b/>
        </w:rPr>
        <w:t xml:space="preserve">Relation to the characteristic zoo.</w:t>
      </w:r>
      <w:r>
        <w:t xml:space="preserve"> </w:t>
      </w:r>
      <w:r>
        <w:t xml:space="preserve">The 22 characteristics serve as a multiplicity device and a null benchmark: the same procedure that lets the limit tests survive rejects every characteristic, which is the contrast the family-wide frame was built to deliver. It is not a separate finding about the cross-section, because the zoo has limited power (minimum detectable slopes of 0.12 to 0.31 percentage points per week). The limit hits are rare (about 2.0% of stock-days in the event window close at the ceiling by the log-specified rule and about 1.1% by the exact tick rule), whereas the characteristics are measured on all stocks every week. We therefore do not claim that limit hits explain the cross-section of returns.</w:t>
      </w:r>
    </w:p>
    <w:p>
      <w:pPr>
        <w:pStyle w:val="BodyText"/>
      </w:pPr>
      <w:r>
        <w:rPr>
          <w:bCs/>
          <w:b/>
        </w:rPr>
        <w:t xml:space="preserve">Implications, conditional on this market and window.</w:t>
      </w:r>
      <w:r>
        <w:t xml:space="preserve"> </w:t>
      </w:r>
      <w:r>
        <w:t xml:space="preserve">The close-to-close and gap estimates describe what happens after limit closes on HOSE in 2024–2026: the next opening carries about two percentage points after ceiling closes and about one after floor closes. They do not show what the limit does to price settlement, because there is no variation in the band, no period without a limit and no measure of the benefits a limit is meant to deliver; a regulator should read them as a description of the post-limit opening. For investors the figures are consistent with not chasing limit-up stocks at the quoted open and with treating the next open as the point at which most of the day-</w:t>
      </w:r>
      <m:oMath>
        <m:r>
          <m:t>t</m:t>
        </m:r>
      </m:oMath>
      <w:r>
        <w:t xml:space="preserve"> </w:t>
      </w:r>
      <w:r>
        <w:t xml:space="preserve">effect is realized; the data that would test them are announcement time stamps, order-book queue sizes at the close and a market or period without a limit; they are not trading advice, and costs, rationing at the open and the platform change within the sample are not modelled.</w:t>
      </w:r>
    </w:p>
    <w:bookmarkEnd w:id="43"/>
    <w:bookmarkStart w:id="44" w:name="limitations"/>
    <w:p>
      <w:pPr>
        <w:pStyle w:val="Heading1"/>
      </w:pPr>
      <w:r>
        <w:t xml:space="preserve">6. Limitations</w:t>
      </w:r>
    </w:p>
    <w:p>
      <w:pPr>
        <w:pStyle w:val="FirstParagraph"/>
      </w:pPr>
      <w:r>
        <w:t xml:space="preserve">The limitations are as follows. (i) The sample is about 25 months (519 trading days), which is short; the specified family and the confirmation half address this only partly, but a longer sample is desirable. The public analysis of tungtran0911 (2026) covers a longer period that contains ours and reports a similar close-to-close effect, but it is not independent of our sample and is not peer reviewed. (ii) There are no order-book or investor-type data, so the unfilled-demand mechanism is inferred. (iii) The 7% limit, the reference price and the platform change are taken from brokerage and press descriptions (HSC, 2025; Viet Nam News, 2025) and checked indirectly (Table 1), not against exchange circulars; the tick-size table and the treatment of ex-rights and ex-dividend reference prices, first-day listing bands and resumed trading are assumptions of the exact-tick definition. (iv) Prices may be adjusted for corporate actions in ways that affect limit-hit classification; the log-specified rule and the exact tick rule give the same sign and similar sizes, which limits but does not eliminate this concern. (v) The decomposition, control group, comparison-group and robustness analyses are post hoc, although they were motivated by the log-specified result and are reported in full; they should be read as explanations of a log-specified finding. (vi) The characteristic tests use one-at-a-time Fama–MacBeth regressions; multivariate and non-linear specifications were not part of the log-specified family. (vii) Clustered standard errors treat dates, weeks, blocks and stocks as the dependence dimensions (Table 3b); events in the same market episode may be more strongly dependent than that allows, and no calendar-time portfolio or Driscoll–Kraay estimate was computed. (viii) The confirmation half is not a strict hold-out: lookbacks of up to 115 trading days overlap the discovery half, and a full embargo is infeasible with 79 weekly cross-sections. (ix) The Corwin–Schultz spread and range volatility are computed from high and low prices that price limits censor, and some characteristics (REV1W, MAX, MIN, LIMITFREQ, OVERNIGHT) are mechanically related to the event definition. (x) The sample is one exchange over about 25 months that includes a change of trading platform (5 May 2025; Section 4.8) and a period of market-wide stress, so it is not a single stable regime and the pre-change sample is small. (xi) The project selected this manuscript among several (Section 4.7), so its estimates are subject to a winner’s-curse bias. (xii) The sample contains no announcement, news or order-book data, so selection on news and the unfilled-demand mechanism are not separated (Section 4.4); the quoted next open is not an achievable fill (Section 4.6). (xiii) The floor effect depends on the benchmark (Table 6) and no beta- and size-matched control was used for the five-day outcome.</w:t>
      </w:r>
    </w:p>
    <w:bookmarkEnd w:id="44"/>
    <w:bookmarkStart w:id="45" w:name="conclusion"/>
    <w:p>
      <w:pPr>
        <w:pStyle w:val="Heading1"/>
      </w:pPr>
      <w:r>
        <w:t xml:space="preserve">7. Conclusion</w:t>
      </w:r>
    </w:p>
    <w:p>
      <w:pPr>
        <w:pStyle w:val="FirstParagraph"/>
      </w:pPr>
      <w:r>
        <w:t xml:space="preserve">In a family of 26 tests specified in a project log before computation, none of 22 familiar price- and volume-based characteristics survives false-discovery-rate control and a confirmation half (with limited power), whereas all four price-limit tests do, also with week- and block-clustered inference; for ceilings the five-day test is carried by the first day, and for floors the days after the first add a further drift that does not pass the confirmation half. A ceiling close is followed by a next-day abnormal return of about +1.7%, which is an overnight gap of 2.2% followed by a partial intraday reversal. The gap is 2.7 percentage points larger than for stocks that rose 5–6.5% without hitting the limit, and 3.1 points larger than for those that also closed at their high. The close-to-close effect is already reported publicly for a longer sample; the decomposition and the comparison with sub-limit moves are exploratory. The pattern is consistent with delayed price discovery at the limit, but news and attention are not excluded, and the effect is a feature of the opening after a limit close, not a profit opportunity for investors who buy after the close.</w:t>
      </w:r>
    </w:p>
    <w:bookmarkEnd w:id="45"/>
    <w:bookmarkStart w:id="46" w:name="declarations"/>
    <w:p>
      <w:pPr>
        <w:pStyle w:val="Heading1"/>
      </w:pPr>
      <w:r>
        <w:t xml:space="preserve">Declarations</w:t>
      </w:r>
    </w:p>
    <w:p>
      <w:pPr>
        <w:pStyle w:val="FirstParagraph"/>
      </w:pPr>
      <w:r>
        <w:rPr>
          <w:bCs/>
          <w:b/>
        </w:rPr>
        <w:t xml:space="preserve">Use of artificial intelligence.</w:t>
      </w:r>
      <w:r>
        <w:t xml:space="preserve"> </w:t>
      </w:r>
      <w:r>
        <w:t xml:space="preserve">The analysis code, tables, manuscript draft and revisions were produced by Claude (Anthropic, model family Claude Sonnet 5.x, Claude Code agent, 4 October 2026) under the Academic Research Skills workflow, without line-by-line human editing. Within that workflow, separate Claude agent instances in fresh contexts acted as the devil’s advocate, as the five reviewers of the review panel and the editorial synthesizer, and as integrity auditors; they share the model family with the author-agent, so their agreement is not independent verification, and no cross-model verifier was used. The agents searched the web to check references; the checks are logged in</w:t>
      </w:r>
      <w:r>
        <w:t xml:space="preserve"> </w:t>
      </w:r>
      <w:r>
        <w:rPr>
          <w:rStyle w:val="VerbatimChar"/>
        </w:rPr>
        <w:t xml:space="preserve">process/04_literature_search_log.md</w:t>
      </w:r>
      <w:r>
        <w:t xml:space="preserve">. The human authors are responsible for verifying every choice, result and reference before submission; the references and the institutional facts taken from press and brokerage pages (Section 2) have not been checked by a human.</w:t>
      </w:r>
    </w:p>
    <w:p>
      <w:pPr>
        <w:pStyle w:val="BodyText"/>
      </w:pPr>
      <w:r>
        <w:rPr>
          <w:bCs/>
          <w:b/>
        </w:rPr>
        <w:t xml:space="preserve">Data and code availability.</w:t>
      </w:r>
      <w:r>
        <w:t xml:space="preserve"> </w:t>
      </w:r>
      <w:r>
        <w:t xml:space="preserve">The raw daily files are in</w:t>
      </w:r>
      <w:r>
        <w:t xml:space="preserve"> </w:t>
      </w:r>
      <w:r>
        <w:rPr>
          <w:rStyle w:val="VerbatimChar"/>
        </w:rPr>
        <w:t xml:space="preserve">data/raw/</w:t>
      </w:r>
      <w:r>
        <w:t xml:space="preserve"> </w:t>
      </w:r>
      <w:r>
        <w:t xml:space="preserve">and the 25-bank files in</w:t>
      </w:r>
      <w:r>
        <w:t xml:space="preserve"> </w:t>
      </w:r>
      <w:r>
        <w:rPr>
          <w:rStyle w:val="VerbatimChar"/>
        </w:rPr>
        <w:t xml:space="preserve">Data_fetch/</w:t>
      </w:r>
      <w:r>
        <w:t xml:space="preserve"> </w:t>
      </w:r>
      <w:r>
        <w:t xml:space="preserve">of the project repository (</w:t>
      </w:r>
      <w:r>
        <w:rPr>
          <w:rStyle w:val="VerbatimChar"/>
        </w:rPr>
        <w:t xml:space="preserve">trungcandygit/black_litterman_2</w:t>
      </w:r>
      <w:r>
        <w:t xml:space="preserve">); code is in</w:t>
      </w:r>
      <w:r>
        <w:t xml:space="preserve"> </w:t>
      </w:r>
      <w:r>
        <w:rPr>
          <w:rStyle w:val="VerbatimChar"/>
        </w:rPr>
        <w:t xml:space="preserve">paper2/R/</w:t>
      </w:r>
      <w:r>
        <w:t xml:space="preserve"> </w:t>
      </w:r>
      <w:r>
        <w:t xml:space="preserve">(scripts 40–48), derived tables are in</w:t>
      </w:r>
      <w:r>
        <w:t xml:space="preserve"> </w:t>
      </w:r>
      <w:r>
        <w:rPr>
          <w:rStyle w:val="VerbatimChar"/>
        </w:rPr>
        <w:t xml:space="preserve">paper2/output/tables/</w:t>
      </w:r>
      <w:r>
        <w:t xml:space="preserve"> </w:t>
      </w:r>
      <w:r>
        <w:t xml:space="preserve">(C1–C25, T10), and this manuscript’s source regenerates the numbers in the text and tables from the saved tables (the saved tables in turn come from the scripts listed in Appendix B). The data come from the vnstock library with a listing file dated 24 September 2026; the library version and the retrieval dates were not recorded, so a third party can reuse the files but cannot rebuild them from the vendor with certainty. The process logs cited in the text (</w:t>
      </w:r>
      <w:r>
        <w:rPr>
          <w:rStyle w:val="VerbatimChar"/>
        </w:rPr>
        <w:t xml:space="preserve">process/</w:t>
      </w:r>
      <w:r>
        <w:t xml:space="preserve">,</w:t>
      </w:r>
      <w:r>
        <w:t xml:space="preserve"> </w:t>
      </w:r>
      <w:r>
        <w:rPr>
          <w:rStyle w:val="VerbatimChar"/>
        </w:rPr>
        <w:t xml:space="preserve">review/</w:t>
      </w:r>
      <w:r>
        <w:t xml:space="preserve">) are in the same repository.</w:t>
      </w:r>
    </w:p>
    <w:p>
      <w:pPr>
        <w:pStyle w:val="BodyText"/>
      </w:pPr>
      <w:r>
        <w:rPr>
          <w:bCs/>
          <w:b/>
        </w:rPr>
        <w:t xml:space="preserve">Ethics, funding, competing interests, author contributions.</w:t>
      </w:r>
      <w:r>
        <w:t xml:space="preserve"> </w:t>
      </w:r>
      <w:r>
        <w:t xml:space="preserve">[To be completed by the authors; not completed by the drafting agents.]</w:t>
      </w:r>
    </w:p>
    <w:bookmarkEnd w:id="46"/>
    <w:bookmarkStart w:id="63" w:name="references"/>
    <w:p>
      <w:pPr>
        <w:pStyle w:val="Heading1"/>
      </w:pPr>
      <w:r>
        <w:t xml:space="preserve">References</w:t>
      </w:r>
    </w:p>
    <w:p>
      <w:pPr>
        <w:pStyle w:val="FirstParagraph"/>
      </w:pPr>
      <w:r>
        <w:t xml:space="preserve">Amihud, Y. (2002). Illiquidity and stock returns: Cross-section and time-series effects.</w:t>
      </w:r>
      <w:r>
        <w:t xml:space="preserve"> </w:t>
      </w:r>
      <w:r>
        <w:rPr>
          <w:iCs/>
          <w:i/>
        </w:rPr>
        <w:t xml:space="preserve">Journal of Financial Markets, 5</w:t>
      </w:r>
      <w:r>
        <w:t xml:space="preserve">(1), 31–56.</w:t>
      </w:r>
    </w:p>
    <w:p>
      <w:pPr>
        <w:pStyle w:val="BodyText"/>
      </w:pPr>
      <w:r>
        <w:t xml:space="preserve">Bali, T. G., Cakici, N., &amp; Whitelaw, R. F. (2011). Maxing out: Stocks as lotteries and the cross-section of expected returns.</w:t>
      </w:r>
      <w:r>
        <w:t xml:space="preserve"> </w:t>
      </w:r>
      <w:r>
        <w:rPr>
          <w:iCs/>
          <w:i/>
        </w:rPr>
        <w:t xml:space="preserve">Journal of Financial Economics, 99</w:t>
      </w:r>
      <w:r>
        <w:t xml:space="preserve">(2), 427–446.</w:t>
      </w:r>
    </w:p>
    <w:p>
      <w:pPr>
        <w:pStyle w:val="BodyText"/>
      </w:pPr>
      <w:r>
        <w:t xml:space="preserve">Benjamini, Y., &amp; Hochberg, Y. (1995). Controlling the false discovery rate: A practical and powerful approach to multiple testing.</w:t>
      </w:r>
      <w:r>
        <w:t xml:space="preserve"> </w:t>
      </w:r>
      <w:r>
        <w:rPr>
          <w:iCs/>
          <w:i/>
        </w:rPr>
        <w:t xml:space="preserve">Journal of the Royal Statistical Society: Series B (Methodological), 57</w:t>
      </w:r>
      <w:r>
        <w:t xml:space="preserve">(1), 289–300.</w:t>
      </w:r>
      <w:r>
        <w:t xml:space="preserve"> </w:t>
      </w:r>
      <w:hyperlink r:id="rId47">
        <w:r>
          <w:rPr>
            <w:rStyle w:val="Hyperlink"/>
          </w:rPr>
          <w:t xml:space="preserve">https://doi.org/10.1111/j.2517-6161.1995.tb02031.x</w:t>
        </w:r>
      </w:hyperlink>
    </w:p>
    <w:p>
      <w:pPr>
        <w:pStyle w:val="BodyText"/>
      </w:pPr>
      <w:r>
        <w:t xml:space="preserve">Berkman, H., &amp; Lee, J. B. T. (2002). The effectiveness of price limits in an emerging market: Evidence from the Korean Stock Exchange.</w:t>
      </w:r>
      <w:r>
        <w:t xml:space="preserve"> </w:t>
      </w:r>
      <w:r>
        <w:rPr>
          <w:iCs/>
          <w:i/>
        </w:rPr>
        <w:t xml:space="preserve">Pacific-Basin Finance Journal, 10</w:t>
      </w:r>
      <w:r>
        <w:t xml:space="preserve">(5), 517–530.</w:t>
      </w:r>
    </w:p>
    <w:p>
      <w:pPr>
        <w:pStyle w:val="BodyText"/>
      </w:pPr>
      <w:r>
        <w:t xml:space="preserve">Berkman, H., Koch, P. D., Tuttle, L., &amp; Zhang, Y. J. (2012). Paying attention: Overnight returns and the hidden cost of buying at the open.</w:t>
      </w:r>
      <w:r>
        <w:t xml:space="preserve"> </w:t>
      </w:r>
      <w:r>
        <w:rPr>
          <w:iCs/>
          <w:i/>
        </w:rPr>
        <w:t xml:space="preserve">Journal of Financial and Quantitative Analysis, 47</w:t>
      </w:r>
      <w:r>
        <w:t xml:space="preserve">(4), 715–741.</w:t>
      </w:r>
    </w:p>
    <w:p>
      <w:pPr>
        <w:pStyle w:val="BodyText"/>
      </w:pPr>
      <w:r>
        <w:t xml:space="preserve">Bildik, R., &amp; Gülay, G. (2006). Are price limits effective? Evidence from the Istanbul Stock Exchange.</w:t>
      </w:r>
      <w:r>
        <w:t xml:space="preserve"> </w:t>
      </w:r>
      <w:r>
        <w:rPr>
          <w:iCs/>
          <w:i/>
        </w:rPr>
        <w:t xml:space="preserve">Journal of Financial Research, 29</w:t>
      </w:r>
      <w:r>
        <w:t xml:space="preserve">(3), 383–403.</w:t>
      </w:r>
      <w:r>
        <w:t xml:space="preserve"> </w:t>
      </w:r>
      <w:hyperlink r:id="rId48">
        <w:r>
          <w:rPr>
            <w:rStyle w:val="Hyperlink"/>
          </w:rPr>
          <w:t xml:space="preserve">https://doi.org/10.1111/j.1475-6803.2006.00185.x</w:t>
        </w:r>
      </w:hyperlink>
    </w:p>
    <w:p>
      <w:pPr>
        <w:pStyle w:val="BodyText"/>
      </w:pPr>
      <w:r>
        <w:t xml:space="preserve">Brennan, M. J. (1986). A theory of price limits in futures markets.</w:t>
      </w:r>
      <w:r>
        <w:t xml:space="preserve"> </w:t>
      </w:r>
      <w:r>
        <w:rPr>
          <w:iCs/>
          <w:i/>
        </w:rPr>
        <w:t xml:space="preserve">Journal of Financial Economics, 16</w:t>
      </w:r>
      <w:r>
        <w:t xml:space="preserve">(2), 213–233.</w:t>
      </w:r>
      <w:r>
        <w:t xml:space="preserve"> </w:t>
      </w:r>
      <w:hyperlink r:id="rId49">
        <w:r>
          <w:rPr>
            <w:rStyle w:val="Hyperlink"/>
          </w:rPr>
          <w:t xml:space="preserve">https://doi.org/10.1016/0304-405X(86)90061-9</w:t>
        </w:r>
      </w:hyperlink>
    </w:p>
    <w:p>
      <w:pPr>
        <w:pStyle w:val="BodyText"/>
      </w:pPr>
      <w:r>
        <w:t xml:space="preserve">Cameron, A. C., Gelbach, J. B., &amp; Miller, D. L. (2011). Robust inference with multiway clustering.</w:t>
      </w:r>
      <w:r>
        <w:t xml:space="preserve"> </w:t>
      </w:r>
      <w:r>
        <w:rPr>
          <w:iCs/>
          <w:i/>
        </w:rPr>
        <w:t xml:space="preserve">Journal of Business &amp; Economic Statistics, 29</w:t>
      </w:r>
      <w:r>
        <w:t xml:space="preserve">(2), 238–249.</w:t>
      </w:r>
      <w:r>
        <w:t xml:space="preserve"> </w:t>
      </w:r>
      <w:hyperlink r:id="rId50">
        <w:r>
          <w:rPr>
            <w:rStyle w:val="Hyperlink"/>
          </w:rPr>
          <w:t xml:space="preserve">https://doi.org/10.1198/jbes.2010.07136</w:t>
        </w:r>
      </w:hyperlink>
    </w:p>
    <w:p>
      <w:pPr>
        <w:pStyle w:val="BodyText"/>
      </w:pPr>
      <w:r>
        <w:t xml:space="preserve">Chen, Y.-M. (1993). Price limits and stock market volatility in Taiwan.</w:t>
      </w:r>
      <w:r>
        <w:t xml:space="preserve"> </w:t>
      </w:r>
      <w:r>
        <w:rPr>
          <w:iCs/>
          <w:i/>
        </w:rPr>
        <w:t xml:space="preserve">Pacific-Basin Finance Journal, 1</w:t>
      </w:r>
      <w:r>
        <w:t xml:space="preserve">(2), 139–153.</w:t>
      </w:r>
    </w:p>
    <w:p>
      <w:pPr>
        <w:pStyle w:val="BodyText"/>
      </w:pPr>
      <w:r>
        <w:t xml:space="preserve">Cho, D. D., Russell, J., Tiao, G. C., &amp; Tsay, R. S. (2003). The magnet effect of price limits: Evidence from high-frequency data on Taiwan Stock Exchange.</w:t>
      </w:r>
      <w:r>
        <w:t xml:space="preserve"> </w:t>
      </w:r>
      <w:r>
        <w:rPr>
          <w:iCs/>
          <w:i/>
        </w:rPr>
        <w:t xml:space="preserve">Journal of Empirical Finance, 10</w:t>
      </w:r>
      <w:r>
        <w:t xml:space="preserve">(1–2), 133–168.</w:t>
      </w:r>
    </w:p>
    <w:p>
      <w:pPr>
        <w:pStyle w:val="BodyText"/>
      </w:pPr>
      <w:r>
        <w:t xml:space="preserve">Corwin, S. A., &amp; Schultz, P. (2012). A simple way to estimate bid-ask spreads from daily high and low prices.</w:t>
      </w:r>
      <w:r>
        <w:t xml:space="preserve"> </w:t>
      </w:r>
      <w:r>
        <w:rPr>
          <w:iCs/>
          <w:i/>
        </w:rPr>
        <w:t xml:space="preserve">The Journal of Finance, 67</w:t>
      </w:r>
      <w:r>
        <w:t xml:space="preserve">(2), 719–760.</w:t>
      </w:r>
      <w:r>
        <w:t xml:space="preserve"> </w:t>
      </w:r>
      <w:hyperlink r:id="rId51">
        <w:r>
          <w:rPr>
            <w:rStyle w:val="Hyperlink"/>
          </w:rPr>
          <w:t xml:space="preserve">https://doi.org/10.1111/j.1540-6261.2012.01729.x</w:t>
        </w:r>
      </w:hyperlink>
    </w:p>
    <w:p>
      <w:pPr>
        <w:pStyle w:val="BodyText"/>
      </w:pPr>
      <w:r>
        <w:t xml:space="preserve">Fama, E. F., &amp; MacBeth, J. D. (1973). Risk, return, and equilibrium: Empirical tests.</w:t>
      </w:r>
      <w:r>
        <w:t xml:space="preserve"> </w:t>
      </w:r>
      <w:r>
        <w:rPr>
          <w:iCs/>
          <w:i/>
        </w:rPr>
        <w:t xml:space="preserve">Journal of Political Economy, 81</w:t>
      </w:r>
      <w:r>
        <w:t xml:space="preserve">(3), 607–636.</w:t>
      </w:r>
      <w:r>
        <w:t xml:space="preserve"> </w:t>
      </w:r>
      <w:hyperlink r:id="rId52">
        <w:r>
          <w:rPr>
            <w:rStyle w:val="Hyperlink"/>
          </w:rPr>
          <w:t xml:space="preserve">https://doi.org/10.1086/260061</w:t>
        </w:r>
      </w:hyperlink>
    </w:p>
    <w:p>
      <w:pPr>
        <w:pStyle w:val="BodyText"/>
      </w:pPr>
      <w:r>
        <w:t xml:space="preserve">Harvey, C. R., Liu, Y., &amp; Zhu, H. (2016). …and the cross-section of expected returns.</w:t>
      </w:r>
      <w:r>
        <w:t xml:space="preserve"> </w:t>
      </w:r>
      <w:r>
        <w:rPr>
          <w:iCs/>
          <w:i/>
        </w:rPr>
        <w:t xml:space="preserve">The Review of Financial Studies, 29</w:t>
      </w:r>
      <w:r>
        <w:t xml:space="preserve">(1), 5–68.</w:t>
      </w:r>
      <w:r>
        <w:t xml:space="preserve"> </w:t>
      </w:r>
      <w:hyperlink r:id="rId53">
        <w:r>
          <w:rPr>
            <w:rStyle w:val="Hyperlink"/>
          </w:rPr>
          <w:t xml:space="preserve">https://doi.org/10.1093/rfs/hhv059</w:t>
        </w:r>
      </w:hyperlink>
    </w:p>
    <w:p>
      <w:pPr>
        <w:pStyle w:val="BodyText"/>
      </w:pPr>
      <w:r>
        <w:t xml:space="preserve">HSC. (2025).</w:t>
      </w:r>
      <w:r>
        <w:t xml:space="preserve"> </w:t>
      </w:r>
      <w:r>
        <w:rPr>
          <w:iCs/>
          <w:i/>
        </w:rPr>
        <w:t xml:space="preserve">Important changes of new trading system</w:t>
      </w:r>
      <w:r>
        <w:t xml:space="preserve"> </w:t>
      </w:r>
      <w:r>
        <w:t xml:space="preserve">[Web page]. Ho Chi Minh City Securities Corporation. Retrieved October 4, 2026, from</w:t>
      </w:r>
      <w:r>
        <w:t xml:space="preserve"> </w:t>
      </w:r>
      <w:hyperlink r:id="rId54">
        <w:r>
          <w:rPr>
            <w:rStyle w:val="Hyperlink"/>
          </w:rPr>
          <w:t xml:space="preserve">https://www.hsc.com.vn/en/important-changes-of-new-trading-system</w:t>
        </w:r>
      </w:hyperlink>
    </w:p>
    <w:p>
      <w:pPr>
        <w:pStyle w:val="BodyText"/>
      </w:pPr>
      <w:r>
        <w:t xml:space="preserve">Holm, S. (1979). A simple sequentially rejective multiple test procedure.</w:t>
      </w:r>
      <w:r>
        <w:t xml:space="preserve"> </w:t>
      </w:r>
      <w:r>
        <w:rPr>
          <w:iCs/>
          <w:i/>
        </w:rPr>
        <w:t xml:space="preserve">Scandinavian Journal of Statistics, 6</w:t>
      </w:r>
      <w:r>
        <w:t xml:space="preserve">(2), 65–70.</w:t>
      </w:r>
    </w:p>
    <w:p>
      <w:pPr>
        <w:pStyle w:val="BodyText"/>
      </w:pPr>
      <w:r>
        <w:t xml:space="preserve">Imbens, G. W., &amp; Lemieux, T. (2008). Regression discontinuity designs: A guide to practice.</w:t>
      </w:r>
      <w:r>
        <w:t xml:space="preserve"> </w:t>
      </w:r>
      <w:r>
        <w:rPr>
          <w:iCs/>
          <w:i/>
        </w:rPr>
        <w:t xml:space="preserve">Journal of Econometrics, 142</w:t>
      </w:r>
      <w:r>
        <w:t xml:space="preserve">(2), 615–635.</w:t>
      </w:r>
    </w:p>
    <w:p>
      <w:pPr>
        <w:pStyle w:val="BodyText"/>
      </w:pPr>
      <w:r>
        <w:t xml:space="preserve">Kim, K. A., &amp; Rhee, S. G. (1997). Price limit performance: Evidence from the Tokyo Stock Exchange.</w:t>
      </w:r>
      <w:r>
        <w:t xml:space="preserve"> </w:t>
      </w:r>
      <w:r>
        <w:rPr>
          <w:iCs/>
          <w:i/>
        </w:rPr>
        <w:t xml:space="preserve">The Journal of Finance, 52</w:t>
      </w:r>
      <w:r>
        <w:t xml:space="preserve">(2), 885–901.</w:t>
      </w:r>
      <w:r>
        <w:t xml:space="preserve"> </w:t>
      </w:r>
      <w:hyperlink r:id="rId55">
        <w:r>
          <w:rPr>
            <w:rStyle w:val="Hyperlink"/>
          </w:rPr>
          <w:t xml:space="preserve">https://doi.org/10.1111/j.1540-6261.1997.tb04827.x</w:t>
        </w:r>
      </w:hyperlink>
    </w:p>
    <w:p>
      <w:pPr>
        <w:pStyle w:val="BodyText"/>
      </w:pPr>
      <w:r>
        <w:t xml:space="preserve">Le, D. N. (2012). Evaluating impacts of reduction in fluctuation limit on stock price risks in Vietnam.</w:t>
      </w:r>
      <w:r>
        <w:t xml:space="preserve"> </w:t>
      </w:r>
      <w:r>
        <w:rPr>
          <w:iCs/>
          <w:i/>
        </w:rPr>
        <w:t xml:space="preserve">Journal of Economic Development, 214</w:t>
      </w:r>
      <w:r>
        <w:t xml:space="preserve">, 116–128.</w:t>
      </w:r>
    </w:p>
    <w:p>
      <w:pPr>
        <w:pStyle w:val="BodyText"/>
      </w:pPr>
      <w:r>
        <w:t xml:space="preserve">Lou, D., Polk, C., &amp; Skouras, S. (2019). A tug of war: Overnight versus intraday expected returns.</w:t>
      </w:r>
      <w:r>
        <w:t xml:space="preserve"> </w:t>
      </w:r>
      <w:r>
        <w:rPr>
          <w:iCs/>
          <w:i/>
        </w:rPr>
        <w:t xml:space="preserve">Journal of Financial Economics, 134</w:t>
      </w:r>
      <w:r>
        <w:t xml:space="preserve">(1), 192–213.</w:t>
      </w:r>
      <w:r>
        <w:t xml:space="preserve"> </w:t>
      </w:r>
      <w:hyperlink r:id="rId56">
        <w:r>
          <w:rPr>
            <w:rStyle w:val="Hyperlink"/>
          </w:rPr>
          <w:t xml:space="preserve">https://doi.org/10.1016/j.jfineco.2019.03.011</w:t>
        </w:r>
      </w:hyperlink>
    </w:p>
    <w:p>
      <w:pPr>
        <w:pStyle w:val="BodyText"/>
      </w:pPr>
      <w:r>
        <w:t xml:space="preserve">Newey, W. K., &amp; West, K. D. (1987). A simple, positive semi-definite, heteroskedasticity and autocorrelation consistent covariance matrix.</w:t>
      </w:r>
      <w:r>
        <w:t xml:space="preserve"> </w:t>
      </w:r>
      <w:r>
        <w:rPr>
          <w:iCs/>
          <w:i/>
        </w:rPr>
        <w:t xml:space="preserve">Econometrica, 55</w:t>
      </w:r>
      <w:r>
        <w:t xml:space="preserve">(3), 703–708.</w:t>
      </w:r>
      <w:r>
        <w:t xml:space="preserve"> </w:t>
      </w:r>
      <w:hyperlink r:id="rId57">
        <w:r>
          <w:rPr>
            <w:rStyle w:val="Hyperlink"/>
          </w:rPr>
          <w:t xml:space="preserve">https://doi.org/10.2307/1913610</w:t>
        </w:r>
      </w:hyperlink>
    </w:p>
    <w:p>
      <w:pPr>
        <w:pStyle w:val="BodyText"/>
      </w:pPr>
      <w:r>
        <w:t xml:space="preserve">Parkinson, M. (1980). The extreme value method for estimating the variance of the rate of return.</w:t>
      </w:r>
      <w:r>
        <w:t xml:space="preserve"> </w:t>
      </w:r>
      <w:r>
        <w:rPr>
          <w:iCs/>
          <w:i/>
        </w:rPr>
        <w:t xml:space="preserve">The Journal of Business, 53</w:t>
      </w:r>
      <w:r>
        <w:t xml:space="preserve">(1), 61–65.</w:t>
      </w:r>
    </w:p>
    <w:p>
      <w:pPr>
        <w:pStyle w:val="BodyText"/>
      </w:pPr>
      <w:r>
        <w:t xml:space="preserve">Qi, B. (2023). Effectiveness of price limits: Evidence from China’s ChiNext market.</w:t>
      </w:r>
      <w:r>
        <w:t xml:space="preserve"> </w:t>
      </w:r>
      <w:r>
        <w:rPr>
          <w:iCs/>
          <w:i/>
        </w:rPr>
        <w:t xml:space="preserve">PLOS ONE, 18</w:t>
      </w:r>
      <w:r>
        <w:t xml:space="preserve">(6), e0287548.</w:t>
      </w:r>
      <w:r>
        <w:t xml:space="preserve"> </w:t>
      </w:r>
      <w:hyperlink r:id="rId58">
        <w:r>
          <w:rPr>
            <w:rStyle w:val="Hyperlink"/>
          </w:rPr>
          <w:t xml:space="preserve">https://doi.org/10.1371/journal.pone.0287548</w:t>
        </w:r>
      </w:hyperlink>
    </w:p>
    <w:p>
      <w:pPr>
        <w:pStyle w:val="BodyText"/>
      </w:pPr>
      <w:r>
        <w:t xml:space="preserve">Subrahmanyam, A. (1994). Circuit breakers and market volatility: A theoretical perspective.</w:t>
      </w:r>
      <w:r>
        <w:t xml:space="preserve"> </w:t>
      </w:r>
      <w:r>
        <w:rPr>
          <w:iCs/>
          <w:i/>
        </w:rPr>
        <w:t xml:space="preserve">The Journal of Finance, 49</w:t>
      </w:r>
      <w:r>
        <w:t xml:space="preserve">(1), 237–254.</w:t>
      </w:r>
      <w:r>
        <w:t xml:space="preserve"> </w:t>
      </w:r>
      <w:hyperlink r:id="rId59">
        <w:r>
          <w:rPr>
            <w:rStyle w:val="Hyperlink"/>
          </w:rPr>
          <w:t xml:space="preserve">https://doi.org/10.1111/j.1540-6261.1994.tb04427.x</w:t>
        </w:r>
      </w:hyperlink>
    </w:p>
    <w:p>
      <w:pPr>
        <w:pStyle w:val="BodyText"/>
      </w:pPr>
      <w:r>
        <w:t xml:space="preserve">tungtran0911. (2026).</w:t>
      </w:r>
      <w:r>
        <w:t xml:space="preserve"> </w:t>
      </w:r>
      <w:r>
        <w:rPr>
          <w:iCs/>
          <w:i/>
        </w:rPr>
        <w:t xml:space="preserve">vn-equity-factors</w:t>
      </w:r>
      <w:r>
        <w:t xml:space="preserve"> </w:t>
      </w:r>
      <w:r>
        <w:t xml:space="preserve">[Source code]. GitHub. Retrieved October 4, 2026, from</w:t>
      </w:r>
      <w:r>
        <w:t xml:space="preserve"> </w:t>
      </w:r>
      <w:hyperlink r:id="rId60">
        <w:r>
          <w:rPr>
            <w:rStyle w:val="Hyperlink"/>
          </w:rPr>
          <w:t xml:space="preserve">https://github.com/tungtran0911/vn-equity-factors</w:t>
        </w:r>
      </w:hyperlink>
    </w:p>
    <w:p>
      <w:pPr>
        <w:pStyle w:val="BodyText"/>
      </w:pPr>
      <w:r>
        <w:t xml:space="preserve">Viet Nam News. (2025).</w:t>
      </w:r>
      <w:r>
        <w:t xml:space="preserve"> </w:t>
      </w:r>
      <w:r>
        <w:rPr>
          <w:iCs/>
          <w:i/>
        </w:rPr>
        <w:t xml:space="preserve">KRX system officially goes live</w:t>
      </w:r>
      <w:r>
        <w:t xml:space="preserve"> </w:t>
      </w:r>
      <w:r>
        <w:t xml:space="preserve">[News article]. Retrieved October 4, 2026, from</w:t>
      </w:r>
      <w:r>
        <w:t xml:space="preserve"> </w:t>
      </w:r>
      <w:hyperlink r:id="rId61">
        <w:r>
          <w:rPr>
            <w:rStyle w:val="Hyperlink"/>
          </w:rPr>
          <w:t xml:space="preserve">https://vietnamnews.vn/economy/1717047/krx-system-officially-goes-live.html</w:t>
        </w:r>
      </w:hyperlink>
    </w:p>
    <w:p>
      <w:pPr>
        <w:pStyle w:val="BodyText"/>
      </w:pPr>
      <w:r>
        <w:t xml:space="preserve">Veeraraghavan, M., Nguyen, M. T. T., &amp; Truong, C. (2007).</w:t>
      </w:r>
      <w:r>
        <w:t xml:space="preserve"> </w:t>
      </w:r>
      <w:r>
        <w:rPr>
          <w:iCs/>
          <w:i/>
        </w:rPr>
        <w:t xml:space="preserve">Delayed price discovery and momentum strategies: Evidence from Vietnam</w:t>
      </w:r>
      <w:r>
        <w:t xml:space="preserve"> </w:t>
      </w:r>
      <w:r>
        <w:t xml:space="preserve">(SSRN Scholarly Paper No. 1009042). Social Science Research Network.</w:t>
      </w:r>
      <w:r>
        <w:t xml:space="preserve"> </w:t>
      </w:r>
      <w:hyperlink r:id="rId62">
        <w:r>
          <w:rPr>
            <w:rStyle w:val="Hyperlink"/>
          </w:rPr>
          <w:t xml:space="preserve">https://papers.ssrn.com/sol3/papers.cfm?abstract_id=1009042</w:t>
        </w:r>
      </w:hyperlink>
    </w:p>
    <w:bookmarkEnd w:id="63"/>
    <w:bookmarkStart w:id="64" w:name="Xd94cdaaacb6aa2ef7818648e1886414531365b5"/>
    <w:p>
      <w:pPr>
        <w:pStyle w:val="Heading1"/>
      </w:pPr>
      <w:r>
        <w:t xml:space="preserve">Appendix A. Log-specified versus post hoc analyses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Analysis</w:t>
            </w:r>
          </w:p>
        </w:tc>
        <w:tc>
          <w:tcPr/>
          <w:p>
            <w:pPr>
              <w:pStyle w:val="Compact"/>
              <w:jc w:val="left"/>
            </w:pPr>
            <w:r>
              <w:t xml:space="preserve">Status</w:t>
            </w:r>
          </w:p>
        </w:tc>
      </w:tr>
      <w:tr>
        <w:tc>
          <w:tcPr/>
          <w:p>
            <w:pPr>
              <w:pStyle w:val="Compact"/>
              <w:jc w:val="left"/>
            </w:pPr>
            <w:r>
              <w:t xml:space="preserve">22 characteristics, Fama–MacBeth, quintile spreads, discovery/confirmation split, illiquidity exclusion</w:t>
            </w:r>
          </w:p>
        </w:tc>
        <w:tc>
          <w:tcPr/>
          <w:p>
            <w:pPr>
              <w:pStyle w:val="Compact"/>
              <w:jc w:val="left"/>
            </w:pPr>
            <w:r>
              <w:t xml:space="preserve">Specified in the log before computation</w:t>
            </w:r>
          </w:p>
        </w:tc>
      </w:tr>
      <w:tr>
        <w:tc>
          <w:tcPr/>
          <w:p>
            <w:pPr>
              <w:pStyle w:val="Compact"/>
              <w:jc w:val="left"/>
            </w:pPr>
            <w:r>
              <w:t xml:space="preserve">Ceiling and floor event tests at t+1 and t+1..t+5; BH/Holm/HLZ control over 26 tests; survival rule</w:t>
            </w:r>
          </w:p>
        </w:tc>
        <w:tc>
          <w:tcPr/>
          <w:p>
            <w:pPr>
              <w:pStyle w:val="Compact"/>
              <w:jc w:val="left"/>
            </w:pPr>
            <w:r>
              <w:t xml:space="preserve">Specified in the log before computation</w:t>
            </w:r>
          </w:p>
        </w:tc>
      </w:tr>
      <w:tr>
        <w:tc>
          <w:tcPr/>
          <w:p>
            <w:pPr>
              <w:pStyle w:val="Compact"/>
              <w:jc w:val="left"/>
            </w:pPr>
            <w:r>
              <w:t xml:space="preserve">Overnight–intraday decomposition; next-open returns; same-date liquidity-matched control</w:t>
            </w:r>
          </w:p>
        </w:tc>
        <w:tc>
          <w:tcPr/>
          <w:p>
            <w:pPr>
              <w:pStyle w:val="Compact"/>
              <w:jc w:val="left"/>
            </w:pPr>
            <w:r>
              <w:t xml:space="preserve">Post hoc (A4)</w:t>
            </w:r>
          </w:p>
        </w:tc>
      </w:tr>
      <w:tr>
        <w:tc>
          <w:tcPr/>
          <w:p>
            <w:pPr>
              <w:pStyle w:val="Compact"/>
              <w:jc w:val="left"/>
            </w:pPr>
            <w:r>
              <w:t xml:space="preserve">Comparison with 3–5% and 5–6.5% moves; discontinuity plot and table</w:t>
            </w:r>
          </w:p>
        </w:tc>
        <w:tc>
          <w:tcPr/>
          <w:p>
            <w:pPr>
              <w:pStyle w:val="Compact"/>
              <w:jc w:val="left"/>
            </w:pPr>
            <w:r>
              <w:t xml:space="preserve">Post hoc (A4)</w:t>
            </w:r>
          </w:p>
        </w:tc>
      </w:tr>
      <w:tr>
        <w:tc>
          <w:tcPr/>
          <w:p>
            <w:pPr>
              <w:pStyle w:val="Compact"/>
              <w:jc w:val="left"/>
            </w:pPr>
            <w:r>
              <w:t xml:space="preserve">Exact tick-rule definition; two-way clustering; sub-sample robustness</w:t>
            </w:r>
          </w:p>
        </w:tc>
        <w:tc>
          <w:tcPr/>
          <w:p>
            <w:pPr>
              <w:pStyle w:val="Compact"/>
              <w:jc w:val="left"/>
            </w:pPr>
            <w:r>
              <w:t xml:space="preserve">Post hoc (A4)</w:t>
            </w:r>
          </w:p>
        </w:tc>
      </w:tr>
      <w:tr>
        <w:tc>
          <w:tcPr/>
          <w:p>
            <w:pPr>
              <w:pStyle w:val="Compact"/>
              <w:jc w:val="left"/>
            </w:pPr>
            <w:r>
              <w:t xml:space="preserve">Week- and block-clustered inference, t reference, days t+2 to t+5, split at weeks 39/40, platform-change split, comparison groups closing at the extreme, volume and prior-return terciles, outlier exclusion (Tables 3b, 5b, 9; C18–C25)</w:t>
            </w:r>
          </w:p>
        </w:tc>
        <w:tc>
          <w:tcPr/>
          <w:p>
            <w:pPr>
              <w:pStyle w:val="Compact"/>
              <w:jc w:val="left"/>
            </w:pPr>
            <w:r>
              <w:t xml:space="preserve">Post hoc (A9, after the first review round)</w:t>
            </w:r>
          </w:p>
        </w:tc>
      </w:tr>
    </w:tbl>
    <w:p>
      <w:pPr>
        <w:pStyle w:val="BodyText"/>
      </w:pPr>
      <w:r>
        <w:t xml:space="preserve">Time-stamp anchor of the specification:</w:t>
      </w:r>
      <w:r>
        <w:t xml:space="preserve"> </w:t>
      </w:r>
      <w:r>
        <w:rPr>
          <w:rStyle w:val="VerbatimChar"/>
        </w:rPr>
        <w:t xml:space="preserve">process/03_brainstorm_round2.md</w:t>
      </w:r>
      <w:r>
        <w:t xml:space="preserve">, commit 63bdc6d (4 October 2026, 07:23:38 UTC), SHA-256 3d6dc7e1ff57f43092ff47da1b3cf49a848521568ea55dbaa09f61ff026effaf; first commit with analysis code and results: 9b8644b (07:36:19 UTC). Commit dates are set by the committer; the repository host’s push records are the only external anchor.</w:t>
      </w:r>
    </w:p>
    <w:bookmarkEnd w:id="64"/>
    <w:bookmarkStart w:id="65" w:name="appendix-b.-code-and-reproducibility"/>
    <w:p>
      <w:pPr>
        <w:pStyle w:val="Heading1"/>
      </w:pPr>
      <w:r>
        <w:t xml:space="preserve">Appendix B. Code and reproducibility</w:t>
      </w:r>
    </w:p>
    <w:p>
      <w:pPr>
        <w:pStyle w:val="FirstParagraph"/>
      </w:pPr>
      <w:r>
        <w:rPr>
          <w:rStyle w:val="VerbatimChar"/>
        </w:rPr>
        <w:t xml:space="preserve">R/40_zoo.R</w:t>
      </w:r>
      <w:r>
        <w:t xml:space="preserve"> </w:t>
      </w:r>
      <w:r>
        <w:t xml:space="preserve">(family of 26 tests),</w:t>
      </w:r>
      <w:r>
        <w:t xml:space="preserve"> </w:t>
      </w:r>
      <w:r>
        <w:rPr>
          <w:rStyle w:val="VerbatimChar"/>
        </w:rPr>
        <w:t xml:space="preserve">R/42_rd.R</w:t>
      </w:r>
      <w:r>
        <w:t xml:space="preserve"> </w:t>
      </w:r>
      <w:r>
        <w:t xml:space="preserve">(bins, tick rule, two-way clustering),</w:t>
      </w:r>
      <w:r>
        <w:t xml:space="preserve"> </w:t>
      </w:r>
      <w:r>
        <w:rPr>
          <w:rStyle w:val="VerbatimChar"/>
        </w:rPr>
        <w:t xml:space="preserve">R/45_figuresC.R</w:t>
      </w:r>
      <w:r>
        <w:t xml:space="preserve"> </w:t>
      </w:r>
      <w:r>
        <w:t xml:space="preserve">(figures),</w:t>
      </w:r>
      <w:r>
        <w:t xml:space="preserve"> </w:t>
      </w:r>
      <w:r>
        <w:rPr>
          <w:rStyle w:val="VerbatimChar"/>
        </w:rPr>
        <w:t xml:space="preserve">R/46_verify_C.R</w:t>
      </w:r>
      <w:r>
        <w:t xml:space="preserve"> </w:t>
      </w:r>
      <w:r>
        <w:t xml:space="preserve">(verification tests),</w:t>
      </w:r>
      <w:r>
        <w:t xml:space="preserve"> </w:t>
      </w:r>
      <w:r>
        <w:rPr>
          <w:rStyle w:val="VerbatimChar"/>
        </w:rPr>
        <w:t xml:space="preserve">R/47_da_response.R</w:t>
      </w:r>
      <w:r>
        <w:t xml:space="preserve"> </w:t>
      </w:r>
      <w:r>
        <w:t xml:space="preserve">(responses to the independent reviews and the NA-safe Tables 1, 5, 6 and 7),</w:t>
      </w:r>
      <w:r>
        <w:t xml:space="preserve"> </w:t>
      </w:r>
      <w:r>
        <w:rPr>
          <w:rStyle w:val="VerbatimChar"/>
        </w:rPr>
        <w:t xml:space="preserve">R/48_revision.R</w:t>
      </w:r>
      <w:r>
        <w:t xml:space="preserve"> </w:t>
      </w:r>
      <w:r>
        <w:t xml:space="preserve">(responses to the first review round: Tables 3b, 5b, 6b, 9; tables C18–C25). Scripts</w:t>
      </w:r>
      <w:r>
        <w:t xml:space="preserve"> </w:t>
      </w:r>
      <w:r>
        <w:rPr>
          <w:rStyle w:val="VerbatimChar"/>
        </w:rPr>
        <w:t xml:space="preserve">R/41_limits_robust.R</w:t>
      </w:r>
      <w:r>
        <w:t xml:space="preserve">,</w:t>
      </w:r>
      <w:r>
        <w:t xml:space="preserve"> </w:t>
      </w:r>
      <w:r>
        <w:rPr>
          <w:rStyle w:val="VerbatimChar"/>
        </w:rPr>
        <w:t xml:space="preserve">R/43_disc.R</w:t>
      </w:r>
      <w:r>
        <w:t xml:space="preserve"> </w:t>
      </w:r>
      <w:r>
        <w:t xml:space="preserve">and</w:t>
      </w:r>
      <w:r>
        <w:t xml:space="preserve"> </w:t>
      </w:r>
      <w:r>
        <w:rPr>
          <w:rStyle w:val="VerbatimChar"/>
        </w:rPr>
        <w:t xml:space="preserve">R/44_desc.R</w:t>
      </w:r>
      <w:r>
        <w:t xml:space="preserve"> </w:t>
      </w:r>
      <w:r>
        <w:t xml:space="preserve">and the tables they wrote (C4, C8, C9, C10, renamed with the prefix SUPERSEDED_) are superseded by</w:t>
      </w:r>
      <w:r>
        <w:t xml:space="preserve"> </w:t>
      </w:r>
      <w:r>
        <w:rPr>
          <w:rStyle w:val="VerbatimChar"/>
        </w:rPr>
        <w:t xml:space="preserve">R/47_da_response.R</w:t>
      </w:r>
      <w:r>
        <w:t xml:space="preserve"> </w:t>
      </w:r>
      <w:r>
        <w:t xml:space="preserve">for every number in this manuscript and are kept for audit only. Seeds are fixed. The decisions log records the specification fixed before computation (A3, an internal time-stamped log, not an external registry) and the post hoc amendments (A4, A5).</w:t>
      </w:r>
    </w:p>
    <w:bookmarkEnd w:id="65"/>
    <w:bookmarkStart w:id="66" w:name="X3cae70108de266dd6b6b5e3a8196fc0349162e4"/>
    <w:p>
      <w:pPr>
        <w:pStyle w:val="Heading1"/>
      </w:pPr>
      <w:r>
        <w:t xml:space="preserve">Appendix C. Literature search and verification</w:t>
      </w:r>
    </w:p>
    <w:p>
      <w:pPr>
        <w:pStyle w:val="FirstParagraph"/>
      </w:pPr>
      <w:r>
        <w:t xml:space="preserve">The search strategy, the prior-art finding that bounds the novelty claim, and the verification status of every reference are in</w:t>
      </w:r>
      <w:r>
        <w:t xml:space="preserve"> </w:t>
      </w:r>
      <w:r>
        <w:rPr>
          <w:rStyle w:val="VerbatimChar"/>
        </w:rPr>
        <w:t xml:space="preserve">process/04_literature_search_log.md</w:t>
      </w:r>
      <w:r>
        <w:t xml:space="preserve">. References were checked against records returned by web search (publisher, IDEAS/RePEc, SSRN, PMC or abstract pages); for Le (2012), Chen (1993) and Berkman and Lee (2002) only abstract-level or bibliographic records were seen, and no DOI was resolved because the DOI resolver and Crossref were not reachable from the analysis environment; DOIs in the list come from the search records and need a final check by the authors. After the first review round the search was extended to price-limit theory (Subrahmanyam, 1994), Turkish and Chinese evidence (Bildik &amp; Gülay, 2006; Qi, 2023) and the HOSE rules and platform change (HSC, 2025; Viet Nam News, 2025); Vietnamese-language journals, further Chinese A-share studies and Le (2012) were not retrieved or checked in full text, and the novelty statement remains bounded by this search.</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hyperlink" Id="rId49" Target="https://doi.org/10.1016/0304-405X(86)90061-9" TargetMode="External" /><Relationship Type="http://schemas.openxmlformats.org/officeDocument/2006/relationships/hyperlink" Id="rId56" Target="https://doi.org/10.1016/j.jfineco.2019.03.011" TargetMode="External" /><Relationship Type="http://schemas.openxmlformats.org/officeDocument/2006/relationships/hyperlink" Id="rId52" Target="https://doi.org/10.1086/260061" TargetMode="External" /><Relationship Type="http://schemas.openxmlformats.org/officeDocument/2006/relationships/hyperlink" Id="rId53" Target="https://doi.org/10.1093/rfs/hhv059" TargetMode="External" /><Relationship Type="http://schemas.openxmlformats.org/officeDocument/2006/relationships/hyperlink" Id="rId48" Target="https://doi.org/10.1111/j.1475-6803.2006.00185.x" TargetMode="External" /><Relationship Type="http://schemas.openxmlformats.org/officeDocument/2006/relationships/hyperlink" Id="rId59" Target="https://doi.org/10.1111/j.1540-6261.1994.tb04427.x" TargetMode="External" /><Relationship Type="http://schemas.openxmlformats.org/officeDocument/2006/relationships/hyperlink" Id="rId55" Target="https://doi.org/10.1111/j.1540-6261.1997.tb04827.x" TargetMode="External" /><Relationship Type="http://schemas.openxmlformats.org/officeDocument/2006/relationships/hyperlink" Id="rId51" Target="https://doi.org/10.1111/j.1540-6261.2012.01729.x" TargetMode="External" /><Relationship Type="http://schemas.openxmlformats.org/officeDocument/2006/relationships/hyperlink" Id="rId47" Target="https://doi.org/10.1111/j.2517-6161.1995.tb02031.x" TargetMode="External" /><Relationship Type="http://schemas.openxmlformats.org/officeDocument/2006/relationships/hyperlink" Id="rId50" Target="https://doi.org/10.1198/jbes.2010.07136" TargetMode="External" /><Relationship Type="http://schemas.openxmlformats.org/officeDocument/2006/relationships/hyperlink" Id="rId58" Target="https://doi.org/10.1371/journal.pone.0287548" TargetMode="External" /><Relationship Type="http://schemas.openxmlformats.org/officeDocument/2006/relationships/hyperlink" Id="rId57" Target="https://doi.org/10.2307/1913610" TargetMode="External" /><Relationship Type="http://schemas.openxmlformats.org/officeDocument/2006/relationships/hyperlink" Id="rId60" Target="https://github.com/tungtran0911/vn-equity-factors" TargetMode="External" /><Relationship Type="http://schemas.openxmlformats.org/officeDocument/2006/relationships/hyperlink" Id="rId62" Target="https://papers.ssrn.com/sol3/papers.cfm?abstract_id=1009042" TargetMode="External" /><Relationship Type="http://schemas.openxmlformats.org/officeDocument/2006/relationships/hyperlink" Id="rId61" Target="https://vietnamnews.vn/economy/1717047/krx-system-officially-goes-live.html" TargetMode="External" /><Relationship Type="http://schemas.openxmlformats.org/officeDocument/2006/relationships/hyperlink" Id="rId54" Target="https://www.hsc.com.vn/en/important-changes-of-new-trading-system" TargetMode="External" /></Relationships>
</file>

<file path=word/_rels/footnotes.xml.rels><?xml version="1.0" encoding="UTF-8"?><Relationships xmlns="http://schemas.openxmlformats.org/package/2006/relationships"><Relationship Type="http://schemas.openxmlformats.org/officeDocument/2006/relationships/hyperlink" Id="rId49" Target="https://doi.org/10.1016/0304-405X(86)90061-9" TargetMode="External" /><Relationship Type="http://schemas.openxmlformats.org/officeDocument/2006/relationships/hyperlink" Id="rId56" Target="https://doi.org/10.1016/j.jfineco.2019.03.011" TargetMode="External" /><Relationship Type="http://schemas.openxmlformats.org/officeDocument/2006/relationships/hyperlink" Id="rId52" Target="https://doi.org/10.1086/260061" TargetMode="External" /><Relationship Type="http://schemas.openxmlformats.org/officeDocument/2006/relationships/hyperlink" Id="rId53" Target="https://doi.org/10.1093/rfs/hhv059" TargetMode="External" /><Relationship Type="http://schemas.openxmlformats.org/officeDocument/2006/relationships/hyperlink" Id="rId48" Target="https://doi.org/10.1111/j.1475-6803.2006.00185.x" TargetMode="External" /><Relationship Type="http://schemas.openxmlformats.org/officeDocument/2006/relationships/hyperlink" Id="rId59" Target="https://doi.org/10.1111/j.1540-6261.1994.tb04427.x" TargetMode="External" /><Relationship Type="http://schemas.openxmlformats.org/officeDocument/2006/relationships/hyperlink" Id="rId55" Target="https://doi.org/10.1111/j.1540-6261.1997.tb04827.x" TargetMode="External" /><Relationship Type="http://schemas.openxmlformats.org/officeDocument/2006/relationships/hyperlink" Id="rId51" Target="https://doi.org/10.1111/j.1540-6261.2012.01729.x" TargetMode="External" /><Relationship Type="http://schemas.openxmlformats.org/officeDocument/2006/relationships/hyperlink" Id="rId47" Target="https://doi.org/10.1111/j.2517-6161.1995.tb02031.x" TargetMode="External" /><Relationship Type="http://schemas.openxmlformats.org/officeDocument/2006/relationships/hyperlink" Id="rId50" Target="https://doi.org/10.1198/jbes.2010.07136" TargetMode="External" /><Relationship Type="http://schemas.openxmlformats.org/officeDocument/2006/relationships/hyperlink" Id="rId58" Target="https://doi.org/10.1371/journal.pone.0287548" TargetMode="External" /><Relationship Type="http://schemas.openxmlformats.org/officeDocument/2006/relationships/hyperlink" Id="rId57" Target="https://doi.org/10.2307/1913610" TargetMode="External" /><Relationship Type="http://schemas.openxmlformats.org/officeDocument/2006/relationships/hyperlink" Id="rId60" Target="https://github.com/tungtran0911/vn-equity-factors" TargetMode="External" /><Relationship Type="http://schemas.openxmlformats.org/officeDocument/2006/relationships/hyperlink" Id="rId62" Target="https://papers.ssrn.com/sol3/papers.cfm?abstract_id=1009042" TargetMode="External" /><Relationship Type="http://schemas.openxmlformats.org/officeDocument/2006/relationships/hyperlink" Id="rId61" Target="https://vietnamnews.vn/economy/1717047/krx-system-officially-goes-live.html" TargetMode="External" /><Relationship Type="http://schemas.openxmlformats.org/officeDocument/2006/relationships/hyperlink" Id="rId54" Target="https://www.hsc.com.vn/en/important-changes-of-new-trading-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Closing at the limit: price limits, overnight gaps and next-day returns on the Ho Chi Minh Stock Exchange</dc:title>
  <dc:creator>[Author names and affiliations to be added]</dc:creator>
  <cp:keywords/>
  <dcterms:created xsi:type="dcterms:W3CDTF">2026-10-04T08:41:15Z</dcterms:created>
  <dcterms:modified xsi:type="dcterms:W3CDTF">2026-10-04T08:41:15Z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of 4 October 2026 (journal-neutral; not yet submitted)</vt:lpwstr>
  </property>
  <property fmtid="{D5CDD505-2E9C-101B-9397-08002B2CF9AE}" pid="3" name="output">
    <vt:lpwstr/>
  </property>
</Properties>
</file>