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jc w:val="left"/>
      </w:pPr>
      <w:r>
        <w:t xml:space="preserve">Do price limits delay price discovery? Overnight gaps after limit closes in Vietnam</w:t>
      </w:r>
    </w:p>
    <w:p>
      <w:pPr>
        <w:pStyle w:val="BodyText"/>
        <w:spacing w:line="276" w:lineRule="auto" w:after="120"/>
        <w:jc w:val="left"/>
      </w:pPr>
      <w:r>
        <w:t xml:space="preserve">Ha Hong Hanh, Nguyen Van Trung &amp; Nguyen Thanh Binh</w:t>
      </w:r>
    </w:p>
    <w:p>
      <w:pPr>
        <w:pStyle w:val="BodyText"/>
        <w:spacing w:line="276" w:lineRule="auto" w:after="120"/>
        <w:jc w:val="left"/>
      </w:pPr>
      <w:r>
        <w:rPr>
          <w:bCs/>
          <w:b/>
        </w:rPr>
        <w:t xml:space="preserve">Supplementary Information</w:t>
      </w:r>
    </w:p>
    <w:p>
      <w:pPr>
        <w:spacing w:line="276" w:lineRule="auto" w:after="120"/>
        <w:jc w:val="left"/>
      </w:pPr>
      <w:r>
        <w:br w:type="page"/>
      </w:r>
    </w:p>
    <w:p>
      <w:pPr>
        <w:pStyle w:val="Heading2"/>
        <w:jc w:val="left"/>
      </w:pPr>
      <w:r>
        <w:t xml:space="preserve">Supplementary Note 1: Characteristic definitions</w:t>
      </w:r>
    </w:p>
    <w:p>
      <w:pPr>
        <w:pStyle w:val="FirstParagraph"/>
        <w:spacing w:line="276" w:lineRule="auto" w:after="120"/>
        <w:jc w:val="left"/>
      </w:pPr>
      <w:r>
        <w:t xml:space="preserve">All characteristics use data up to each week’s formation day. REV1W and REV1M are the compounded returns over the last 5 and 20 trading days, and MOM3M and MOM6M over 60 and 110 trading days ending five days before formation. IMOM compounds the return in excess of the dollar-volume-weighted market over the MOM3M window. Over the last 60 days, VOL is the standard deviation of daily returns; BETA and IVOL are the slope and residual standard deviation of a regression of those returns on the dollar-volume-weighted return of that week’s cross-section; DOWNVOL is the square root of the mean of</w:t>
      </w:r>
      <w:r>
        <w:t xml:space="preserve"> </w:t>
      </w:r>
      <m:oMath>
        <m:r>
          <m:rPr>
            <m:sty m:val="p"/>
          </m:rPr>
          <m:t>min</m:t>
        </m:r>
        <m:sSup>
          <m:e>
            <m:d>
              <m:dPr>
                <m:begChr m:val="("/>
                <m:endChr m:val=")"/>
                <m:sepChr m:val=""/>
                <m:grow/>
              </m:dPr>
              <m:e>
                <m:r>
                  <m:t>r</m:t>
                </m:r>
                <m:r>
                  <m:rPr>
                    <m:sty m:val="p"/>
                  </m:rPr>
                  <m:t>,</m:t>
                </m:r>
                <m:r>
                  <m:t>0</m:t>
                </m:r>
              </m:e>
            </m:d>
          </m:e>
          <m:sup>
            <m:r>
              <m:t>2</m:t>
            </m:r>
          </m:sup>
        </m:sSup>
      </m:oMath>
      <w:r>
        <w:t xml:space="preserve">; RANGEVOL is the Parkinson[1] high-low estimator; SKEW and KURT are the third and fourth standardized moments; AMIHUD is the mean ratio of absolute return to dollar volume [2]; LNDVOL is the log of mean dollar volume; and CSSPREAD is the Corwin and Schultz[3] spread estimator. Over the last 20 days, MAX and MIN are the largest and smallest daily returns [4], OVERNIGHT and INTRADAY the mean open-over-previous-close and close-over-open returns, and LIMITFREQ the share of days with an absolute return of 6.5% or more. DVOLCHG and TURNCHG are the ratios of 20-day to 60-day mean dollar volume and share volume. The quintile spread is the equal-weighted abnormal return of the top minus the bottom quintile over the next five days; the net spread subtracts</w:t>
      </w:r>
      <w:r>
        <w:t xml:space="preserve"> </w:t>
      </w:r>
      <m:oMath>
        <m:r>
          <m:t>2</m:t>
        </m:r>
        <m:r>
          <m:rPr>
            <m:sty m:val="p"/>
          </m:rPr>
          <m:t>×</m:t>
        </m:r>
        <m:r>
          <m:t>0.0025</m:t>
        </m:r>
        <m:r>
          <m:rPr>
            <m:sty m:val="p"/>
          </m:rPr>
          <m:t>×</m:t>
        </m:r>
        <m:d>
          <m:dPr>
            <m:begChr m:val="("/>
            <m:endChr m:val=")"/>
            <m:sepChr m:val=""/>
            <m:grow/>
          </m:dPr>
          <m:e>
            <m:sSub>
              <m:e>
                <m:r>
                  <m:rPr>
                    <m:sty m:val="p"/>
                  </m:rPr>
                  <m:t>T</m:t>
                </m:r>
                <m:r>
                  <m:rPr>
                    <m:sty m:val="p"/>
                  </m:rPr>
                  <m:t>O</m:t>
                </m:r>
              </m:e>
              <m:sub>
                <m:r>
                  <m:t>L</m:t>
                </m:r>
              </m:sub>
            </m:sSub>
            <m:r>
              <m:rPr>
                <m:sty m:val="p"/>
              </m:rPr>
              <m:t>+</m:t>
            </m:r>
            <m:sSub>
              <m:e>
                <m:r>
                  <m:rPr>
                    <m:sty m:val="p"/>
                  </m:rPr>
                  <m:t>T</m:t>
                </m:r>
                <m:r>
                  <m:rPr>
                    <m:sty m:val="p"/>
                  </m:rPr>
                  <m:t>O</m:t>
                </m:r>
              </m:e>
              <m:sub>
                <m:r>
                  <m:t>S</m:t>
                </m:r>
              </m:sub>
            </m:sSub>
          </m:e>
        </m:d>
      </m:oMath>
      <w:r>
        <w:t xml:space="preserve">, where</w:t>
      </w:r>
      <w:r>
        <w:t xml:space="preserve"> </w:t>
      </w:r>
      <m:oMath>
        <m:sSub>
          <m:e>
            <m:r>
              <m:rPr>
                <m:sty m:val="p"/>
              </m:rPr>
              <m:t>T</m:t>
            </m:r>
            <m:r>
              <m:rPr>
                <m:sty m:val="p"/>
              </m:rPr>
              <m:t>O</m:t>
            </m:r>
          </m:e>
          <m:sub>
            <m:r>
              <m:t>L</m:t>
            </m:r>
          </m:sub>
        </m:sSub>
      </m:oMath>
      <w:r>
        <w:t xml:space="preserve"> </w:t>
      </w:r>
      <w:r>
        <w:t xml:space="preserve">and</w:t>
      </w:r>
      <w:r>
        <w:t xml:space="preserve"> </w:t>
      </w:r>
      <m:oMath>
        <m:sSub>
          <m:e>
            <m:r>
              <m:rPr>
                <m:sty m:val="p"/>
              </m:rPr>
              <m:t>T</m:t>
            </m:r>
            <m:r>
              <m:rPr>
                <m:sty m:val="p"/>
              </m:rPr>
              <m:t>O</m:t>
            </m:r>
          </m:e>
          <m:sub>
            <m:r>
              <m:t>S</m:t>
            </m:r>
          </m:sub>
        </m:sSub>
      </m:oMath>
      <w:r>
        <w:t xml:space="preserve"> </w:t>
      </w:r>
      <w:r>
        <w:t xml:space="preserve">are the shares of the long and short legs replaced since the previous week.</w:t>
      </w:r>
    </w:p>
    <w:p>
      <w:pPr>
        <w:pStyle w:val="Heading2"/>
        <w:jc w:val="left"/>
      </w:pPr>
      <w:r>
        <w:t xml:space="preserve">Supplementary Note 2: Literature search</w:t>
      </w:r>
    </w:p>
    <w:p>
      <w:pPr>
        <w:pStyle w:val="FirstParagraph"/>
        <w:spacing w:line="276" w:lineRule="auto" w:after="120"/>
        <w:jc w:val="left"/>
      </w:pPr>
      <w:r>
        <w:t xml:space="preserve">We searched on October 4 and 5, 2026 with the web search tool of the AI assistant named in Methods, Use of generative AI; no subscription database (Scopus or Web of Science) was available, and publisher pages could not be opened. The search topics were price-limit performance (delayed price discovery, volatility spillover, trading interference, and magnet effect), price-limit band changes, price limits in Vietnam and on HOSE and HNX, overnight versus intraday returns, lottery-type (MAX) and low-volatility effects, circuit breakers, multiple testing and false discoveries in asset pricing, Fama–MacBeth and clustered standard errors, regression discontinuity, weekly return predictability, and anomalies in the Vietnamese stock market; exact query strings were not logged. We screened about 100 records by title and abstract and kept peer-reviewed journal articles in English whose bibliographic record we could confirm; working papers, theses, code repositories, and press items were not used as evidence, except for press and brokerage descriptions of HOSE rules (Methods) and the working paper of Farber et al.[5], cited as background on the early market. A second search on October 6, 2026, covered studies of price limits in Vietnam, including the Vietnam Journals Online (VJOL) index, and added Le[6] and the working paper of Farber et al.[5]; Vietnamese-language articles without an English record were not screened, and the coverage of Chinese A-share studies is incomplete. We read the bibliographic records and the abstract text returned by the search tool; the full texts of the three studies closest to ours [7–9] were read on October 6, 2026, and Supplementary Table S1 reports their results.</w:t>
      </w:r>
    </w:p>
    <w:p>
      <w:pPr>
        <w:pStyle w:val="Heading2"/>
        <w:jc w:val="left"/>
      </w:pPr>
      <w:r>
        <w:t xml:space="preserve">Supplementary Tables</w:t>
      </w:r>
    </w:p>
    <w:p>
      <w:pPr>
        <w:pStyle w:val="FirstParagraph"/>
        <w:spacing w:line="276" w:lineRule="auto" w:after="120"/>
        <w:jc w:val="left"/>
      </w:pPr>
      <w:r>
        <w:rPr>
          <w:bCs/>
          <w:b/>
        </w:rPr>
        <w:t xml:space="preserve">Supplementary Table S1.</w:t>
      </w:r>
      <w:r>
        <w:t xml:space="preserve"> </w:t>
      </w:r>
      <w:r>
        <w:t xml:space="preserve">Comparison with earlier studies</w:t>
      </w:r>
    </w:p>
    <w:tbl>
      <w:tblPr>
        <w:tblStyle w:val="Table"/>
        <w:tblW w:type="pct" w:w="5000"/>
        <w:tblLayout w:type="fixed"/>
        <w:tblLook w:firstRow="1" w:lastRow="0" w:firstColumn="0" w:lastColumn="0" w:noHBand="0" w:noVBand="0" w:val="0020"/>
        <w:jc w:val="start"/>
      </w:tblPr>
      <w:tblGrid>
        <w:gridCol w:w="2267"/>
        <w:gridCol w:w="2267"/>
        <w:gridCol w:w="2267"/>
        <w:gridCol w:w="2267"/>
      </w:tblGrid>
      <w:tr>
        <w:trPr>
          <w:tblHeader w:val="true"/>
        </w:trPr>
        <w:tc>
          <w:tcPr>
            <w:tcW w:type="dxa" w:w="2268"/>
            <w:tcBorders>
              <w:top w:val="single" w:sz="6" w:space="0" w:color="000000"/>
              <w:bottom w:val="single" w:sz="6" w:space="0" w:color="000000"/>
            </w:tcBorders>
          </w:tcPr>
          <w:p>
            <w:pPr>
              <w:pStyle w:val="Compact"/>
              <w:spacing w:line="240" w:lineRule="auto" w:after="20"/>
              <w:jc w:val="left"/>
            </w:pPr>
            <w:r>
              <w:rPr>
                <w:b/>
                <w:sz w:val="17"/>
              </w:rPr>
              <w:t xml:space="preserve">Study</w:t>
            </w:r>
          </w:p>
        </w:tc>
        <w:tc>
          <w:tcPr>
            <w:tcW w:type="dxa" w:w="2268"/>
            <w:tcBorders>
              <w:top w:val="single" w:sz="6" w:space="0" w:color="000000"/>
              <w:bottom w:val="single" w:sz="6" w:space="0" w:color="000000"/>
            </w:tcBorders>
          </w:tcPr>
          <w:p>
            <w:pPr>
              <w:pStyle w:val="Compact"/>
              <w:spacing w:line="240" w:lineRule="auto" w:after="20"/>
              <w:jc w:val="center"/>
            </w:pPr>
            <w:r>
              <w:rPr>
                <w:b/>
                <w:sz w:val="17"/>
              </w:rPr>
              <w:t xml:space="preserve">Setting</w:t>
            </w:r>
          </w:p>
        </w:tc>
        <w:tc>
          <w:tcPr>
            <w:tcW w:type="dxa" w:w="2268"/>
            <w:tcBorders>
              <w:top w:val="single" w:sz="6" w:space="0" w:color="000000"/>
              <w:bottom w:val="single" w:sz="6" w:space="0" w:color="000000"/>
            </w:tcBorders>
          </w:tcPr>
          <w:p>
            <w:pPr>
              <w:pStyle w:val="Compact"/>
              <w:spacing w:line="240" w:lineRule="auto" w:after="20"/>
              <w:jc w:val="center"/>
            </w:pPr>
            <w:r>
              <w:rPr>
                <w:b/>
                <w:sz w:val="17"/>
              </w:rPr>
              <w:t xml:space="preserve">Reported finding</w:t>
            </w:r>
          </w:p>
        </w:tc>
        <w:tc>
          <w:tcPr>
            <w:tcW w:type="dxa" w:w="2268"/>
            <w:tcBorders>
              <w:top w:val="single" w:sz="6" w:space="0" w:color="000000"/>
              <w:bottom w:val="single" w:sz="6" w:space="0" w:color="000000"/>
            </w:tcBorders>
          </w:tcPr>
          <w:p>
            <w:pPr>
              <w:pStyle w:val="Compact"/>
              <w:spacing w:line="240" w:lineRule="auto" w:after="20"/>
              <w:jc w:val="center"/>
            </w:pPr>
            <w:r>
              <w:rPr>
                <w:b/>
                <w:sz w:val="17"/>
              </w:rPr>
              <w:t xml:space="preserve">Relation to our result</w:t>
            </w:r>
          </w:p>
        </w:tc>
      </w:tr>
      <w:tr>
        <w:tc>
          <w:tcPr>
            <w:tcW w:type="dxa" w:w="2268"/>
          </w:tcPr>
          <w:p>
            <w:pPr>
              <w:pStyle w:val="Compact"/>
              <w:spacing w:line="240" w:lineRule="auto" w:after="20"/>
              <w:jc w:val="left"/>
            </w:pPr>
            <w:r>
              <w:rPr>
                <w:sz w:val="17"/>
              </w:rPr>
              <w:t xml:space="preserve">Kim and Rhee (1997)</w:t>
            </w:r>
          </w:p>
        </w:tc>
        <w:tc>
          <w:tcPr>
            <w:tcW w:type="dxa" w:w="2268"/>
          </w:tcPr>
          <w:p>
            <w:pPr>
              <w:pStyle w:val="Compact"/>
              <w:spacing w:line="240" w:lineRule="auto" w:after="20"/>
              <w:jc w:val="center"/>
            </w:pPr>
            <w:r>
              <w:rPr>
                <w:sz w:val="17"/>
              </w:rPr>
              <w:t xml:space="preserve">Tokyo, 1989–1992; limit hits</w:t>
            </w:r>
          </w:p>
        </w:tc>
        <w:tc>
          <w:tcPr>
            <w:tcW w:type="dxa" w:w="2268"/>
          </w:tcPr>
          <w:p>
            <w:pPr>
              <w:pStyle w:val="Compact"/>
              <w:spacing w:line="240" w:lineRule="auto" w:after="20"/>
              <w:jc w:val="center"/>
            </w:pPr>
            <w:r>
              <w:rPr>
                <w:sz w:val="17"/>
              </w:rPr>
              <w:t xml:space="preserve">Overnight continuation after limit hits in 65% (upper) and 49% (lower) of cases, against 50% and 32% for stocks reaching 90% of the limit; volatility spillover and trading interference</w:t>
            </w:r>
          </w:p>
        </w:tc>
        <w:tc>
          <w:tcPr>
            <w:tcW w:type="dxa" w:w="2268"/>
          </w:tcPr>
          <w:p>
            <w:pPr>
              <w:pStyle w:val="Compact"/>
              <w:spacing w:line="240" w:lineRule="auto" w:after="20"/>
              <w:jc w:val="center"/>
            </w:pPr>
            <w:r>
              <w:rPr>
                <w:sz w:val="17"/>
              </w:rPr>
              <w:t xml:space="preserve">Same direction: the overnight move is larger at the limit than near it; we measure its size, not its frequency; spillover and interference not tested</w:t>
            </w:r>
          </w:p>
        </w:tc>
      </w:tr>
      <w:tr>
        <w:tc>
          <w:tcPr>
            <w:tcW w:type="dxa" w:w="2268"/>
          </w:tcPr>
          <w:p>
            <w:pPr>
              <w:pStyle w:val="Compact"/>
              <w:spacing w:line="240" w:lineRule="auto" w:after="20"/>
              <w:jc w:val="left"/>
            </w:pPr>
            <w:r>
              <w:rPr>
                <w:sz w:val="17"/>
              </w:rPr>
              <w:t xml:space="preserve">Berkman and Lee (2002)</w:t>
            </w:r>
          </w:p>
        </w:tc>
        <w:tc>
          <w:tcPr>
            <w:tcW w:type="dxa" w:w="2268"/>
          </w:tcPr>
          <w:p>
            <w:pPr>
              <w:pStyle w:val="Compact"/>
              <w:spacing w:line="240" w:lineRule="auto" w:after="20"/>
              <w:jc w:val="center"/>
            </w:pPr>
            <w:r>
              <w:rPr>
                <w:sz w:val="17"/>
              </w:rPr>
              <w:t xml:space="preserve">Korea; limit revision</w:t>
            </w:r>
          </w:p>
        </w:tc>
        <w:tc>
          <w:tcPr>
            <w:tcW w:type="dxa" w:w="2268"/>
          </w:tcPr>
          <w:p>
            <w:pPr>
              <w:pStyle w:val="Compact"/>
              <w:spacing w:line="240" w:lineRule="auto" w:after="20"/>
              <w:jc w:val="center"/>
            </w:pPr>
            <w:r>
              <w:rPr>
                <w:sz w:val="17"/>
              </w:rPr>
              <w:t xml:space="preserve">Volatility and trading activity around the revision</w:t>
            </w:r>
          </w:p>
        </w:tc>
        <w:tc>
          <w:tcPr>
            <w:tcW w:type="dxa" w:w="2268"/>
          </w:tcPr>
          <w:p>
            <w:pPr>
              <w:pStyle w:val="Compact"/>
              <w:spacing w:line="240" w:lineRule="auto" w:after="20"/>
              <w:jc w:val="center"/>
            </w:pPr>
            <w:r>
              <w:rPr>
                <w:sz w:val="17"/>
              </w:rPr>
              <w:t xml:space="preserve">Different question</w:t>
            </w:r>
          </w:p>
        </w:tc>
      </w:tr>
      <w:tr>
        <w:tc>
          <w:tcPr>
            <w:tcW w:type="dxa" w:w="2268"/>
          </w:tcPr>
          <w:p>
            <w:pPr>
              <w:pStyle w:val="Compact"/>
              <w:spacing w:line="240" w:lineRule="auto" w:after="20"/>
              <w:jc w:val="left"/>
            </w:pPr>
            <w:r>
              <w:rPr>
                <w:sz w:val="17"/>
              </w:rPr>
              <w:t xml:space="preserve">Huang et al. (2001)</w:t>
            </w:r>
          </w:p>
        </w:tc>
        <w:tc>
          <w:tcPr>
            <w:tcW w:type="dxa" w:w="2268"/>
          </w:tcPr>
          <w:p>
            <w:pPr>
              <w:pStyle w:val="Compact"/>
              <w:spacing w:line="240" w:lineRule="auto" w:after="20"/>
              <w:jc w:val="center"/>
            </w:pPr>
            <w:r>
              <w:rPr>
                <w:sz w:val="17"/>
              </w:rPr>
              <w:t xml:space="preserve">Taiwan, 1990–1996; 7% band</w:t>
            </w:r>
          </w:p>
        </w:tc>
        <w:tc>
          <w:tcPr>
            <w:tcW w:type="dxa" w:w="2268"/>
          </w:tcPr>
          <w:p>
            <w:pPr>
              <w:pStyle w:val="Compact"/>
              <w:spacing w:line="240" w:lineRule="auto" w:after="20"/>
              <w:jc w:val="center"/>
            </w:pPr>
            <w:r>
              <w:rPr>
                <w:sz w:val="17"/>
              </w:rPr>
              <w:t xml:space="preserve">One-day up-limit closes: +1.18% overnight, −0.77% in the next session; near-limit rises: +0.23% and −0.72%; down-limit closes: −2.17% and +1.24%</w:t>
            </w:r>
          </w:p>
        </w:tc>
        <w:tc>
          <w:tcPr>
            <w:tcW w:type="dxa" w:w="2268"/>
          </w:tcPr>
          <w:p>
            <w:pPr>
              <w:pStyle w:val="Compact"/>
              <w:spacing w:line="240" w:lineRule="auto" w:after="20"/>
              <w:jc w:val="center"/>
            </w:pPr>
            <w:r>
              <w:rPr>
                <w:sz w:val="17"/>
              </w:rPr>
              <w:t xml:space="preserve">Same timing; our ceiling gap (2.24%) is larger, and the session reverses a smaller share (24% against about two thirds)</w:t>
            </w:r>
          </w:p>
        </w:tc>
      </w:tr>
      <w:tr>
        <w:tc>
          <w:tcPr>
            <w:tcW w:type="dxa" w:w="2268"/>
          </w:tcPr>
          <w:p>
            <w:pPr>
              <w:pStyle w:val="Compact"/>
              <w:spacing w:line="240" w:lineRule="auto" w:after="20"/>
              <w:jc w:val="left"/>
            </w:pPr>
            <w:r>
              <w:rPr>
                <w:sz w:val="17"/>
              </w:rPr>
              <w:t xml:space="preserve">Cho et al. (2003)</w:t>
            </w:r>
          </w:p>
        </w:tc>
        <w:tc>
          <w:tcPr>
            <w:tcW w:type="dxa" w:w="2268"/>
          </w:tcPr>
          <w:p>
            <w:pPr>
              <w:pStyle w:val="Compact"/>
              <w:spacing w:line="240" w:lineRule="auto" w:after="20"/>
              <w:jc w:val="center"/>
            </w:pPr>
            <w:r>
              <w:rPr>
                <w:sz w:val="17"/>
              </w:rPr>
              <w:t xml:space="preserve">Taiwan; five-minute data</w:t>
            </w:r>
          </w:p>
        </w:tc>
        <w:tc>
          <w:tcPr>
            <w:tcW w:type="dxa" w:w="2268"/>
          </w:tcPr>
          <w:p>
            <w:pPr>
              <w:pStyle w:val="Compact"/>
              <w:spacing w:line="240" w:lineRule="auto" w:after="20"/>
              <w:jc w:val="center"/>
            </w:pPr>
            <w:r>
              <w:rPr>
                <w:sz w:val="17"/>
              </w:rPr>
              <w:t xml:space="preserve">Prices accelerate toward the upper limit</w:t>
            </w:r>
          </w:p>
        </w:tc>
        <w:tc>
          <w:tcPr>
            <w:tcW w:type="dxa" w:w="2268"/>
          </w:tcPr>
          <w:p>
            <w:pPr>
              <w:pStyle w:val="Compact"/>
              <w:spacing w:line="240" w:lineRule="auto" w:after="20"/>
              <w:jc w:val="center"/>
            </w:pPr>
            <w:r>
              <w:rPr>
                <w:sz w:val="17"/>
              </w:rPr>
              <w:t xml:space="preserve">Not tested; no intraday prices</w:t>
            </w:r>
          </w:p>
        </w:tc>
      </w:tr>
      <w:tr>
        <w:tc>
          <w:tcPr>
            <w:tcW w:type="dxa" w:w="2268"/>
          </w:tcPr>
          <w:p>
            <w:pPr>
              <w:pStyle w:val="Compact"/>
              <w:spacing w:line="240" w:lineRule="auto" w:after="20"/>
              <w:jc w:val="left"/>
            </w:pPr>
            <w:r>
              <w:rPr>
                <w:sz w:val="17"/>
              </w:rPr>
              <w:t xml:space="preserve">Chen et al. (2019)</w:t>
            </w:r>
          </w:p>
        </w:tc>
        <w:tc>
          <w:tcPr>
            <w:tcW w:type="dxa" w:w="2268"/>
          </w:tcPr>
          <w:p>
            <w:pPr>
              <w:pStyle w:val="Compact"/>
              <w:spacing w:line="240" w:lineRule="auto" w:after="20"/>
              <w:jc w:val="center"/>
            </w:pPr>
            <w:r>
              <w:rPr>
                <w:sz w:val="17"/>
              </w:rPr>
              <w:t xml:space="preserve">Shenzhen; accounts</w:t>
            </w:r>
          </w:p>
        </w:tc>
        <w:tc>
          <w:tcPr>
            <w:tcW w:type="dxa" w:w="2268"/>
          </w:tcPr>
          <w:p>
            <w:pPr>
              <w:pStyle w:val="Compact"/>
              <w:spacing w:line="240" w:lineRule="auto" w:after="20"/>
              <w:jc w:val="center"/>
            </w:pPr>
            <w:r>
              <w:rPr>
                <w:sz w:val="17"/>
              </w:rPr>
              <w:t xml:space="preserve">Large investors buy on the limit day and sell the next; their net buying predicts long-run reversal</w:t>
            </w:r>
          </w:p>
        </w:tc>
        <w:tc>
          <w:tcPr>
            <w:tcW w:type="dxa" w:w="2268"/>
          </w:tcPr>
          <w:p>
            <w:pPr>
              <w:pStyle w:val="Compact"/>
              <w:spacing w:line="240" w:lineRule="auto" w:after="20"/>
              <w:jc w:val="center"/>
            </w:pPr>
            <w:r>
              <w:rPr>
                <w:sz w:val="17"/>
              </w:rPr>
              <w:t xml:space="preserve">Consistent with our intraday reversal; no account identities</w:t>
            </w:r>
          </w:p>
        </w:tc>
      </w:tr>
      <w:tr>
        <w:tc>
          <w:tcPr>
            <w:tcW w:type="dxa" w:w="2268"/>
          </w:tcPr>
          <w:p>
            <w:pPr>
              <w:pStyle w:val="Compact"/>
              <w:spacing w:line="240" w:lineRule="auto" w:after="20"/>
              <w:jc w:val="left"/>
            </w:pPr>
            <w:r>
              <w:rPr>
                <w:sz w:val="17"/>
              </w:rPr>
              <w:t xml:space="preserve">Qi (2023)</w:t>
            </w:r>
          </w:p>
        </w:tc>
        <w:tc>
          <w:tcPr>
            <w:tcW w:type="dxa" w:w="2268"/>
          </w:tcPr>
          <w:p>
            <w:pPr>
              <w:pStyle w:val="Compact"/>
              <w:spacing w:line="240" w:lineRule="auto" w:after="20"/>
              <w:jc w:val="center"/>
            </w:pPr>
            <w:r>
              <w:rPr>
                <w:sz w:val="17"/>
              </w:rPr>
              <w:t xml:space="preserve">ChiNext, 2020–2021; band 10% to 20%</w:t>
            </w:r>
          </w:p>
        </w:tc>
        <w:tc>
          <w:tcPr>
            <w:tcW w:type="dxa" w:w="2268"/>
          </w:tcPr>
          <w:p>
            <w:pPr>
              <w:pStyle w:val="Compact"/>
              <w:spacing w:line="240" w:lineRule="auto" w:after="20"/>
              <w:jc w:val="center"/>
            </w:pPr>
            <w:r>
              <w:rPr>
                <w:sz w:val="17"/>
              </w:rPr>
              <w:t xml:space="preserve">Day-1 abnormal return +0.24% after upper-limit closes and −3.37% after lower-limit closes under the 10% band; spillover and interference, stronger at the lower limit; no magnet effect</w:t>
            </w:r>
          </w:p>
        </w:tc>
        <w:tc>
          <w:tcPr>
            <w:tcW w:type="dxa" w:w="2268"/>
          </w:tcPr>
          <w:p>
            <w:pPr>
              <w:pStyle w:val="Compact"/>
              <w:spacing w:line="240" w:lineRule="auto" w:after="20"/>
              <w:jc w:val="center"/>
            </w:pPr>
            <w:r>
              <w:rPr>
                <w:sz w:val="17"/>
              </w:rPr>
              <w:t xml:space="preserve">Opposite asymmetry: our day-</w:t>
            </w:r>
            <w:r>
              <w:rPr>
                <w:iCs/>
                <w:i/>
                <w:sz w:val="17"/>
              </w:rPr>
              <w:t xml:space="preserve">d</w:t>
            </w:r>
            <w:r>
              <w:rPr>
                <w:sz w:val="17"/>
              </w:rPr>
              <w:t xml:space="preserve">+1 return is 1.66% after ceiling and −0.71% after floor closes</w:t>
            </w:r>
          </w:p>
        </w:tc>
      </w:tr>
      <w:tr>
        <w:tc>
          <w:tcPr>
            <w:tcW w:type="dxa" w:w="2268"/>
          </w:tcPr>
          <w:p>
            <w:pPr>
              <w:pStyle w:val="Compact"/>
              <w:spacing w:line="240" w:lineRule="auto" w:after="20"/>
              <w:jc w:val="left"/>
            </w:pPr>
            <w:r>
              <w:rPr>
                <w:sz w:val="17"/>
              </w:rPr>
              <w:t xml:space="preserve">Lin et al. (2023); Zeng et al. (2024)</w:t>
            </w:r>
          </w:p>
        </w:tc>
        <w:tc>
          <w:tcPr>
            <w:tcW w:type="dxa" w:w="2268"/>
          </w:tcPr>
          <w:p>
            <w:pPr>
              <w:pStyle w:val="Compact"/>
              <w:spacing w:line="240" w:lineRule="auto" w:after="20"/>
              <w:jc w:val="center"/>
            </w:pPr>
            <w:r>
              <w:rPr>
                <w:sz w:val="17"/>
              </w:rPr>
              <w:t xml:space="preserve">China; cross-section</w:t>
            </w:r>
          </w:p>
        </w:tc>
        <w:tc>
          <w:tcPr>
            <w:tcW w:type="dxa" w:w="2268"/>
          </w:tcPr>
          <w:p>
            <w:pPr>
              <w:pStyle w:val="Compact"/>
              <w:spacing w:line="240" w:lineRule="auto" w:after="20"/>
              <w:jc w:val="center"/>
            </w:pPr>
            <w:r>
              <w:rPr>
                <w:sz w:val="17"/>
              </w:rPr>
              <w:t xml:space="preserve">Large limit exposure or frequent upper-limit hits predict lower returns</w:t>
            </w:r>
          </w:p>
        </w:tc>
        <w:tc>
          <w:tcPr>
            <w:tcW w:type="dxa" w:w="2268"/>
          </w:tcPr>
          <w:p>
            <w:pPr>
              <w:pStyle w:val="Compact"/>
              <w:spacing w:line="240" w:lineRule="auto" w:after="20"/>
              <w:jc w:val="center"/>
            </w:pPr>
            <w:r>
              <w:rPr>
                <w:sz w:val="17"/>
              </w:rPr>
              <w:t xml:space="preserve">Different horizon; a one-day gain can coexist with later reversal, which we do not measure</w:t>
            </w:r>
          </w:p>
        </w:tc>
      </w:tr>
      <w:tr>
        <w:tc>
          <w:tcPr>
            <w:tcW w:type="dxa" w:w="2268"/>
          </w:tcPr>
          <w:p>
            <w:pPr>
              <w:pStyle w:val="Compact"/>
              <w:spacing w:line="240" w:lineRule="auto" w:after="20"/>
              <w:jc w:val="left"/>
            </w:pPr>
            <w:r>
              <w:rPr>
                <w:sz w:val="17"/>
              </w:rPr>
              <w:t xml:space="preserve">Berkman et al. (2012)</w:t>
            </w:r>
          </w:p>
        </w:tc>
        <w:tc>
          <w:tcPr>
            <w:tcW w:type="dxa" w:w="2268"/>
          </w:tcPr>
          <w:p>
            <w:pPr>
              <w:pStyle w:val="Compact"/>
              <w:spacing w:line="240" w:lineRule="auto" w:after="20"/>
              <w:jc w:val="center"/>
            </w:pPr>
            <w:r>
              <w:rPr>
                <w:sz w:val="17"/>
              </w:rPr>
              <w:t xml:space="preserve">U.S.; intraday data</w:t>
            </w:r>
          </w:p>
        </w:tc>
        <w:tc>
          <w:tcPr>
            <w:tcW w:type="dxa" w:w="2268"/>
          </w:tcPr>
          <w:p>
            <w:pPr>
              <w:pStyle w:val="Compact"/>
              <w:spacing w:line="240" w:lineRule="auto" w:after="20"/>
              <w:jc w:val="center"/>
            </w:pPr>
            <w:r>
              <w:rPr>
                <w:sz w:val="17"/>
              </w:rPr>
              <w:t xml:space="preserve">Overnight gains, intraday reversals, concentrated in high-attention stocks</w:t>
            </w:r>
          </w:p>
        </w:tc>
        <w:tc>
          <w:tcPr>
            <w:tcW w:type="dxa" w:w="2268"/>
          </w:tcPr>
          <w:p>
            <w:pPr>
              <w:pStyle w:val="Compact"/>
              <w:spacing w:line="240" w:lineRule="auto" w:after="20"/>
              <w:jc w:val="center"/>
            </w:pPr>
            <w:r>
              <w:rPr>
                <w:sz w:val="17"/>
              </w:rPr>
              <w:t xml:space="preserve">Same signs; the gap also rises with volume and prior return</w:t>
            </w:r>
          </w:p>
        </w:tc>
      </w:tr>
      <w:tr>
        <w:tc>
          <w:tcPr>
            <w:tcW w:type="dxa" w:w="2268"/>
          </w:tcPr>
          <w:p>
            <w:pPr>
              <w:pStyle w:val="Compact"/>
              <w:spacing w:line="240" w:lineRule="auto" w:after="20"/>
              <w:jc w:val="left"/>
            </w:pPr>
            <w:r>
              <w:rPr>
                <w:sz w:val="17"/>
              </w:rPr>
              <w:t xml:space="preserve">Lou et al. (2019)</w:t>
            </w:r>
          </w:p>
        </w:tc>
        <w:tc>
          <w:tcPr>
            <w:tcW w:type="dxa" w:w="2268"/>
          </w:tcPr>
          <w:p>
            <w:pPr>
              <w:pStyle w:val="Compact"/>
              <w:spacing w:line="240" w:lineRule="auto" w:after="20"/>
              <w:jc w:val="center"/>
            </w:pPr>
            <w:r>
              <w:rPr>
                <w:sz w:val="17"/>
              </w:rPr>
              <w:t xml:space="preserve">U.S.; stock returns</w:t>
            </w:r>
          </w:p>
        </w:tc>
        <w:tc>
          <w:tcPr>
            <w:tcW w:type="dxa" w:w="2268"/>
          </w:tcPr>
          <w:p>
            <w:pPr>
              <w:pStyle w:val="Compact"/>
              <w:spacing w:line="240" w:lineRule="auto" w:after="20"/>
              <w:jc w:val="center"/>
            </w:pPr>
            <w:r>
              <w:rPr>
                <w:sz w:val="17"/>
              </w:rPr>
              <w:t xml:space="preserve">Overnight and intraday continuation, offsetting cross-period reversal</w:t>
            </w:r>
          </w:p>
        </w:tc>
        <w:tc>
          <w:tcPr>
            <w:tcW w:type="dxa" w:w="2268"/>
          </w:tcPr>
          <w:p>
            <w:pPr>
              <w:pStyle w:val="Compact"/>
              <w:spacing w:line="240" w:lineRule="auto" w:after="20"/>
              <w:jc w:val="center"/>
            </w:pPr>
            <w:r>
              <w:rPr>
                <w:sz w:val="17"/>
              </w:rPr>
              <w:t xml:space="preserve">Gap-then-reversal has the sign of that cross-period reversal at one day</w:t>
            </w:r>
          </w:p>
        </w:tc>
      </w:tr>
      <w:tr>
        <w:tc>
          <w:tcPr>
            <w:tcW w:type="dxa" w:w="2268"/>
          </w:tcPr>
          <w:p>
            <w:pPr>
              <w:pStyle w:val="Compact"/>
              <w:spacing w:line="240" w:lineRule="auto" w:after="20"/>
              <w:jc w:val="left"/>
            </w:pPr>
            <w:r>
              <w:rPr>
                <w:sz w:val="17"/>
              </w:rPr>
              <w:t xml:space="preserve">Qiao and Dam (2020)</w:t>
            </w:r>
          </w:p>
        </w:tc>
        <w:tc>
          <w:tcPr>
            <w:tcW w:type="dxa" w:w="2268"/>
          </w:tcPr>
          <w:p>
            <w:pPr>
              <w:pStyle w:val="Compact"/>
              <w:spacing w:line="240" w:lineRule="auto" w:after="20"/>
              <w:jc w:val="center"/>
            </w:pPr>
            <w:r>
              <w:rPr>
                <w:sz w:val="17"/>
              </w:rPr>
              <w:t xml:space="preserve">China A-shares</w:t>
            </w:r>
          </w:p>
        </w:tc>
        <w:tc>
          <w:tcPr>
            <w:tcW w:type="dxa" w:w="2268"/>
          </w:tcPr>
          <w:p>
            <w:pPr>
              <w:pStyle w:val="Compact"/>
              <w:spacing w:line="240" w:lineRule="auto" w:after="20"/>
              <w:jc w:val="center"/>
            </w:pPr>
            <w:r>
              <w:rPr>
                <w:sz w:val="17"/>
              </w:rPr>
              <w:t xml:space="preserve">Negative average overnight return; T+1 rule lowers opening prices</w:t>
            </w:r>
          </w:p>
        </w:tc>
        <w:tc>
          <w:tcPr>
            <w:tcW w:type="dxa" w:w="2268"/>
          </w:tcPr>
          <w:p>
            <w:pPr>
              <w:pStyle w:val="Compact"/>
              <w:spacing w:line="240" w:lineRule="auto" w:after="20"/>
              <w:jc w:val="center"/>
            </w:pPr>
            <w:r>
              <w:rPr>
                <w:sz w:val="17"/>
              </w:rPr>
              <w:t xml:space="preserve">Opposite sign: positive overnight return after ceiling closes</w:t>
            </w:r>
          </w:p>
        </w:tc>
      </w:tr>
      <w:tr>
        <w:tc>
          <w:tcPr>
            <w:tcW w:type="dxa" w:w="2268"/>
            <w:tcBorders>
              <w:bottom w:val="single" w:sz="6" w:space="0" w:color="000000"/>
            </w:tcBorders>
          </w:tcPr>
          <w:p>
            <w:pPr>
              <w:pStyle w:val="Compact"/>
              <w:spacing w:line="240" w:lineRule="auto" w:after="20"/>
              <w:jc w:val="left"/>
            </w:pPr>
            <w:r>
              <w:rPr>
                <w:sz w:val="17"/>
              </w:rPr>
              <w:t xml:space="preserve">Hou et al. (2020); Harvey et al. (2016)</w:t>
            </w:r>
          </w:p>
        </w:tc>
        <w:tc>
          <w:tcPr>
            <w:tcW w:type="dxa" w:w="2268"/>
            <w:tcBorders>
              <w:bottom w:val="single" w:sz="6" w:space="0" w:color="000000"/>
            </w:tcBorders>
          </w:tcPr>
          <w:p>
            <w:pPr>
              <w:pStyle w:val="Compact"/>
              <w:spacing w:line="240" w:lineRule="auto" w:after="20"/>
              <w:jc w:val="center"/>
            </w:pPr>
            <w:r>
              <w:rPr>
                <w:sz w:val="17"/>
              </w:rPr>
              <w:t xml:space="preserve">U.S.; anomalies</w:t>
            </w:r>
          </w:p>
        </w:tc>
        <w:tc>
          <w:tcPr>
            <w:tcW w:type="dxa" w:w="2268"/>
            <w:tcBorders>
              <w:bottom w:val="single" w:sz="6" w:space="0" w:color="000000"/>
            </w:tcBorders>
          </w:tcPr>
          <w:p>
            <w:pPr>
              <w:pStyle w:val="Compact"/>
              <w:spacing w:line="240" w:lineRule="auto" w:after="20"/>
              <w:jc w:val="center"/>
            </w:pPr>
            <w:r>
              <w:rPr>
                <w:sz w:val="17"/>
              </w:rPr>
              <w:t xml:space="preserve">With microcaps mitigated, 65% of 452 anomalies fail the 1.96 hurdle; a new factor needs</w:t>
            </w:r>
            <w:r>
              <w:rPr>
                <w:sz w:val="17"/>
              </w:rPr>
              <w:t xml:space="preserve"> </w:t>
            </w:r>
            <w:r>
              <w:rPr>
                <w:iCs/>
                <w:i/>
                <w:sz w:val="17"/>
              </w:rPr>
              <w:t xml:space="preserve">t</w:t>
            </w:r>
            <w:r>
              <w:rPr>
                <w:sz w:val="17"/>
              </w:rPr>
              <w:t xml:space="preserve"> </w:t>
            </w:r>
            <w:r>
              <w:rPr>
                <w:sz w:val="17"/>
              </w:rPr>
              <w:t xml:space="preserve">above 3.0</w:t>
            </w:r>
          </w:p>
        </w:tc>
        <w:tc>
          <w:tcPr>
            <w:tcW w:type="dxa" w:w="2268"/>
            <w:tcBorders>
              <w:bottom w:val="single" w:sz="6" w:space="0" w:color="000000"/>
            </w:tcBorders>
          </w:tcPr>
          <w:p>
            <w:pPr>
              <w:pStyle w:val="Compact"/>
              <w:spacing w:line="240" w:lineRule="auto" w:after="20"/>
              <w:jc w:val="center"/>
            </w:pPr>
            <w:r>
              <w:rPr>
                <w:sz w:val="17"/>
              </w:rPr>
              <w:t xml:space="preserve">None of our 22 characteristics reaches 1.96 in the full sample</w:t>
            </w:r>
          </w:p>
        </w:tc>
      </w:tr>
    </w:tbl>
    <w:p>
      <w:pPr>
        <w:pStyle w:val="BodyText"/>
        <w:spacing w:line="276" w:lineRule="auto" w:after="120"/>
        <w:jc w:val="left"/>
      </w:pPr>
      <w:r>
        <w:rPr>
          <w:iCs/>
          <w:i/>
        </w:rPr>
        <w:t xml:space="preserve">Note.</w:t>
      </w:r>
      <w:r>
        <w:t xml:space="preserve"> </w:t>
      </w:r>
      <w:r>
        <w:t xml:space="preserve">Entries for Kim and Rhee[7], Huang et al.[8] and Qi[9] report results from the full texts; the other entries summarize each study’s abstract.</w:t>
      </w:r>
    </w:p>
    <w:p>
      <w:pPr>
        <w:pStyle w:val="BodyText"/>
        <w:spacing w:line="276" w:lineRule="auto" w:after="120"/>
        <w:jc w:val="left"/>
      </w:pPr>
      <w:r>
        <w:rPr>
          <w:bCs/>
          <w:b/>
        </w:rPr>
        <w:t xml:space="preserve">Supplementary Table S2.</w:t>
      </w:r>
      <w:r>
        <w:t xml:space="preserve"> </w:t>
      </w:r>
      <w:r>
        <w:t xml:space="preserve">Next-day abnormal returns under alternative event definitions</w:t>
      </w:r>
    </w:p>
    <w:tbl>
      <w:tblPr>
        <w:tblStyle w:val="Table"/>
        <w:tblW w:type="pct" w:w="5000"/>
        <w:tblLayout w:type="fixed"/>
        <w:tblLook w:firstRow="1" w:lastRow="0" w:firstColumn="0" w:lastColumn="0" w:noHBand="0" w:noVBand="0" w:val="0020"/>
        <w:jc w:val="start"/>
      </w:tblPr>
      <w:tblGrid>
        <w:gridCol w:w="2204"/>
        <w:gridCol w:w="1356"/>
        <w:gridCol w:w="1356"/>
        <w:gridCol w:w="1441"/>
        <w:gridCol w:w="1356"/>
        <w:gridCol w:w="1356"/>
      </w:tblGrid>
      <w:tr>
        <w:trPr>
          <w:tblHeader w:val="true"/>
        </w:trPr>
        <w:tc>
          <w:tcPr>
            <w:tcW w:type="dxa" w:w="2204"/>
            <w:tcBorders>
              <w:top w:val="single" w:sz="6" w:space="0" w:color="000000"/>
              <w:bottom w:val="single" w:sz="6" w:space="0" w:color="000000"/>
            </w:tcBorders>
          </w:tcPr>
          <w:p>
            <w:pPr>
              <w:pStyle w:val="Compact"/>
              <w:spacing w:line="240" w:lineRule="auto" w:after="20"/>
              <w:jc w:val="left"/>
            </w:pPr>
            <w:r>
              <w:rPr>
                <w:b/>
                <w:sz w:val="17"/>
              </w:rPr>
              <w:t xml:space="preserve">Event definition</w:t>
            </w:r>
          </w:p>
        </w:tc>
        <w:tc>
          <w:tcPr>
            <w:tcW w:type="dxa" w:w="1356"/>
            <w:tcBorders>
              <w:top w:val="single" w:sz="6" w:space="0" w:color="000000"/>
              <w:bottom w:val="single" w:sz="6" w:space="0" w:color="000000"/>
            </w:tcBorders>
          </w:tcPr>
          <w:p>
            <w:pPr>
              <w:pStyle w:val="Compact"/>
              <w:spacing w:line="240" w:lineRule="auto" w:after="20"/>
              <w:jc w:val="center"/>
            </w:pPr>
            <w:r>
              <w:rPr>
                <w:b/>
                <w:sz w:val="17"/>
              </w:rPr>
              <w:t xml:space="preserve">Overnight gap</w:t>
            </w:r>
          </w:p>
        </w:tc>
        <w:tc>
          <w:tcPr>
            <w:tcW w:type="dxa" w:w="1356"/>
            <w:tcBorders>
              <w:top w:val="single" w:sz="6" w:space="0" w:color="000000"/>
              <w:bottom w:val="single" w:sz="6" w:space="0" w:color="000000"/>
            </w:tcBorders>
          </w:tcPr>
          <w:p>
            <w:pPr>
              <w:pStyle w:val="Compact"/>
              <w:spacing w:line="240" w:lineRule="auto" w:after="20"/>
              <w:jc w:val="center"/>
            </w:pPr>
            <w:r>
              <w:rPr>
                <w:b/>
                <w:sz w:val="17"/>
              </w:rPr>
              <w:t xml:space="preserve">Intraday</w:t>
            </w:r>
          </w:p>
        </w:tc>
        <w:tc>
          <w:tcPr>
            <w:tcW w:type="dxa" w:w="1441"/>
            <w:tcBorders>
              <w:top w:val="single" w:sz="6" w:space="0" w:color="000000"/>
              <w:bottom w:val="single" w:sz="6" w:space="0" w:color="000000"/>
            </w:tcBorders>
          </w:tcPr>
          <w:p>
            <w:pPr>
              <w:pStyle w:val="Compact"/>
              <w:spacing w:line="240" w:lineRule="auto" w:after="20"/>
              <w:jc w:val="center"/>
            </w:pPr>
            <w:r>
              <w:rPr>
                <w:b/>
                <w:sz w:val="17"/>
              </w:rPr>
              <w:t xml:space="preserve">Close-to-close</w:t>
            </w:r>
          </w:p>
        </w:tc>
        <w:tc>
          <w:tcPr>
            <w:tcW w:type="dxa" w:w="1356"/>
            <w:tcBorders>
              <w:top w:val="single" w:sz="6" w:space="0" w:color="000000"/>
              <w:bottom w:val="single" w:sz="6" w:space="0" w:color="000000"/>
            </w:tcBorders>
          </w:tcPr>
          <w:p>
            <w:pPr>
              <w:pStyle w:val="Compact"/>
              <w:spacing w:line="240" w:lineRule="auto" w:after="20"/>
              <w:jc w:val="center"/>
            </w:pPr>
            <w:r>
              <w:rPr>
                <w:b/>
                <w:sz w:val="17"/>
              </w:rPr>
              <w:t xml:space="preserve">Open to day</w:t>
            </w:r>
            <w:r>
              <w:rPr>
                <w:b/>
                <w:sz w:val="17"/>
              </w:rPr>
              <w:t xml:space="preserve"> </w:t>
            </w:r>
            <w:r>
              <w:rPr>
                <w:iCs/>
                <w:b/>
                <w:i/>
                <w:sz w:val="17"/>
              </w:rPr>
              <w:t xml:space="preserve">d</w:t>
            </w:r>
            <w:r>
              <w:rPr>
                <w:b/>
                <w:sz w:val="17"/>
              </w:rPr>
              <w:t xml:space="preserve">+5</w:t>
            </w:r>
          </w:p>
        </w:tc>
        <w:tc>
          <w:tcPr>
            <w:tcW w:type="dxa" w:w="1356"/>
            <w:tcBorders>
              <w:top w:val="single" w:sz="6" w:space="0" w:color="000000"/>
              <w:bottom w:val="single" w:sz="6" w:space="0" w:color="000000"/>
            </w:tcBorders>
          </w:tcPr>
          <w:p>
            <w:pPr>
              <w:pStyle w:val="Compact"/>
              <w:spacing w:line="240" w:lineRule="auto" w:after="20"/>
              <w:jc w:val="center"/>
            </w:pPr>
            <w:r>
              <w:rPr>
                <w:b/>
                <w:sz w:val="17"/>
              </w:rPr>
              <w:t xml:space="preserve">Events</w:t>
            </w:r>
          </w:p>
        </w:tc>
      </w:tr>
      <w:tr>
        <w:tc>
          <w:tcPr>
            <w:tcW w:type="dxa" w:w="2204"/>
          </w:tcPr>
          <w:p>
            <w:pPr>
              <w:pStyle w:val="Compact"/>
              <w:spacing w:line="240" w:lineRule="auto" w:after="20"/>
              <w:jc w:val="left"/>
            </w:pPr>
            <w:r>
              <w:rPr>
                <w:sz w:val="17"/>
              </w:rPr>
              <w:t xml:space="preserve">Ceiling: return ≥ 6.5%, close = high (baseline)</w:t>
            </w:r>
          </w:p>
        </w:tc>
        <w:tc>
          <w:tcPr>
            <w:tcW w:type="dxa" w:w="1356"/>
          </w:tcPr>
          <w:p>
            <w:pPr>
              <w:pStyle w:val="Compact"/>
              <w:spacing w:line="240" w:lineRule="auto" w:after="20"/>
              <w:jc w:val="center"/>
            </w:pPr>
            <w:r>
              <w:rPr>
                <w:sz w:val="17"/>
              </w:rPr>
              <w:t xml:space="preserve">2.24 (9.7)</w:t>
            </w:r>
          </w:p>
        </w:tc>
        <w:tc>
          <w:tcPr>
            <w:tcW w:type="dxa" w:w="1356"/>
          </w:tcPr>
          <w:p>
            <w:pPr>
              <w:pStyle w:val="Compact"/>
              <w:spacing w:line="240" w:lineRule="auto" w:after="20"/>
              <w:jc w:val="center"/>
            </w:pPr>
            <w:r>
              <w:rPr>
                <w:sz w:val="17"/>
              </w:rPr>
              <w:t xml:space="preserve">−0.54 (−3.5)</w:t>
            </w:r>
          </w:p>
        </w:tc>
        <w:tc>
          <w:tcPr>
            <w:tcW w:type="dxa" w:w="1441"/>
          </w:tcPr>
          <w:p>
            <w:pPr>
              <w:pStyle w:val="Compact"/>
              <w:spacing w:line="240" w:lineRule="auto" w:after="20"/>
              <w:jc w:val="center"/>
            </w:pPr>
            <w:r>
              <w:rPr>
                <w:sz w:val="17"/>
              </w:rPr>
              <w:t xml:space="preserve">1.66 (4.8)</w:t>
            </w:r>
          </w:p>
        </w:tc>
        <w:tc>
          <w:tcPr>
            <w:tcW w:type="dxa" w:w="1356"/>
          </w:tcPr>
          <w:p>
            <w:pPr>
              <w:pStyle w:val="Compact"/>
              <w:spacing w:line="240" w:lineRule="auto" w:after="20"/>
              <w:jc w:val="center"/>
            </w:pPr>
            <w:r>
              <w:rPr>
                <w:sz w:val="17"/>
              </w:rPr>
              <w:t xml:space="preserve">−0.75 (−2.7)</w:t>
            </w:r>
          </w:p>
        </w:tc>
        <w:tc>
          <w:tcPr>
            <w:tcW w:type="dxa" w:w="1356"/>
          </w:tcPr>
          <w:p>
            <w:pPr>
              <w:pStyle w:val="Compact"/>
              <w:spacing w:line="240" w:lineRule="auto" w:after="20"/>
              <w:jc w:val="center"/>
            </w:pPr>
            <w:r>
              <w:rPr>
                <w:sz w:val="17"/>
              </w:rPr>
              <w:t xml:space="preserve">3,199</w:t>
            </w:r>
          </w:p>
        </w:tc>
      </w:tr>
      <w:tr>
        <w:tc>
          <w:tcPr>
            <w:tcW w:type="dxa" w:w="2204"/>
          </w:tcPr>
          <w:p>
            <w:pPr>
              <w:pStyle w:val="Compact"/>
              <w:spacing w:line="240" w:lineRule="auto" w:after="20"/>
              <w:jc w:val="left"/>
            </w:pPr>
            <w:r>
              <w:rPr>
                <w:sz w:val="17"/>
              </w:rPr>
              <w:t xml:space="preserve">Ceiling: return ≥ 6.0%, close = high</w:t>
            </w:r>
          </w:p>
        </w:tc>
        <w:tc>
          <w:tcPr>
            <w:tcW w:type="dxa" w:w="1356"/>
          </w:tcPr>
          <w:p>
            <w:pPr>
              <w:pStyle w:val="Compact"/>
              <w:spacing w:line="240" w:lineRule="auto" w:after="20"/>
              <w:jc w:val="center"/>
            </w:pPr>
            <w:r>
              <w:rPr>
                <w:sz w:val="17"/>
              </w:rPr>
              <w:t xml:space="preserve">2.07 (9.8)</w:t>
            </w:r>
          </w:p>
        </w:tc>
        <w:tc>
          <w:tcPr>
            <w:tcW w:type="dxa" w:w="1356"/>
          </w:tcPr>
          <w:p>
            <w:pPr>
              <w:pStyle w:val="Compact"/>
              <w:spacing w:line="240" w:lineRule="auto" w:after="20"/>
              <w:jc w:val="center"/>
            </w:pPr>
            <w:r>
              <w:rPr>
                <w:sz w:val="17"/>
              </w:rPr>
              <w:t xml:space="preserve">−0.51 (−3.4)</w:t>
            </w:r>
          </w:p>
        </w:tc>
        <w:tc>
          <w:tcPr>
            <w:tcW w:type="dxa" w:w="1441"/>
          </w:tcPr>
          <w:p>
            <w:pPr>
              <w:pStyle w:val="Compact"/>
              <w:spacing w:line="240" w:lineRule="auto" w:after="20"/>
              <w:jc w:val="center"/>
            </w:pPr>
            <w:r>
              <w:rPr>
                <w:sz w:val="17"/>
              </w:rPr>
              <w:t xml:space="preserve">1.53 (4.8)</w:t>
            </w:r>
          </w:p>
        </w:tc>
        <w:tc>
          <w:tcPr>
            <w:tcW w:type="dxa" w:w="1356"/>
          </w:tcPr>
          <w:p>
            <w:pPr>
              <w:pStyle w:val="Compact"/>
              <w:spacing w:line="240" w:lineRule="auto" w:after="20"/>
              <w:jc w:val="center"/>
            </w:pPr>
            <w:r>
              <w:rPr>
                <w:sz w:val="17"/>
              </w:rPr>
              <w:t xml:space="preserve">−0.72 (−2.7)</w:t>
            </w:r>
          </w:p>
        </w:tc>
        <w:tc>
          <w:tcPr>
            <w:tcW w:type="dxa" w:w="1356"/>
          </w:tcPr>
          <w:p>
            <w:pPr>
              <w:pStyle w:val="Compact"/>
              <w:spacing w:line="240" w:lineRule="auto" w:after="20"/>
              <w:jc w:val="center"/>
            </w:pPr>
            <w:r>
              <w:rPr>
                <w:sz w:val="17"/>
              </w:rPr>
              <w:t xml:space="preserve">3,390</w:t>
            </w:r>
          </w:p>
        </w:tc>
      </w:tr>
      <w:tr>
        <w:tc>
          <w:tcPr>
            <w:tcW w:type="dxa" w:w="2204"/>
          </w:tcPr>
          <w:p>
            <w:pPr>
              <w:pStyle w:val="Compact"/>
              <w:spacing w:line="240" w:lineRule="auto" w:after="20"/>
              <w:jc w:val="left"/>
            </w:pPr>
            <w:r>
              <w:rPr>
                <w:sz w:val="17"/>
              </w:rPr>
              <w:t xml:space="preserve">Ceiling: return ≥ 6.8%, close = high</w:t>
            </w:r>
          </w:p>
        </w:tc>
        <w:tc>
          <w:tcPr>
            <w:tcW w:type="dxa" w:w="1356"/>
          </w:tcPr>
          <w:p>
            <w:pPr>
              <w:pStyle w:val="Compact"/>
              <w:spacing w:line="240" w:lineRule="auto" w:after="20"/>
              <w:jc w:val="center"/>
            </w:pPr>
            <w:r>
              <w:rPr>
                <w:sz w:val="17"/>
              </w:rPr>
              <w:t xml:space="preserve">2.33 (9.5)</w:t>
            </w:r>
          </w:p>
        </w:tc>
        <w:tc>
          <w:tcPr>
            <w:tcW w:type="dxa" w:w="1356"/>
          </w:tcPr>
          <w:p>
            <w:pPr>
              <w:pStyle w:val="Compact"/>
              <w:spacing w:line="240" w:lineRule="auto" w:after="20"/>
              <w:jc w:val="center"/>
            </w:pPr>
            <w:r>
              <w:rPr>
                <w:sz w:val="17"/>
              </w:rPr>
              <w:t xml:space="preserve">−0.56 (−3.5)</w:t>
            </w:r>
          </w:p>
        </w:tc>
        <w:tc>
          <w:tcPr>
            <w:tcW w:type="dxa" w:w="1441"/>
          </w:tcPr>
          <w:p>
            <w:pPr>
              <w:pStyle w:val="Compact"/>
              <w:spacing w:line="240" w:lineRule="auto" w:after="20"/>
              <w:jc w:val="center"/>
            </w:pPr>
            <w:r>
              <w:rPr>
                <w:sz w:val="17"/>
              </w:rPr>
              <w:t xml:space="preserve">1.73 (4.7)</w:t>
            </w:r>
          </w:p>
        </w:tc>
        <w:tc>
          <w:tcPr>
            <w:tcW w:type="dxa" w:w="1356"/>
          </w:tcPr>
          <w:p>
            <w:pPr>
              <w:pStyle w:val="Compact"/>
              <w:spacing w:line="240" w:lineRule="auto" w:after="20"/>
              <w:jc w:val="center"/>
            </w:pPr>
            <w:r>
              <w:rPr>
                <w:sz w:val="17"/>
              </w:rPr>
              <w:t xml:space="preserve">−0.84 (−2.6)</w:t>
            </w:r>
          </w:p>
        </w:tc>
        <w:tc>
          <w:tcPr>
            <w:tcW w:type="dxa" w:w="1356"/>
          </w:tcPr>
          <w:p>
            <w:pPr>
              <w:pStyle w:val="Compact"/>
              <w:spacing w:line="240" w:lineRule="auto" w:after="20"/>
              <w:jc w:val="center"/>
            </w:pPr>
            <w:r>
              <w:rPr>
                <w:sz w:val="17"/>
              </w:rPr>
              <w:t xml:space="preserve">2,468</w:t>
            </w:r>
          </w:p>
        </w:tc>
      </w:tr>
      <w:tr>
        <w:tc>
          <w:tcPr>
            <w:tcW w:type="dxa" w:w="2204"/>
          </w:tcPr>
          <w:p>
            <w:pPr>
              <w:pStyle w:val="Compact"/>
              <w:spacing w:line="240" w:lineRule="auto" w:after="20"/>
              <w:jc w:val="left"/>
            </w:pPr>
            <w:r>
              <w:rPr>
                <w:sz w:val="17"/>
              </w:rPr>
              <w:t xml:space="preserve">Ceiling: return in [6.7%, 7.3%], close = high</w:t>
            </w:r>
          </w:p>
        </w:tc>
        <w:tc>
          <w:tcPr>
            <w:tcW w:type="dxa" w:w="1356"/>
          </w:tcPr>
          <w:p>
            <w:pPr>
              <w:pStyle w:val="Compact"/>
              <w:spacing w:line="240" w:lineRule="auto" w:after="20"/>
              <w:jc w:val="center"/>
            </w:pPr>
            <w:r>
              <w:rPr>
                <w:sz w:val="17"/>
              </w:rPr>
              <w:t xml:space="preserve">2.35 (9.8)</w:t>
            </w:r>
          </w:p>
        </w:tc>
        <w:tc>
          <w:tcPr>
            <w:tcW w:type="dxa" w:w="1356"/>
          </w:tcPr>
          <w:p>
            <w:pPr>
              <w:pStyle w:val="Compact"/>
              <w:spacing w:line="240" w:lineRule="auto" w:after="20"/>
              <w:jc w:val="center"/>
            </w:pPr>
            <w:r>
              <w:rPr>
                <w:sz w:val="17"/>
              </w:rPr>
              <w:t xml:space="preserve">−0.55 (−3.9)</w:t>
            </w:r>
          </w:p>
        </w:tc>
        <w:tc>
          <w:tcPr>
            <w:tcW w:type="dxa" w:w="1441"/>
          </w:tcPr>
          <w:p>
            <w:pPr>
              <w:pStyle w:val="Compact"/>
              <w:spacing w:line="240" w:lineRule="auto" w:after="20"/>
              <w:jc w:val="center"/>
            </w:pPr>
            <w:r>
              <w:rPr>
                <w:sz w:val="17"/>
              </w:rPr>
              <w:t xml:space="preserve">1.76 (5.2)</w:t>
            </w:r>
          </w:p>
        </w:tc>
        <w:tc>
          <w:tcPr>
            <w:tcW w:type="dxa" w:w="1356"/>
          </w:tcPr>
          <w:p>
            <w:pPr>
              <w:pStyle w:val="Compact"/>
              <w:spacing w:line="240" w:lineRule="auto" w:after="20"/>
              <w:jc w:val="center"/>
            </w:pPr>
            <w:r>
              <w:rPr>
                <w:sz w:val="17"/>
              </w:rPr>
              <w:t xml:space="preserve">−0.78 (−2.6)</w:t>
            </w:r>
          </w:p>
        </w:tc>
        <w:tc>
          <w:tcPr>
            <w:tcW w:type="dxa" w:w="1356"/>
          </w:tcPr>
          <w:p>
            <w:pPr>
              <w:pStyle w:val="Compact"/>
              <w:spacing w:line="240" w:lineRule="auto" w:after="20"/>
              <w:jc w:val="center"/>
            </w:pPr>
            <w:r>
              <w:rPr>
                <w:sz w:val="17"/>
              </w:rPr>
              <w:t xml:space="preserve">2,851</w:t>
            </w:r>
          </w:p>
        </w:tc>
      </w:tr>
      <w:tr>
        <w:tc>
          <w:tcPr>
            <w:tcW w:type="dxa" w:w="2204"/>
          </w:tcPr>
          <w:p>
            <w:pPr>
              <w:pStyle w:val="Compact"/>
              <w:spacing w:line="240" w:lineRule="auto" w:after="20"/>
              <w:jc w:val="left"/>
            </w:pPr>
            <w:r>
              <w:rPr>
                <w:sz w:val="17"/>
              </w:rPr>
              <w:t xml:space="preserve">Ceiling: return ≥ 6.5%, no close condition</w:t>
            </w:r>
          </w:p>
        </w:tc>
        <w:tc>
          <w:tcPr>
            <w:tcW w:type="dxa" w:w="1356"/>
          </w:tcPr>
          <w:p>
            <w:pPr>
              <w:pStyle w:val="Compact"/>
              <w:spacing w:line="240" w:lineRule="auto" w:after="20"/>
              <w:jc w:val="center"/>
            </w:pPr>
            <w:r>
              <w:rPr>
                <w:sz w:val="17"/>
              </w:rPr>
              <w:t xml:space="preserve">2.10 (9.6)</w:t>
            </w:r>
          </w:p>
        </w:tc>
        <w:tc>
          <w:tcPr>
            <w:tcW w:type="dxa" w:w="1356"/>
          </w:tcPr>
          <w:p>
            <w:pPr>
              <w:pStyle w:val="Compact"/>
              <w:spacing w:line="240" w:lineRule="auto" w:after="20"/>
              <w:jc w:val="center"/>
            </w:pPr>
            <w:r>
              <w:rPr>
                <w:sz w:val="17"/>
              </w:rPr>
              <w:t xml:space="preserve">−0.51 (−3.4)</w:t>
            </w:r>
          </w:p>
        </w:tc>
        <w:tc>
          <w:tcPr>
            <w:tcW w:type="dxa" w:w="1441"/>
          </w:tcPr>
          <w:p>
            <w:pPr>
              <w:pStyle w:val="Compact"/>
              <w:spacing w:line="240" w:lineRule="auto" w:after="20"/>
              <w:jc w:val="center"/>
            </w:pPr>
            <w:r>
              <w:rPr>
                <w:sz w:val="17"/>
              </w:rPr>
              <w:t xml:space="preserve">1.55 (4.6)</w:t>
            </w:r>
          </w:p>
        </w:tc>
        <w:tc>
          <w:tcPr>
            <w:tcW w:type="dxa" w:w="1356"/>
          </w:tcPr>
          <w:p>
            <w:pPr>
              <w:pStyle w:val="Compact"/>
              <w:spacing w:line="240" w:lineRule="auto" w:after="20"/>
              <w:jc w:val="center"/>
            </w:pPr>
            <w:r>
              <w:rPr>
                <w:sz w:val="17"/>
              </w:rPr>
              <w:t xml:space="preserve">−0.77 (−2.9)</w:t>
            </w:r>
          </w:p>
        </w:tc>
        <w:tc>
          <w:tcPr>
            <w:tcW w:type="dxa" w:w="1356"/>
          </w:tcPr>
          <w:p>
            <w:pPr>
              <w:pStyle w:val="Compact"/>
              <w:spacing w:line="240" w:lineRule="auto" w:after="20"/>
              <w:jc w:val="center"/>
            </w:pPr>
            <w:r>
              <w:rPr>
                <w:sz w:val="17"/>
              </w:rPr>
              <w:t xml:space="preserve">3,421</w:t>
            </w:r>
          </w:p>
        </w:tc>
      </w:tr>
      <w:tr>
        <w:tc>
          <w:tcPr>
            <w:tcW w:type="dxa" w:w="2204"/>
          </w:tcPr>
          <w:p>
            <w:pPr>
              <w:pStyle w:val="Compact"/>
              <w:spacing w:line="240" w:lineRule="auto" w:after="20"/>
              <w:jc w:val="left"/>
            </w:pPr>
            <w:r>
              <w:rPr>
                <w:sz w:val="17"/>
              </w:rPr>
              <w:t xml:space="preserve">Ceiling: return ≥ 6.5%, locked open = high = low = close</w:t>
            </w:r>
          </w:p>
        </w:tc>
        <w:tc>
          <w:tcPr>
            <w:tcW w:type="dxa" w:w="1356"/>
          </w:tcPr>
          <w:p>
            <w:pPr>
              <w:pStyle w:val="Compact"/>
              <w:spacing w:line="240" w:lineRule="auto" w:after="20"/>
              <w:jc w:val="center"/>
            </w:pPr>
            <w:r>
              <w:rPr>
                <w:sz w:val="17"/>
              </w:rPr>
              <w:t xml:space="preserve">2.91 (3.0)</w:t>
            </w:r>
          </w:p>
        </w:tc>
        <w:tc>
          <w:tcPr>
            <w:tcW w:type="dxa" w:w="1356"/>
          </w:tcPr>
          <w:p>
            <w:pPr>
              <w:pStyle w:val="Compact"/>
              <w:spacing w:line="240" w:lineRule="auto" w:after="20"/>
              <w:jc w:val="center"/>
            </w:pPr>
            <w:r>
              <w:rPr>
                <w:sz w:val="17"/>
              </w:rPr>
              <w:t xml:space="preserve">−1.30 (−5.9)</w:t>
            </w:r>
          </w:p>
        </w:tc>
        <w:tc>
          <w:tcPr>
            <w:tcW w:type="dxa" w:w="1441"/>
          </w:tcPr>
          <w:p>
            <w:pPr>
              <w:pStyle w:val="Compact"/>
              <w:spacing w:line="240" w:lineRule="auto" w:after="20"/>
              <w:jc w:val="center"/>
            </w:pPr>
            <w:r>
              <w:rPr>
                <w:sz w:val="17"/>
              </w:rPr>
              <w:t xml:space="preserve">1.54 (1.4)</w:t>
            </w:r>
          </w:p>
        </w:tc>
        <w:tc>
          <w:tcPr>
            <w:tcW w:type="dxa" w:w="1356"/>
          </w:tcPr>
          <w:p>
            <w:pPr>
              <w:pStyle w:val="Compact"/>
              <w:spacing w:line="240" w:lineRule="auto" w:after="20"/>
              <w:jc w:val="center"/>
            </w:pPr>
            <w:r>
              <w:rPr>
                <w:sz w:val="17"/>
              </w:rPr>
              <w:t xml:space="preserve">−0.76 (−1.5)</w:t>
            </w:r>
          </w:p>
        </w:tc>
        <w:tc>
          <w:tcPr>
            <w:tcW w:type="dxa" w:w="1356"/>
          </w:tcPr>
          <w:p>
            <w:pPr>
              <w:pStyle w:val="Compact"/>
              <w:spacing w:line="240" w:lineRule="auto" w:after="20"/>
              <w:jc w:val="center"/>
            </w:pPr>
            <w:r>
              <w:rPr>
                <w:sz w:val="17"/>
              </w:rPr>
              <w:t xml:space="preserve">522</w:t>
            </w:r>
          </w:p>
        </w:tc>
      </w:tr>
      <w:tr>
        <w:tc>
          <w:tcPr>
            <w:tcW w:type="dxa" w:w="2204"/>
          </w:tcPr>
          <w:p>
            <w:pPr>
              <w:pStyle w:val="Compact"/>
              <w:spacing w:line="240" w:lineRule="auto" w:after="20"/>
              <w:jc w:val="left"/>
            </w:pPr>
            <w:r>
              <w:rPr>
                <w:sz w:val="17"/>
              </w:rPr>
              <w:t xml:space="preserve">Floor: return ≤ −6.5%, close = low (baseline)</w:t>
            </w:r>
          </w:p>
        </w:tc>
        <w:tc>
          <w:tcPr>
            <w:tcW w:type="dxa" w:w="1356"/>
          </w:tcPr>
          <w:p>
            <w:pPr>
              <w:pStyle w:val="Compact"/>
              <w:spacing w:line="240" w:lineRule="auto" w:after="20"/>
              <w:jc w:val="center"/>
            </w:pPr>
            <w:r>
              <w:rPr>
                <w:sz w:val="17"/>
              </w:rPr>
              <w:t xml:space="preserve">−0.97 (−4.6)</w:t>
            </w:r>
          </w:p>
        </w:tc>
        <w:tc>
          <w:tcPr>
            <w:tcW w:type="dxa" w:w="1356"/>
          </w:tcPr>
          <w:p>
            <w:pPr>
              <w:pStyle w:val="Compact"/>
              <w:spacing w:line="240" w:lineRule="auto" w:after="20"/>
              <w:jc w:val="center"/>
            </w:pPr>
            <w:r>
              <w:rPr>
                <w:sz w:val="17"/>
              </w:rPr>
              <w:t xml:space="preserve">0.30 (1.4)</w:t>
            </w:r>
          </w:p>
        </w:tc>
        <w:tc>
          <w:tcPr>
            <w:tcW w:type="dxa" w:w="1441"/>
          </w:tcPr>
          <w:p>
            <w:pPr>
              <w:pStyle w:val="Compact"/>
              <w:spacing w:line="240" w:lineRule="auto" w:after="20"/>
              <w:jc w:val="center"/>
            </w:pPr>
            <w:r>
              <w:rPr>
                <w:sz w:val="17"/>
              </w:rPr>
              <w:t xml:space="preserve">−0.69 (−4.8)</w:t>
            </w:r>
          </w:p>
        </w:tc>
        <w:tc>
          <w:tcPr>
            <w:tcW w:type="dxa" w:w="1356"/>
          </w:tcPr>
          <w:p>
            <w:pPr>
              <w:pStyle w:val="Compact"/>
              <w:spacing w:line="240" w:lineRule="auto" w:after="20"/>
              <w:jc w:val="center"/>
            </w:pPr>
            <w:r>
              <w:rPr>
                <w:sz w:val="17"/>
              </w:rPr>
              <w:t xml:space="preserve">−0.82 (−1.7)</w:t>
            </w:r>
          </w:p>
        </w:tc>
        <w:tc>
          <w:tcPr>
            <w:tcW w:type="dxa" w:w="1356"/>
          </w:tcPr>
          <w:p>
            <w:pPr>
              <w:pStyle w:val="Compact"/>
              <w:spacing w:line="240" w:lineRule="auto" w:after="20"/>
              <w:jc w:val="center"/>
            </w:pPr>
            <w:r>
              <w:rPr>
                <w:sz w:val="17"/>
              </w:rPr>
              <w:t xml:space="preserve">2,111</w:t>
            </w:r>
          </w:p>
        </w:tc>
      </w:tr>
      <w:tr>
        <w:tc>
          <w:tcPr>
            <w:tcW w:type="dxa" w:w="2204"/>
          </w:tcPr>
          <w:p>
            <w:pPr>
              <w:pStyle w:val="Compact"/>
              <w:spacing w:line="240" w:lineRule="auto" w:after="20"/>
              <w:jc w:val="left"/>
            </w:pPr>
            <w:r>
              <w:rPr>
                <w:sz w:val="17"/>
              </w:rPr>
              <w:t xml:space="preserve">Floor: return ≤ −6.0%, close = low</w:t>
            </w:r>
          </w:p>
        </w:tc>
        <w:tc>
          <w:tcPr>
            <w:tcW w:type="dxa" w:w="1356"/>
          </w:tcPr>
          <w:p>
            <w:pPr>
              <w:pStyle w:val="Compact"/>
              <w:spacing w:line="240" w:lineRule="auto" w:after="20"/>
              <w:jc w:val="center"/>
            </w:pPr>
            <w:r>
              <w:rPr>
                <w:sz w:val="17"/>
              </w:rPr>
              <w:t xml:space="preserve">−0.79 (−4.6)</w:t>
            </w:r>
          </w:p>
        </w:tc>
        <w:tc>
          <w:tcPr>
            <w:tcW w:type="dxa" w:w="1356"/>
          </w:tcPr>
          <w:p>
            <w:pPr>
              <w:pStyle w:val="Compact"/>
              <w:spacing w:line="240" w:lineRule="auto" w:after="20"/>
              <w:jc w:val="center"/>
            </w:pPr>
            <w:r>
              <w:rPr>
                <w:sz w:val="17"/>
              </w:rPr>
              <w:t xml:space="preserve">0.34 (1.6)</w:t>
            </w:r>
          </w:p>
        </w:tc>
        <w:tc>
          <w:tcPr>
            <w:tcW w:type="dxa" w:w="1441"/>
          </w:tcPr>
          <w:p>
            <w:pPr>
              <w:pStyle w:val="Compact"/>
              <w:spacing w:line="240" w:lineRule="auto" w:after="20"/>
              <w:jc w:val="center"/>
            </w:pPr>
            <w:r>
              <w:rPr>
                <w:sz w:val="17"/>
              </w:rPr>
              <w:t xml:space="preserve">−0.48 (−3.4)</w:t>
            </w:r>
          </w:p>
        </w:tc>
        <w:tc>
          <w:tcPr>
            <w:tcW w:type="dxa" w:w="1356"/>
          </w:tcPr>
          <w:p>
            <w:pPr>
              <w:pStyle w:val="Compact"/>
              <w:spacing w:line="240" w:lineRule="auto" w:after="20"/>
              <w:jc w:val="center"/>
            </w:pPr>
            <w:r>
              <w:rPr>
                <w:sz w:val="17"/>
              </w:rPr>
              <w:t xml:space="preserve">−0.65 (−1.5)</w:t>
            </w:r>
          </w:p>
        </w:tc>
        <w:tc>
          <w:tcPr>
            <w:tcW w:type="dxa" w:w="1356"/>
          </w:tcPr>
          <w:p>
            <w:pPr>
              <w:pStyle w:val="Compact"/>
              <w:spacing w:line="240" w:lineRule="auto" w:after="20"/>
              <w:jc w:val="center"/>
            </w:pPr>
            <w:r>
              <w:rPr>
                <w:sz w:val="17"/>
              </w:rPr>
              <w:t xml:space="preserve">2,346</w:t>
            </w:r>
          </w:p>
        </w:tc>
      </w:tr>
      <w:tr>
        <w:tc>
          <w:tcPr>
            <w:tcW w:type="dxa" w:w="2204"/>
          </w:tcPr>
          <w:p>
            <w:pPr>
              <w:pStyle w:val="Compact"/>
              <w:spacing w:line="240" w:lineRule="auto" w:after="20"/>
              <w:jc w:val="left"/>
            </w:pPr>
            <w:r>
              <w:rPr>
                <w:sz w:val="17"/>
              </w:rPr>
              <w:t xml:space="preserve">Floor: return ≤ −6.8%, close = low</w:t>
            </w:r>
          </w:p>
        </w:tc>
        <w:tc>
          <w:tcPr>
            <w:tcW w:type="dxa" w:w="1356"/>
          </w:tcPr>
          <w:p>
            <w:pPr>
              <w:pStyle w:val="Compact"/>
              <w:spacing w:line="240" w:lineRule="auto" w:after="20"/>
              <w:jc w:val="center"/>
            </w:pPr>
            <w:r>
              <w:rPr>
                <w:sz w:val="17"/>
              </w:rPr>
              <w:t xml:space="preserve">−1.09 (−4.7)</w:t>
            </w:r>
          </w:p>
        </w:tc>
        <w:tc>
          <w:tcPr>
            <w:tcW w:type="dxa" w:w="1356"/>
          </w:tcPr>
          <w:p>
            <w:pPr>
              <w:pStyle w:val="Compact"/>
              <w:spacing w:line="240" w:lineRule="auto" w:after="20"/>
              <w:jc w:val="center"/>
            </w:pPr>
            <w:r>
              <w:rPr>
                <w:sz w:val="17"/>
              </w:rPr>
              <w:t xml:space="preserve">0.33 (1.4)</w:t>
            </w:r>
          </w:p>
        </w:tc>
        <w:tc>
          <w:tcPr>
            <w:tcW w:type="dxa" w:w="1441"/>
          </w:tcPr>
          <w:p>
            <w:pPr>
              <w:pStyle w:val="Compact"/>
              <w:spacing w:line="240" w:lineRule="auto" w:after="20"/>
              <w:jc w:val="center"/>
            </w:pPr>
            <w:r>
              <w:rPr>
                <w:sz w:val="17"/>
              </w:rPr>
              <w:t xml:space="preserve">−0.78 (−4.9)</w:t>
            </w:r>
          </w:p>
        </w:tc>
        <w:tc>
          <w:tcPr>
            <w:tcW w:type="dxa" w:w="1356"/>
          </w:tcPr>
          <w:p>
            <w:pPr>
              <w:pStyle w:val="Compact"/>
              <w:spacing w:line="240" w:lineRule="auto" w:after="20"/>
              <w:jc w:val="center"/>
            </w:pPr>
            <w:r>
              <w:rPr>
                <w:sz w:val="17"/>
              </w:rPr>
              <w:t xml:space="preserve">−0.90 (−1.9)</w:t>
            </w:r>
          </w:p>
        </w:tc>
        <w:tc>
          <w:tcPr>
            <w:tcW w:type="dxa" w:w="1356"/>
          </w:tcPr>
          <w:p>
            <w:pPr>
              <w:pStyle w:val="Compact"/>
              <w:spacing w:line="240" w:lineRule="auto" w:after="20"/>
              <w:jc w:val="center"/>
            </w:pPr>
            <w:r>
              <w:rPr>
                <w:sz w:val="17"/>
              </w:rPr>
              <w:t xml:space="preserve">1,715</w:t>
            </w:r>
          </w:p>
        </w:tc>
      </w:tr>
      <w:tr>
        <w:tc>
          <w:tcPr>
            <w:tcW w:type="dxa" w:w="2204"/>
          </w:tcPr>
          <w:p>
            <w:pPr>
              <w:pStyle w:val="Compact"/>
              <w:spacing w:line="240" w:lineRule="auto" w:after="20"/>
              <w:jc w:val="left"/>
            </w:pPr>
            <w:r>
              <w:rPr>
                <w:sz w:val="17"/>
              </w:rPr>
              <w:t xml:space="preserve">Floor: return in [−7.3%, −6.7%], close = low</w:t>
            </w:r>
          </w:p>
        </w:tc>
        <w:tc>
          <w:tcPr>
            <w:tcW w:type="dxa" w:w="1356"/>
          </w:tcPr>
          <w:p>
            <w:pPr>
              <w:pStyle w:val="Compact"/>
              <w:spacing w:line="240" w:lineRule="auto" w:after="20"/>
              <w:jc w:val="center"/>
            </w:pPr>
            <w:r>
              <w:rPr>
                <w:sz w:val="17"/>
              </w:rPr>
              <w:t xml:space="preserve">−1.07 (−4.7)</w:t>
            </w:r>
          </w:p>
        </w:tc>
        <w:tc>
          <w:tcPr>
            <w:tcW w:type="dxa" w:w="1356"/>
          </w:tcPr>
          <w:p>
            <w:pPr>
              <w:pStyle w:val="Compact"/>
              <w:spacing w:line="240" w:lineRule="auto" w:after="20"/>
              <w:jc w:val="center"/>
            </w:pPr>
            <w:r>
              <w:rPr>
                <w:sz w:val="17"/>
              </w:rPr>
              <w:t xml:space="preserve">0.33 (1.5)</w:t>
            </w:r>
          </w:p>
        </w:tc>
        <w:tc>
          <w:tcPr>
            <w:tcW w:type="dxa" w:w="1441"/>
          </w:tcPr>
          <w:p>
            <w:pPr>
              <w:pStyle w:val="Compact"/>
              <w:spacing w:line="240" w:lineRule="auto" w:after="20"/>
              <w:jc w:val="center"/>
            </w:pPr>
            <w:r>
              <w:rPr>
                <w:sz w:val="17"/>
              </w:rPr>
              <w:t xml:space="preserve">−0.76 (−5.2)</w:t>
            </w:r>
          </w:p>
        </w:tc>
        <w:tc>
          <w:tcPr>
            <w:tcW w:type="dxa" w:w="1356"/>
          </w:tcPr>
          <w:p>
            <w:pPr>
              <w:pStyle w:val="Compact"/>
              <w:spacing w:line="240" w:lineRule="auto" w:after="20"/>
              <w:jc w:val="center"/>
            </w:pPr>
            <w:r>
              <w:rPr>
                <w:sz w:val="17"/>
              </w:rPr>
              <w:t xml:space="preserve">−0.87 (−1.8)</w:t>
            </w:r>
          </w:p>
        </w:tc>
        <w:tc>
          <w:tcPr>
            <w:tcW w:type="dxa" w:w="1356"/>
          </w:tcPr>
          <w:p>
            <w:pPr>
              <w:pStyle w:val="Compact"/>
              <w:spacing w:line="240" w:lineRule="auto" w:after="20"/>
              <w:jc w:val="center"/>
            </w:pPr>
            <w:r>
              <w:rPr>
                <w:sz w:val="17"/>
              </w:rPr>
              <w:t xml:space="preserve">1,928</w:t>
            </w:r>
          </w:p>
        </w:tc>
      </w:tr>
      <w:tr>
        <w:tc>
          <w:tcPr>
            <w:tcW w:type="dxa" w:w="2204"/>
          </w:tcPr>
          <w:p>
            <w:pPr>
              <w:pStyle w:val="Compact"/>
              <w:spacing w:line="240" w:lineRule="auto" w:after="20"/>
              <w:jc w:val="left"/>
            </w:pPr>
            <w:r>
              <w:rPr>
                <w:sz w:val="17"/>
              </w:rPr>
              <w:t xml:space="preserve">Floor: return ≤ −6.5%, no close condition</w:t>
            </w:r>
          </w:p>
        </w:tc>
        <w:tc>
          <w:tcPr>
            <w:tcW w:type="dxa" w:w="1356"/>
          </w:tcPr>
          <w:p>
            <w:pPr>
              <w:pStyle w:val="Compact"/>
              <w:spacing w:line="240" w:lineRule="auto" w:after="20"/>
              <w:jc w:val="center"/>
            </w:pPr>
            <w:r>
              <w:rPr>
                <w:sz w:val="17"/>
              </w:rPr>
              <w:t xml:space="preserve">−0.82 (−3.9)</w:t>
            </w:r>
          </w:p>
        </w:tc>
        <w:tc>
          <w:tcPr>
            <w:tcW w:type="dxa" w:w="1356"/>
          </w:tcPr>
          <w:p>
            <w:pPr>
              <w:pStyle w:val="Compact"/>
              <w:spacing w:line="240" w:lineRule="auto" w:after="20"/>
              <w:jc w:val="center"/>
            </w:pPr>
            <w:r>
              <w:rPr>
                <w:sz w:val="17"/>
              </w:rPr>
              <w:t xml:space="preserve">0.31 (1.5)</w:t>
            </w:r>
          </w:p>
        </w:tc>
        <w:tc>
          <w:tcPr>
            <w:tcW w:type="dxa" w:w="1441"/>
          </w:tcPr>
          <w:p>
            <w:pPr>
              <w:pStyle w:val="Compact"/>
              <w:spacing w:line="240" w:lineRule="auto" w:after="20"/>
              <w:jc w:val="center"/>
            </w:pPr>
            <w:r>
              <w:rPr>
                <w:sz w:val="17"/>
              </w:rPr>
              <w:t xml:space="preserve">−0.53 (−4.0)</w:t>
            </w:r>
          </w:p>
        </w:tc>
        <w:tc>
          <w:tcPr>
            <w:tcW w:type="dxa" w:w="1356"/>
          </w:tcPr>
          <w:p>
            <w:pPr>
              <w:pStyle w:val="Compact"/>
              <w:spacing w:line="240" w:lineRule="auto" w:after="20"/>
              <w:jc w:val="center"/>
            </w:pPr>
            <w:r>
              <w:rPr>
                <w:sz w:val="17"/>
              </w:rPr>
              <w:t xml:space="preserve">−0.69 (−1.6)</w:t>
            </w:r>
          </w:p>
        </w:tc>
        <w:tc>
          <w:tcPr>
            <w:tcW w:type="dxa" w:w="1356"/>
          </w:tcPr>
          <w:p>
            <w:pPr>
              <w:pStyle w:val="Compact"/>
              <w:spacing w:line="240" w:lineRule="auto" w:after="20"/>
              <w:jc w:val="center"/>
            </w:pPr>
            <w:r>
              <w:rPr>
                <w:sz w:val="17"/>
              </w:rPr>
              <w:t xml:space="preserve">2,288</w:t>
            </w:r>
          </w:p>
        </w:tc>
      </w:tr>
      <w:tr>
        <w:tc>
          <w:tcPr>
            <w:tcW w:type="dxa" w:w="2204"/>
            <w:tcBorders>
              <w:bottom w:val="single" w:sz="6" w:space="0" w:color="000000"/>
            </w:tcBorders>
          </w:tcPr>
          <w:p>
            <w:pPr>
              <w:pStyle w:val="Compact"/>
              <w:spacing w:line="240" w:lineRule="auto" w:after="20"/>
              <w:jc w:val="left"/>
            </w:pPr>
            <w:r>
              <w:rPr>
                <w:sz w:val="17"/>
              </w:rPr>
              <w:t xml:space="preserve">Floor: return ≤ −6.5%, locked open = high = low = close</w:t>
            </w:r>
          </w:p>
        </w:tc>
        <w:tc>
          <w:tcPr>
            <w:tcW w:type="dxa" w:w="1356"/>
            <w:tcBorders>
              <w:bottom w:val="single" w:sz="6" w:space="0" w:color="000000"/>
            </w:tcBorders>
          </w:tcPr>
          <w:p>
            <w:pPr>
              <w:pStyle w:val="Compact"/>
              <w:spacing w:line="240" w:lineRule="auto" w:after="20"/>
              <w:jc w:val="center"/>
            </w:pPr>
            <w:r>
              <w:rPr>
                <w:sz w:val="17"/>
              </w:rPr>
              <w:t xml:space="preserve">−2.50 (−4.8)</w:t>
            </w:r>
          </w:p>
        </w:tc>
        <w:tc>
          <w:tcPr>
            <w:tcW w:type="dxa" w:w="1356"/>
            <w:tcBorders>
              <w:bottom w:val="single" w:sz="6" w:space="0" w:color="000000"/>
            </w:tcBorders>
          </w:tcPr>
          <w:p>
            <w:pPr>
              <w:pStyle w:val="Compact"/>
              <w:spacing w:line="240" w:lineRule="auto" w:after="20"/>
              <w:jc w:val="center"/>
            </w:pPr>
            <w:r>
              <w:rPr>
                <w:sz w:val="17"/>
              </w:rPr>
              <w:t xml:space="preserve">1.11 (2.4)</w:t>
            </w:r>
          </w:p>
        </w:tc>
        <w:tc>
          <w:tcPr>
            <w:tcW w:type="dxa" w:w="1441"/>
            <w:tcBorders>
              <w:bottom w:val="single" w:sz="6" w:space="0" w:color="000000"/>
            </w:tcBorders>
          </w:tcPr>
          <w:p>
            <w:pPr>
              <w:pStyle w:val="Compact"/>
              <w:spacing w:line="240" w:lineRule="auto" w:after="20"/>
              <w:jc w:val="center"/>
            </w:pPr>
            <w:r>
              <w:rPr>
                <w:sz w:val="17"/>
              </w:rPr>
              <w:t xml:space="preserve">−1.44 (−3.4)</w:t>
            </w:r>
          </w:p>
        </w:tc>
        <w:tc>
          <w:tcPr>
            <w:tcW w:type="dxa" w:w="1356"/>
            <w:tcBorders>
              <w:bottom w:val="single" w:sz="6" w:space="0" w:color="000000"/>
            </w:tcBorders>
          </w:tcPr>
          <w:p>
            <w:pPr>
              <w:pStyle w:val="Compact"/>
              <w:spacing w:line="240" w:lineRule="auto" w:after="20"/>
              <w:jc w:val="center"/>
            </w:pPr>
            <w:r>
              <w:rPr>
                <w:sz w:val="17"/>
              </w:rPr>
              <w:t xml:space="preserve">−3.91 (−3.0)</w:t>
            </w:r>
          </w:p>
        </w:tc>
        <w:tc>
          <w:tcPr>
            <w:tcW w:type="dxa" w:w="1356"/>
            <w:tcBorders>
              <w:bottom w:val="single" w:sz="6" w:space="0" w:color="000000"/>
            </w:tcBorders>
          </w:tcPr>
          <w:p>
            <w:pPr>
              <w:pStyle w:val="Compact"/>
              <w:spacing w:line="240" w:lineRule="auto" w:after="20"/>
              <w:jc w:val="center"/>
            </w:pPr>
            <w:r>
              <w:rPr>
                <w:sz w:val="17"/>
              </w:rPr>
              <w:t xml:space="preserve">260</w:t>
            </w:r>
          </w:p>
        </w:tc>
      </w:tr>
    </w:tbl>
    <w:p>
      <w:pPr>
        <w:pStyle w:val="BodyText"/>
        <w:spacing w:line="276" w:lineRule="auto" w:after="120"/>
        <w:jc w:val="left"/>
      </w:pPr>
      <w:r>
        <w:rPr>
          <w:iCs/>
          <w:i/>
        </w:rPr>
        <w:t xml:space="preserve">Note.</w:t>
      </w:r>
      <w:r>
        <w:t xml:space="preserve"> </w:t>
      </w:r>
      <w:r>
        <w:t xml:space="preserve">Market-adjusted returns in percent; two-way-clustered</w:t>
      </w:r>
      <w:r>
        <w:t xml:space="preserve"> </w:t>
      </w:r>
      <w:r>
        <w:rPr>
          <w:iCs/>
          <w:i/>
        </w:rPr>
        <w:t xml:space="preserve">t</w:t>
      </w:r>
      <w:r>
        <w:t xml:space="preserve">-statistics in parentheses (two-sided</w:t>
      </w:r>
      <w:r>
        <w:t xml:space="preserve"> </w:t>
      </w:r>
      <w:r>
        <w:rPr>
          <w:iCs/>
          <w:i/>
        </w:rPr>
        <w:t xml:space="preserve">P</w:t>
      </w:r>
      <w:r>
        <w:t xml:space="preserve"> </w:t>
      </w:r>
      <w:r>
        <w:t xml:space="preserve">&lt; 0.001 for |</w:t>
      </w:r>
      <w:r>
        <w:rPr>
          <w:iCs/>
          <w:i/>
        </w:rPr>
        <w:t xml:space="preserve">t</w:t>
      </w:r>
      <w:r>
        <w:t xml:space="preserve">| ≥ 3.29). Source: authors’ calculations.</w:t>
      </w:r>
    </w:p>
    <w:p>
      <w:pPr>
        <w:pStyle w:val="BodyText"/>
        <w:spacing w:line="276" w:lineRule="auto" w:after="120"/>
        <w:jc w:val="left"/>
      </w:pPr>
      <w:r>
        <w:rPr>
          <w:bCs/>
          <w:b/>
        </w:rPr>
        <w:t xml:space="preserve">Supplementary Table S3.</w:t>
      </w:r>
      <w:r>
        <w:t xml:space="preserve"> </w:t>
      </w:r>
      <w:r>
        <w:t xml:space="preserve">Adjusted</w:t>
      </w:r>
      <w:r>
        <w:t xml:space="preserve"> </w:t>
      </w:r>
      <w:r>
        <w:rPr>
          <w:iCs/>
          <w:i/>
        </w:rPr>
        <w:t xml:space="preserve">P</w:t>
      </w:r>
      <w:r>
        <w:t xml:space="preserve"> </w:t>
      </w:r>
      <w:r>
        <w:t xml:space="preserve">values of the four event tests under alternative family definitions</w:t>
      </w:r>
    </w:p>
    <w:tbl>
      <w:tblPr>
        <w:tblStyle w:val="Table"/>
        <w:tblW w:type="pct" w:w="5000"/>
        <w:tblLayout w:type="fixed"/>
        <w:tblLook w:firstRow="1" w:lastRow="0" w:firstColumn="0" w:lastColumn="0" w:noHBand="0" w:noVBand="0" w:val="0020"/>
        <w:jc w:val="start"/>
      </w:tblPr>
      <w:tblGrid>
        <w:gridCol w:w="2508"/>
        <w:gridCol w:w="1543"/>
        <w:gridCol w:w="1833"/>
        <w:gridCol w:w="1543"/>
        <w:gridCol w:w="1640"/>
      </w:tblGrid>
      <w:tr>
        <w:trPr>
          <w:tblHeader w:val="true"/>
        </w:trPr>
        <w:tc>
          <w:tcPr>
            <w:tcW w:type="dxa" w:w="2509"/>
            <w:tcBorders>
              <w:top w:val="single" w:sz="6" w:space="0" w:color="000000"/>
              <w:bottom w:val="single" w:sz="6" w:space="0" w:color="000000"/>
            </w:tcBorders>
          </w:tcPr>
          <w:p>
            <w:pPr>
              <w:pStyle w:val="Compact"/>
              <w:spacing w:line="240" w:lineRule="auto" w:after="20"/>
              <w:jc w:val="left"/>
            </w:pPr>
            <w:r>
              <w:rPr>
                <w:b/>
                <w:sz w:val="17"/>
              </w:rPr>
              <w:t xml:space="preserve">Family definition</w:t>
            </w:r>
          </w:p>
        </w:tc>
        <w:tc>
          <w:tcPr>
            <w:tcW w:type="dxa" w:w="1544"/>
            <w:tcBorders>
              <w:top w:val="single" w:sz="6" w:space="0" w:color="000000"/>
              <w:bottom w:val="single" w:sz="6" w:space="0" w:color="000000"/>
            </w:tcBorders>
          </w:tcPr>
          <w:p>
            <w:pPr>
              <w:pStyle w:val="Compact"/>
              <w:spacing w:line="240" w:lineRule="auto" w:after="20"/>
              <w:jc w:val="center"/>
            </w:pPr>
            <w:r>
              <w:rPr>
                <w:b/>
                <w:sz w:val="17"/>
              </w:rPr>
              <w:t xml:space="preserve">Ceiling,</w:t>
            </w:r>
            <w:r>
              <w:rPr>
                <w:b/>
                <w:sz w:val="17"/>
              </w:rPr>
              <w:t xml:space="preserve"> </w:t>
            </w:r>
            <w:r>
              <w:rPr>
                <w:iCs/>
                <w:b/>
                <w:i/>
                <w:sz w:val="17"/>
              </w:rPr>
              <w:t xml:space="preserve">d</w:t>
            </w:r>
            <w:r>
              <w:rPr>
                <w:b/>
                <w:sz w:val="17"/>
              </w:rPr>
              <w:t xml:space="preserve">+1</w:t>
            </w:r>
          </w:p>
        </w:tc>
        <w:tc>
          <w:tcPr>
            <w:tcW w:type="dxa" w:w="1833"/>
            <w:tcBorders>
              <w:top w:val="single" w:sz="6" w:space="0" w:color="000000"/>
              <w:bottom w:val="single" w:sz="6" w:space="0" w:color="000000"/>
            </w:tcBorders>
          </w:tcPr>
          <w:p>
            <w:pPr>
              <w:pStyle w:val="Compact"/>
              <w:spacing w:line="240" w:lineRule="auto" w:after="20"/>
              <w:jc w:val="center"/>
            </w:pPr>
            <w:r>
              <w:rPr>
                <w:b/>
                <w:sz w:val="17"/>
              </w:rPr>
              <w:t xml:space="preserve">Ceiling,</w:t>
            </w:r>
            <w:r>
              <w:rPr>
                <w:b/>
                <w:sz w:val="17"/>
              </w:rPr>
              <w:t xml:space="preserve"> </w:t>
            </w:r>
            <w:r>
              <w:rPr>
                <w:iCs/>
                <w:b/>
                <w:i/>
                <w:sz w:val="17"/>
              </w:rPr>
              <w:t xml:space="preserve">d</w:t>
            </w:r>
            <w:r>
              <w:rPr>
                <w:b/>
                <w:sz w:val="17"/>
              </w:rPr>
              <w:t xml:space="preserve">+1 to</w:t>
            </w:r>
            <w:r>
              <w:rPr>
                <w:b/>
                <w:sz w:val="17"/>
              </w:rPr>
              <w:t xml:space="preserve"> </w:t>
            </w:r>
            <w:r>
              <w:rPr>
                <w:iCs/>
                <w:b/>
                <w:i/>
                <w:sz w:val="17"/>
              </w:rPr>
              <w:t xml:space="preserve">d</w:t>
            </w:r>
            <w:r>
              <w:rPr>
                <w:b/>
                <w:sz w:val="17"/>
              </w:rPr>
              <w:t xml:space="preserve">+5</w:t>
            </w:r>
          </w:p>
        </w:tc>
        <w:tc>
          <w:tcPr>
            <w:tcW w:type="dxa" w:w="1544"/>
            <w:tcBorders>
              <w:top w:val="single" w:sz="6" w:space="0" w:color="000000"/>
              <w:bottom w:val="single" w:sz="6" w:space="0" w:color="000000"/>
            </w:tcBorders>
          </w:tcPr>
          <w:p>
            <w:pPr>
              <w:pStyle w:val="Compact"/>
              <w:spacing w:line="240" w:lineRule="auto" w:after="20"/>
              <w:jc w:val="center"/>
            </w:pPr>
            <w:r>
              <w:rPr>
                <w:b/>
                <w:sz w:val="17"/>
              </w:rPr>
              <w:t xml:space="preserve">Floor,</w:t>
            </w:r>
            <w:r>
              <w:rPr>
                <w:b/>
                <w:sz w:val="17"/>
              </w:rPr>
              <w:t xml:space="preserve"> </w:t>
            </w:r>
            <w:r>
              <w:rPr>
                <w:iCs/>
                <w:b/>
                <w:i/>
                <w:sz w:val="17"/>
              </w:rPr>
              <w:t xml:space="preserve">d</w:t>
            </w:r>
            <w:r>
              <w:rPr>
                <w:b/>
                <w:sz w:val="17"/>
              </w:rPr>
              <w:t xml:space="preserve">+1</w:t>
            </w:r>
          </w:p>
        </w:tc>
        <w:tc>
          <w:tcPr>
            <w:tcW w:type="dxa" w:w="1640"/>
            <w:tcBorders>
              <w:top w:val="single" w:sz="6" w:space="0" w:color="000000"/>
              <w:bottom w:val="single" w:sz="6" w:space="0" w:color="000000"/>
            </w:tcBorders>
          </w:tcPr>
          <w:p>
            <w:pPr>
              <w:pStyle w:val="Compact"/>
              <w:spacing w:line="240" w:lineRule="auto" w:after="20"/>
              <w:jc w:val="center"/>
            </w:pPr>
            <w:r>
              <w:rPr>
                <w:b/>
                <w:sz w:val="17"/>
              </w:rPr>
              <w:t xml:space="preserve">Floor,</w:t>
            </w:r>
            <w:r>
              <w:rPr>
                <w:b/>
                <w:sz w:val="17"/>
              </w:rPr>
              <w:t xml:space="preserve"> </w:t>
            </w:r>
            <w:r>
              <w:rPr>
                <w:iCs/>
                <w:b/>
                <w:i/>
                <w:sz w:val="17"/>
              </w:rPr>
              <w:t xml:space="preserve">d</w:t>
            </w:r>
            <w:r>
              <w:rPr>
                <w:b/>
                <w:sz w:val="17"/>
              </w:rPr>
              <w:t xml:space="preserve">+1 to</w:t>
            </w:r>
            <w:r>
              <w:rPr>
                <w:b/>
                <w:sz w:val="17"/>
              </w:rPr>
              <w:t xml:space="preserve"> </w:t>
            </w:r>
            <w:r>
              <w:rPr>
                <w:iCs/>
                <w:b/>
                <w:i/>
                <w:sz w:val="17"/>
              </w:rPr>
              <w:t xml:space="preserve">d</w:t>
            </w:r>
            <w:r>
              <w:rPr>
                <w:b/>
                <w:sz w:val="17"/>
              </w:rPr>
              <w:t xml:space="preserve">+5</w:t>
            </w:r>
          </w:p>
        </w:tc>
      </w:tr>
      <w:tr>
        <w:tc>
          <w:tcPr>
            <w:tcW w:type="dxa" w:w="2509"/>
          </w:tcPr>
          <w:p>
            <w:pPr>
              <w:pStyle w:val="Compact"/>
              <w:spacing w:line="240" w:lineRule="auto" w:after="20"/>
              <w:jc w:val="left"/>
            </w:pPr>
            <w:r>
              <w:rPr>
                <w:sz w:val="17"/>
              </w:rPr>
              <w:t xml:space="preserve">Baseline: 22 characteristics + 4 event tests (26), BH</w:t>
            </w:r>
          </w:p>
        </w:tc>
        <w:tc>
          <w:tcPr>
            <w:tcW w:type="dxa" w:w="1544"/>
          </w:tcPr>
          <w:p>
            <w:pPr>
              <w:pStyle w:val="Compact"/>
              <w:spacing w:line="240" w:lineRule="auto" w:after="20"/>
              <w:jc w:val="center"/>
            </w:pPr>
            <w:r>
              <w:rPr>
                <w:sz w:val="17"/>
              </w:rPr>
              <w:t xml:space="preserve">1.2e-05</w:t>
            </w:r>
          </w:p>
        </w:tc>
        <w:tc>
          <w:tcPr>
            <w:tcW w:type="dxa" w:w="1833"/>
          </w:tcPr>
          <w:p>
            <w:pPr>
              <w:pStyle w:val="Compact"/>
              <w:spacing w:line="240" w:lineRule="auto" w:after="20"/>
              <w:jc w:val="center"/>
            </w:pPr>
            <w:r>
              <w:rPr>
                <w:sz w:val="17"/>
              </w:rPr>
              <w:t xml:space="preserve">4.0e-04</w:t>
            </w:r>
          </w:p>
        </w:tc>
        <w:tc>
          <w:tcPr>
            <w:tcW w:type="dxa" w:w="1544"/>
          </w:tcPr>
          <w:p>
            <w:pPr>
              <w:pStyle w:val="Compact"/>
              <w:spacing w:line="240" w:lineRule="auto" w:after="20"/>
              <w:jc w:val="center"/>
            </w:pPr>
            <w:r>
              <w:rPr>
                <w:sz w:val="17"/>
              </w:rPr>
              <w:t xml:space="preserve">2.6e-06</w:t>
            </w:r>
          </w:p>
        </w:tc>
        <w:tc>
          <w:tcPr>
            <w:tcW w:type="dxa" w:w="1640"/>
          </w:tcPr>
          <w:p>
            <w:pPr>
              <w:pStyle w:val="Compact"/>
              <w:spacing w:line="240" w:lineRule="auto" w:after="20"/>
              <w:jc w:val="center"/>
            </w:pPr>
            <w:r>
              <w:rPr>
                <w:sz w:val="17"/>
              </w:rPr>
              <w:t xml:space="preserve">1.8e-05</w:t>
            </w:r>
          </w:p>
        </w:tc>
      </w:tr>
      <w:tr>
        <w:tc>
          <w:tcPr>
            <w:tcW w:type="dxa" w:w="2509"/>
          </w:tcPr>
          <w:p>
            <w:pPr>
              <w:pStyle w:val="Compact"/>
              <w:spacing w:line="240" w:lineRule="auto" w:after="20"/>
              <w:jc w:val="left"/>
            </w:pPr>
            <w:r>
              <w:rPr>
                <w:sz w:val="17"/>
              </w:rPr>
              <w:t xml:space="preserve">Event tests only (4), BH</w:t>
            </w:r>
          </w:p>
        </w:tc>
        <w:tc>
          <w:tcPr>
            <w:tcW w:type="dxa" w:w="1544"/>
          </w:tcPr>
          <w:p>
            <w:pPr>
              <w:pStyle w:val="Compact"/>
              <w:spacing w:line="240" w:lineRule="auto" w:after="20"/>
              <w:jc w:val="center"/>
            </w:pPr>
            <w:r>
              <w:rPr>
                <w:sz w:val="17"/>
              </w:rPr>
              <w:t xml:space="preserve">1.8e-06</w:t>
            </w:r>
          </w:p>
        </w:tc>
        <w:tc>
          <w:tcPr>
            <w:tcW w:type="dxa" w:w="1833"/>
          </w:tcPr>
          <w:p>
            <w:pPr>
              <w:pStyle w:val="Compact"/>
              <w:spacing w:line="240" w:lineRule="auto" w:after="20"/>
              <w:jc w:val="center"/>
            </w:pPr>
            <w:r>
              <w:rPr>
                <w:sz w:val="17"/>
              </w:rPr>
              <w:t xml:space="preserve">6.1e-05</w:t>
            </w:r>
          </w:p>
        </w:tc>
        <w:tc>
          <w:tcPr>
            <w:tcW w:type="dxa" w:w="1544"/>
          </w:tcPr>
          <w:p>
            <w:pPr>
              <w:pStyle w:val="Compact"/>
              <w:spacing w:line="240" w:lineRule="auto" w:after="20"/>
              <w:jc w:val="center"/>
            </w:pPr>
            <w:r>
              <w:rPr>
                <w:sz w:val="17"/>
              </w:rPr>
              <w:t xml:space="preserve">4.0e-07</w:t>
            </w:r>
          </w:p>
        </w:tc>
        <w:tc>
          <w:tcPr>
            <w:tcW w:type="dxa" w:w="1640"/>
          </w:tcPr>
          <w:p>
            <w:pPr>
              <w:pStyle w:val="Compact"/>
              <w:spacing w:line="240" w:lineRule="auto" w:after="20"/>
              <w:jc w:val="center"/>
            </w:pPr>
            <w:r>
              <w:rPr>
                <w:sz w:val="17"/>
              </w:rPr>
              <w:t xml:space="preserve">2.7e-06</w:t>
            </w:r>
          </w:p>
        </w:tc>
      </w:tr>
      <w:tr>
        <w:tc>
          <w:tcPr>
            <w:tcW w:type="dxa" w:w="2509"/>
          </w:tcPr>
          <w:p>
            <w:pPr>
              <w:pStyle w:val="Compact"/>
              <w:spacing w:line="240" w:lineRule="auto" w:after="20"/>
              <w:jc w:val="left"/>
            </w:pPr>
            <w:r>
              <w:rPr>
                <w:sz w:val="17"/>
              </w:rPr>
              <w:t xml:space="preserve">26 tests, Holm</w:t>
            </w:r>
          </w:p>
        </w:tc>
        <w:tc>
          <w:tcPr>
            <w:tcW w:type="dxa" w:w="1544"/>
          </w:tcPr>
          <w:p>
            <w:pPr>
              <w:pStyle w:val="Compact"/>
              <w:spacing w:line="240" w:lineRule="auto" w:after="20"/>
              <w:jc w:val="center"/>
            </w:pPr>
            <w:r>
              <w:rPr>
                <w:sz w:val="17"/>
              </w:rPr>
              <w:t xml:space="preserve">2.3e-05</w:t>
            </w:r>
          </w:p>
        </w:tc>
        <w:tc>
          <w:tcPr>
            <w:tcW w:type="dxa" w:w="1833"/>
          </w:tcPr>
          <w:p>
            <w:pPr>
              <w:pStyle w:val="Compact"/>
              <w:spacing w:line="240" w:lineRule="auto" w:after="20"/>
              <w:jc w:val="center"/>
            </w:pPr>
            <w:r>
              <w:rPr>
                <w:sz w:val="17"/>
              </w:rPr>
              <w:t xml:space="preserve">1.4e-03</w:t>
            </w:r>
          </w:p>
        </w:tc>
        <w:tc>
          <w:tcPr>
            <w:tcW w:type="dxa" w:w="1544"/>
          </w:tcPr>
          <w:p>
            <w:pPr>
              <w:pStyle w:val="Compact"/>
              <w:spacing w:line="240" w:lineRule="auto" w:after="20"/>
              <w:jc w:val="center"/>
            </w:pPr>
            <w:r>
              <w:rPr>
                <w:sz w:val="17"/>
              </w:rPr>
              <w:t xml:space="preserve">2.6e-06</w:t>
            </w:r>
          </w:p>
        </w:tc>
        <w:tc>
          <w:tcPr>
            <w:tcW w:type="dxa" w:w="1640"/>
          </w:tcPr>
          <w:p>
            <w:pPr>
              <w:pStyle w:val="Compact"/>
              <w:spacing w:line="240" w:lineRule="auto" w:after="20"/>
              <w:jc w:val="center"/>
            </w:pPr>
            <w:r>
              <w:rPr>
                <w:sz w:val="17"/>
              </w:rPr>
              <w:t xml:space="preserve">4.9e-05</w:t>
            </w:r>
          </w:p>
        </w:tc>
      </w:tr>
      <w:tr>
        <w:tc>
          <w:tcPr>
            <w:tcW w:type="dxa" w:w="2509"/>
          </w:tcPr>
          <w:p>
            <w:pPr>
              <w:pStyle w:val="Compact"/>
              <w:spacing w:line="240" w:lineRule="auto" w:after="20"/>
              <w:jc w:val="left"/>
            </w:pPr>
            <w:r>
              <w:rPr>
                <w:sz w:val="17"/>
              </w:rPr>
              <w:t xml:space="preserve">26 tests, Bonferroni</w:t>
            </w:r>
          </w:p>
        </w:tc>
        <w:tc>
          <w:tcPr>
            <w:tcW w:type="dxa" w:w="1544"/>
          </w:tcPr>
          <w:p>
            <w:pPr>
              <w:pStyle w:val="Compact"/>
              <w:spacing w:line="240" w:lineRule="auto" w:after="20"/>
              <w:jc w:val="center"/>
            </w:pPr>
            <w:r>
              <w:rPr>
                <w:sz w:val="17"/>
              </w:rPr>
              <w:t xml:space="preserve">2.4e-05</w:t>
            </w:r>
          </w:p>
        </w:tc>
        <w:tc>
          <w:tcPr>
            <w:tcW w:type="dxa" w:w="1833"/>
          </w:tcPr>
          <w:p>
            <w:pPr>
              <w:pStyle w:val="Compact"/>
              <w:spacing w:line="240" w:lineRule="auto" w:after="20"/>
              <w:jc w:val="center"/>
            </w:pPr>
            <w:r>
              <w:rPr>
                <w:sz w:val="17"/>
              </w:rPr>
              <w:t xml:space="preserve">1.6e-03</w:t>
            </w:r>
          </w:p>
        </w:tc>
        <w:tc>
          <w:tcPr>
            <w:tcW w:type="dxa" w:w="1544"/>
          </w:tcPr>
          <w:p>
            <w:pPr>
              <w:pStyle w:val="Compact"/>
              <w:spacing w:line="240" w:lineRule="auto" w:after="20"/>
              <w:jc w:val="center"/>
            </w:pPr>
            <w:r>
              <w:rPr>
                <w:sz w:val="17"/>
              </w:rPr>
              <w:t xml:space="preserve">2.6e-06</w:t>
            </w:r>
          </w:p>
        </w:tc>
        <w:tc>
          <w:tcPr>
            <w:tcW w:type="dxa" w:w="1640"/>
          </w:tcPr>
          <w:p>
            <w:pPr>
              <w:pStyle w:val="Compact"/>
              <w:spacing w:line="240" w:lineRule="auto" w:after="20"/>
              <w:jc w:val="center"/>
            </w:pPr>
            <w:r>
              <w:rPr>
                <w:sz w:val="17"/>
              </w:rPr>
              <w:t xml:space="preserve">5.3e-05</w:t>
            </w:r>
          </w:p>
        </w:tc>
      </w:tr>
      <w:tr>
        <w:tc>
          <w:tcPr>
            <w:tcW w:type="dxa" w:w="2509"/>
          </w:tcPr>
          <w:p>
            <w:pPr>
              <w:pStyle w:val="Compact"/>
              <w:spacing w:line="240" w:lineRule="auto" w:after="20"/>
              <w:jc w:val="left"/>
            </w:pPr>
            <w:r>
              <w:rPr>
                <w:sz w:val="17"/>
              </w:rPr>
              <w:t xml:space="preserve">28 tests: adds days d+2 to d+5 for ceiling and floor, BH</w:t>
            </w:r>
          </w:p>
        </w:tc>
        <w:tc>
          <w:tcPr>
            <w:tcW w:type="dxa" w:w="1544"/>
          </w:tcPr>
          <w:p>
            <w:pPr>
              <w:pStyle w:val="Compact"/>
              <w:spacing w:line="240" w:lineRule="auto" w:after="20"/>
              <w:jc w:val="center"/>
            </w:pPr>
            <w:r>
              <w:rPr>
                <w:sz w:val="17"/>
              </w:rPr>
              <w:t xml:space="preserve">1.3e-05</w:t>
            </w:r>
          </w:p>
        </w:tc>
        <w:tc>
          <w:tcPr>
            <w:tcW w:type="dxa" w:w="1833"/>
          </w:tcPr>
          <w:p>
            <w:pPr>
              <w:pStyle w:val="Compact"/>
              <w:spacing w:line="240" w:lineRule="auto" w:after="20"/>
              <w:jc w:val="center"/>
            </w:pPr>
            <w:r>
              <w:rPr>
                <w:sz w:val="17"/>
              </w:rPr>
              <w:t xml:space="preserve">4.3e-04</w:t>
            </w:r>
          </w:p>
        </w:tc>
        <w:tc>
          <w:tcPr>
            <w:tcW w:type="dxa" w:w="1544"/>
          </w:tcPr>
          <w:p>
            <w:pPr>
              <w:pStyle w:val="Compact"/>
              <w:spacing w:line="240" w:lineRule="auto" w:after="20"/>
              <w:jc w:val="center"/>
            </w:pPr>
            <w:r>
              <w:rPr>
                <w:sz w:val="17"/>
              </w:rPr>
              <w:t xml:space="preserve">2.8e-06</w:t>
            </w:r>
          </w:p>
        </w:tc>
        <w:tc>
          <w:tcPr>
            <w:tcW w:type="dxa" w:w="1640"/>
          </w:tcPr>
          <w:p>
            <w:pPr>
              <w:pStyle w:val="Compact"/>
              <w:spacing w:line="240" w:lineRule="auto" w:after="20"/>
              <w:jc w:val="center"/>
            </w:pPr>
            <w:r>
              <w:rPr>
                <w:sz w:val="17"/>
              </w:rPr>
              <w:t xml:space="preserve">1.9e-05</w:t>
            </w:r>
          </w:p>
        </w:tc>
      </w:tr>
      <w:tr>
        <w:tc>
          <w:tcPr>
            <w:tcW w:type="dxa" w:w="2509"/>
          </w:tcPr>
          <w:p>
            <w:pPr>
              <w:pStyle w:val="Compact"/>
              <w:spacing w:line="240" w:lineRule="auto" w:after="20"/>
              <w:jc w:val="left"/>
            </w:pPr>
            <w:r>
              <w:rPr>
                <w:sz w:val="17"/>
              </w:rPr>
              <w:t xml:space="preserve">26 tests, week-clustered event p-values, BH</w:t>
            </w:r>
          </w:p>
        </w:tc>
        <w:tc>
          <w:tcPr>
            <w:tcW w:type="dxa" w:w="1544"/>
          </w:tcPr>
          <w:p>
            <w:pPr>
              <w:pStyle w:val="Compact"/>
              <w:spacing w:line="240" w:lineRule="auto" w:after="20"/>
              <w:jc w:val="center"/>
            </w:pPr>
            <w:r>
              <w:rPr>
                <w:sz w:val="17"/>
              </w:rPr>
              <w:t xml:space="preserve">9.2e-05</w:t>
            </w:r>
          </w:p>
        </w:tc>
        <w:tc>
          <w:tcPr>
            <w:tcW w:type="dxa" w:w="1833"/>
          </w:tcPr>
          <w:p>
            <w:pPr>
              <w:pStyle w:val="Compact"/>
              <w:spacing w:line="240" w:lineRule="auto" w:after="20"/>
              <w:jc w:val="center"/>
            </w:pPr>
            <w:r>
              <w:rPr>
                <w:sz w:val="17"/>
              </w:rPr>
              <w:t xml:space="preserve">2.6e-03</w:t>
            </w:r>
          </w:p>
        </w:tc>
        <w:tc>
          <w:tcPr>
            <w:tcW w:type="dxa" w:w="1544"/>
          </w:tcPr>
          <w:p>
            <w:pPr>
              <w:pStyle w:val="Compact"/>
              <w:spacing w:line="240" w:lineRule="auto" w:after="20"/>
              <w:jc w:val="center"/>
            </w:pPr>
            <w:r>
              <w:rPr>
                <w:sz w:val="17"/>
              </w:rPr>
              <w:t xml:space="preserve">9.2e-05</w:t>
            </w:r>
          </w:p>
        </w:tc>
        <w:tc>
          <w:tcPr>
            <w:tcW w:type="dxa" w:w="1640"/>
          </w:tcPr>
          <w:p>
            <w:pPr>
              <w:pStyle w:val="Compact"/>
              <w:spacing w:line="240" w:lineRule="auto" w:after="20"/>
              <w:jc w:val="center"/>
            </w:pPr>
            <w:r>
              <w:rPr>
                <w:sz w:val="17"/>
              </w:rPr>
              <w:t xml:space="preserve">9.2e-05</w:t>
            </w:r>
          </w:p>
        </w:tc>
      </w:tr>
      <w:tr>
        <w:tc>
          <w:tcPr>
            <w:tcW w:type="dxa" w:w="2509"/>
            <w:tcBorders>
              <w:bottom w:val="single" w:sz="6" w:space="0" w:color="000000"/>
            </w:tcBorders>
          </w:tcPr>
          <w:p>
            <w:pPr>
              <w:pStyle w:val="Compact"/>
              <w:spacing w:line="240" w:lineRule="auto" w:after="20"/>
              <w:jc w:val="left"/>
            </w:pPr>
            <w:r>
              <w:rPr>
                <w:sz w:val="17"/>
              </w:rPr>
              <w:t xml:space="preserve">Two families: ceiling (2) and floor (2), BH within each</w:t>
            </w:r>
          </w:p>
        </w:tc>
        <w:tc>
          <w:tcPr>
            <w:tcW w:type="dxa" w:w="1544"/>
            <w:tcBorders>
              <w:bottom w:val="single" w:sz="6" w:space="0" w:color="000000"/>
            </w:tcBorders>
          </w:tcPr>
          <w:p>
            <w:pPr>
              <w:pStyle w:val="Compact"/>
              <w:spacing w:line="240" w:lineRule="auto" w:after="20"/>
              <w:jc w:val="center"/>
            </w:pPr>
            <w:r>
              <w:rPr>
                <w:sz w:val="17"/>
              </w:rPr>
              <w:t xml:space="preserve">1.8e-06</w:t>
            </w:r>
          </w:p>
        </w:tc>
        <w:tc>
          <w:tcPr>
            <w:tcW w:type="dxa" w:w="1833"/>
            <w:tcBorders>
              <w:bottom w:val="single" w:sz="6" w:space="0" w:color="000000"/>
            </w:tcBorders>
          </w:tcPr>
          <w:p>
            <w:pPr>
              <w:pStyle w:val="Compact"/>
              <w:spacing w:line="240" w:lineRule="auto" w:after="20"/>
              <w:jc w:val="center"/>
            </w:pPr>
            <w:r>
              <w:rPr>
                <w:sz w:val="17"/>
              </w:rPr>
              <w:t xml:space="preserve">6.1e-05</w:t>
            </w:r>
          </w:p>
        </w:tc>
        <w:tc>
          <w:tcPr>
            <w:tcW w:type="dxa" w:w="1544"/>
            <w:tcBorders>
              <w:bottom w:val="single" w:sz="6" w:space="0" w:color="000000"/>
            </w:tcBorders>
          </w:tcPr>
          <w:p>
            <w:pPr>
              <w:pStyle w:val="Compact"/>
              <w:spacing w:line="240" w:lineRule="auto" w:after="20"/>
              <w:jc w:val="center"/>
            </w:pPr>
            <w:r>
              <w:rPr>
                <w:sz w:val="17"/>
              </w:rPr>
              <w:t xml:space="preserve">2.0e-07</w:t>
            </w:r>
          </w:p>
        </w:tc>
        <w:tc>
          <w:tcPr>
            <w:tcW w:type="dxa" w:w="1640"/>
            <w:tcBorders>
              <w:bottom w:val="single" w:sz="6" w:space="0" w:color="000000"/>
            </w:tcBorders>
          </w:tcPr>
          <w:p>
            <w:pPr>
              <w:pStyle w:val="Compact"/>
              <w:spacing w:line="240" w:lineRule="auto" w:after="20"/>
              <w:jc w:val="center"/>
            </w:pPr>
            <w:r>
              <w:rPr>
                <w:sz w:val="17"/>
              </w:rPr>
              <w:t xml:space="preserve">2.0e-06</w:t>
            </w:r>
          </w:p>
        </w:tc>
      </w:tr>
    </w:tbl>
    <w:p>
      <w:pPr>
        <w:pStyle w:val="BodyText"/>
        <w:spacing w:line="276" w:lineRule="auto" w:after="120"/>
        <w:jc w:val="left"/>
      </w:pPr>
      <w:r>
        <w:rPr>
          <w:iCs/>
          <w:i/>
        </w:rPr>
        <w:t xml:space="preserve">Note.</w:t>
      </w:r>
      <w:r>
        <w:t xml:space="preserve"> </w:t>
      </w:r>
      <w:r>
        <w:t xml:space="preserve">BH, Benjamini–Hochberg; Holm and Bonferroni as named. All adjusted</w:t>
      </w:r>
      <w:r>
        <w:t xml:space="preserve"> </w:t>
      </w:r>
      <w:r>
        <w:rPr>
          <w:iCs/>
          <w:i/>
        </w:rPr>
        <w:t xml:space="preserve">P</w:t>
      </w:r>
      <w:r>
        <w:t xml:space="preserve"> </w:t>
      </w:r>
      <w:r>
        <w:t xml:space="preserve">values are below 0.05. Source: authors’ calculations.</w:t>
      </w:r>
    </w:p>
    <w:p>
      <w:pPr>
        <w:pStyle w:val="BodyText"/>
        <w:spacing w:line="276" w:lineRule="auto" w:after="120"/>
        <w:jc w:val="left"/>
      </w:pPr>
      <w:r>
        <w:rPr>
          <w:bCs/>
          <w:b/>
        </w:rPr>
        <w:t xml:space="preserve">Supplementary Table S4.</w:t>
      </w:r>
      <w:r>
        <w:t xml:space="preserve"> </w:t>
      </w:r>
      <w:r>
        <w:t xml:space="preserve">Difference-in-differences around the KRX platform change of 5 May 2025</w:t>
      </w:r>
    </w:p>
    <w:tbl>
      <w:tblPr>
        <w:tblStyle w:val="Table"/>
        <w:tblW w:type="pct" w:w="5000"/>
        <w:tblLayout w:type="fixed"/>
        <w:tblLook w:firstRow="1" w:lastRow="0" w:firstColumn="0" w:lastColumn="0" w:noHBand="0" w:noVBand="0" w:val="0020"/>
        <w:jc w:val="start"/>
      </w:tblPr>
      <w:tblGrid>
        <w:gridCol w:w="1561"/>
        <w:gridCol w:w="961"/>
        <w:gridCol w:w="1441"/>
        <w:gridCol w:w="961"/>
        <w:gridCol w:w="961"/>
        <w:gridCol w:w="961"/>
        <w:gridCol w:w="961"/>
        <w:gridCol w:w="1261"/>
      </w:tblGrid>
      <w:tr>
        <w:trPr>
          <w:tblHeader w:val="true"/>
        </w:trPr>
        <w:tc>
          <w:tcPr>
            <w:tcW w:type="dxa" w:w="1562"/>
            <w:tcBorders>
              <w:top w:val="single" w:sz="6" w:space="0" w:color="000000"/>
              <w:bottom w:val="single" w:sz="6" w:space="0" w:color="000000"/>
            </w:tcBorders>
          </w:tcPr>
          <w:p>
            <w:pPr>
              <w:pStyle w:val="Compact"/>
              <w:spacing w:line="240" w:lineRule="auto" w:after="20"/>
              <w:jc w:val="left"/>
            </w:pPr>
            <w:r>
              <w:rPr>
                <w:b/>
                <w:sz w:val="17"/>
              </w:rPr>
              <w:t xml:space="preserve">Contrast</w:t>
            </w:r>
          </w:p>
        </w:tc>
        <w:tc>
          <w:tcPr>
            <w:tcW w:type="dxa" w:w="961"/>
            <w:tcBorders>
              <w:top w:val="single" w:sz="6" w:space="0" w:color="000000"/>
              <w:bottom w:val="single" w:sz="6" w:space="0" w:color="000000"/>
            </w:tcBorders>
          </w:tcPr>
          <w:p>
            <w:pPr>
              <w:pStyle w:val="Compact"/>
              <w:spacing w:line="240" w:lineRule="auto" w:after="20"/>
              <w:jc w:val="center"/>
            </w:pPr>
            <w:r>
              <w:rPr>
                <w:b/>
                <w:sz w:val="17"/>
              </w:rPr>
              <w:t xml:space="preserve">Outcome</w:t>
            </w:r>
          </w:p>
        </w:tc>
        <w:tc>
          <w:tcPr>
            <w:tcW w:type="dxa" w:w="1442"/>
            <w:tcBorders>
              <w:top w:val="single" w:sz="6" w:space="0" w:color="000000"/>
              <w:bottom w:val="single" w:sz="6" w:space="0" w:color="000000"/>
            </w:tcBorders>
          </w:tcPr>
          <w:p>
            <w:pPr>
              <w:pStyle w:val="Compact"/>
              <w:spacing w:line="240" w:lineRule="auto" w:after="20"/>
              <w:jc w:val="center"/>
            </w:pPr>
            <w:r>
              <w:rPr>
                <w:b/>
                <w:sz w:val="17"/>
              </w:rPr>
              <w:t xml:space="preserve">Excess before the change</w:t>
            </w:r>
          </w:p>
        </w:tc>
        <w:tc>
          <w:tcPr>
            <w:tcW w:type="dxa" w:w="961"/>
            <w:tcBorders>
              <w:top w:val="single" w:sz="6" w:space="0" w:color="000000"/>
              <w:bottom w:val="single" w:sz="6" w:space="0" w:color="000000"/>
            </w:tcBorders>
          </w:tcPr>
          <w:p>
            <w:pPr>
              <w:pStyle w:val="Compact"/>
              <w:spacing w:line="240" w:lineRule="auto" w:after="20"/>
              <w:jc w:val="center"/>
            </w:pPr>
            <w:r>
              <w:rPr>
                <w:iCs/>
                <w:b/>
                <w:i/>
                <w:sz w:val="17"/>
              </w:rPr>
              <w:t xml:space="preserve">t</w:t>
            </w:r>
          </w:p>
        </w:tc>
        <w:tc>
          <w:tcPr>
            <w:tcW w:type="dxa" w:w="961"/>
            <w:tcBorders>
              <w:top w:val="single" w:sz="6" w:space="0" w:color="000000"/>
              <w:bottom w:val="single" w:sz="6" w:space="0" w:color="000000"/>
            </w:tcBorders>
          </w:tcPr>
          <w:p>
            <w:pPr>
              <w:pStyle w:val="Compact"/>
              <w:spacing w:line="240" w:lineRule="auto" w:after="20"/>
              <w:jc w:val="center"/>
            </w:pPr>
            <w:r>
              <w:rPr>
                <w:b/>
                <w:sz w:val="17"/>
              </w:rPr>
              <w:t xml:space="preserve">Change after</w:t>
            </w:r>
          </w:p>
        </w:tc>
        <w:tc>
          <w:tcPr>
            <w:tcW w:type="dxa" w:w="961"/>
            <w:tcBorders>
              <w:top w:val="single" w:sz="6" w:space="0" w:color="000000"/>
              <w:bottom w:val="single" w:sz="6" w:space="0" w:color="000000"/>
            </w:tcBorders>
          </w:tcPr>
          <w:p>
            <w:pPr>
              <w:pStyle w:val="Compact"/>
              <w:spacing w:line="240" w:lineRule="auto" w:after="20"/>
              <w:jc w:val="center"/>
            </w:pPr>
            <w:r>
              <w:rPr>
                <w:iCs/>
                <w:b/>
                <w:i/>
                <w:sz w:val="17"/>
              </w:rPr>
              <w:t xml:space="preserve">t</w:t>
            </w:r>
          </w:p>
        </w:tc>
        <w:tc>
          <w:tcPr>
            <w:tcW w:type="dxa" w:w="961"/>
            <w:tcBorders>
              <w:top w:val="single" w:sz="6" w:space="0" w:color="000000"/>
              <w:bottom w:val="single" w:sz="6" w:space="0" w:color="000000"/>
            </w:tcBorders>
          </w:tcPr>
          <w:p>
            <w:pPr>
              <w:pStyle w:val="Compact"/>
              <w:spacing w:line="240" w:lineRule="auto" w:after="20"/>
              <w:jc w:val="center"/>
            </w:pPr>
            <w:r>
              <w:rPr>
                <w:b/>
                <w:sz w:val="17"/>
              </w:rPr>
              <w:t xml:space="preserve">Events</w:t>
            </w:r>
          </w:p>
        </w:tc>
        <w:tc>
          <w:tcPr>
            <w:tcW w:type="dxa" w:w="1262"/>
            <w:tcBorders>
              <w:top w:val="single" w:sz="6" w:space="0" w:color="000000"/>
              <w:bottom w:val="single" w:sz="6" w:space="0" w:color="000000"/>
            </w:tcBorders>
          </w:tcPr>
          <w:p>
            <w:pPr>
              <w:pStyle w:val="Compact"/>
              <w:spacing w:line="240" w:lineRule="auto" w:after="20"/>
              <w:jc w:val="center"/>
            </w:pPr>
            <w:r>
              <w:rPr>
                <w:b/>
                <w:sz w:val="17"/>
              </w:rPr>
              <w:t xml:space="preserve">Comparison stock-days</w:t>
            </w:r>
          </w:p>
        </w:tc>
      </w:tr>
      <w:tr>
        <w:tc>
          <w:tcPr>
            <w:tcW w:type="dxa" w:w="1562"/>
          </w:tcPr>
          <w:p>
            <w:pPr>
              <w:pStyle w:val="Compact"/>
              <w:spacing w:line="240" w:lineRule="auto" w:after="20"/>
              <w:jc w:val="left"/>
            </w:pPr>
            <w:r>
              <w:rPr>
                <w:sz w:val="17"/>
              </w:rPr>
              <w:t xml:space="preserve">ceiling vs 5–6.5% up at high</w:t>
            </w:r>
          </w:p>
        </w:tc>
        <w:tc>
          <w:tcPr>
            <w:tcW w:type="dxa" w:w="961"/>
          </w:tcPr>
          <w:p>
            <w:pPr>
              <w:pStyle w:val="Compact"/>
              <w:spacing w:line="240" w:lineRule="auto" w:after="20"/>
              <w:jc w:val="center"/>
            </w:pPr>
            <w:r>
              <w:rPr>
                <w:sz w:val="17"/>
              </w:rPr>
              <w:t xml:space="preserve">Overnight gap</w:t>
            </w:r>
          </w:p>
        </w:tc>
        <w:tc>
          <w:tcPr>
            <w:tcW w:type="dxa" w:w="1442"/>
          </w:tcPr>
          <w:p>
            <w:pPr>
              <w:pStyle w:val="Compact"/>
              <w:spacing w:line="240" w:lineRule="auto" w:after="20"/>
              <w:jc w:val="center"/>
            </w:pPr>
            <w:r>
              <w:rPr>
                <w:sz w:val="17"/>
              </w:rPr>
              <w:t xml:space="preserve">2.91</w:t>
            </w:r>
          </w:p>
        </w:tc>
        <w:tc>
          <w:tcPr>
            <w:tcW w:type="dxa" w:w="961"/>
          </w:tcPr>
          <w:p>
            <w:pPr>
              <w:pStyle w:val="Compact"/>
              <w:spacing w:line="240" w:lineRule="auto" w:after="20"/>
              <w:jc w:val="center"/>
            </w:pPr>
            <w:r>
              <w:rPr>
                <w:sz w:val="17"/>
              </w:rPr>
              <w:t xml:space="preserve">6.2</w:t>
            </w:r>
          </w:p>
        </w:tc>
        <w:tc>
          <w:tcPr>
            <w:tcW w:type="dxa" w:w="961"/>
          </w:tcPr>
          <w:p>
            <w:pPr>
              <w:pStyle w:val="Compact"/>
              <w:spacing w:line="240" w:lineRule="auto" w:after="20"/>
              <w:jc w:val="center"/>
            </w:pPr>
            <w:r>
              <w:rPr>
                <w:sz w:val="17"/>
              </w:rPr>
              <w:t xml:space="preserve">0.38</w:t>
            </w:r>
          </w:p>
        </w:tc>
        <w:tc>
          <w:tcPr>
            <w:tcW w:type="dxa" w:w="961"/>
          </w:tcPr>
          <w:p>
            <w:pPr>
              <w:pStyle w:val="Compact"/>
              <w:spacing w:line="240" w:lineRule="auto" w:after="20"/>
              <w:jc w:val="center"/>
            </w:pPr>
            <w:r>
              <w:rPr>
                <w:sz w:val="17"/>
              </w:rPr>
              <w:t xml:space="preserve">0.8</w:t>
            </w:r>
          </w:p>
        </w:tc>
        <w:tc>
          <w:tcPr>
            <w:tcW w:type="dxa" w:w="961"/>
          </w:tcPr>
          <w:p>
            <w:pPr>
              <w:pStyle w:val="Compact"/>
              <w:spacing w:line="240" w:lineRule="auto" w:after="20"/>
              <w:jc w:val="center"/>
            </w:pPr>
            <w:r>
              <w:rPr>
                <w:sz w:val="17"/>
              </w:rPr>
              <w:t xml:space="preserve">3,199</w:t>
            </w:r>
          </w:p>
        </w:tc>
        <w:tc>
          <w:tcPr>
            <w:tcW w:type="dxa" w:w="1262"/>
          </w:tcPr>
          <w:p>
            <w:pPr>
              <w:pStyle w:val="Compact"/>
              <w:spacing w:line="240" w:lineRule="auto" w:after="20"/>
              <w:jc w:val="center"/>
            </w:pPr>
            <w:r>
              <w:rPr>
                <w:sz w:val="17"/>
              </w:rPr>
              <w:t xml:space="preserve">679</w:t>
            </w:r>
          </w:p>
        </w:tc>
      </w:tr>
      <w:tr>
        <w:tc>
          <w:tcPr>
            <w:tcW w:type="dxa" w:w="1562"/>
          </w:tcPr>
          <w:p>
            <w:pPr>
              <w:pStyle w:val="Compact"/>
              <w:spacing w:line="240" w:lineRule="auto" w:after="20"/>
              <w:jc w:val="left"/>
            </w:pPr>
            <w:r>
              <w:rPr>
                <w:sz w:val="17"/>
              </w:rPr>
              <w:t xml:space="preserve">ceiling vs 5–6.5% up at high</w:t>
            </w:r>
          </w:p>
        </w:tc>
        <w:tc>
          <w:tcPr>
            <w:tcW w:type="dxa" w:w="961"/>
          </w:tcPr>
          <w:p>
            <w:pPr>
              <w:pStyle w:val="Compact"/>
              <w:spacing w:line="240" w:lineRule="auto" w:after="20"/>
              <w:jc w:val="center"/>
            </w:pPr>
            <w:r>
              <w:rPr>
                <w:sz w:val="17"/>
              </w:rPr>
              <w:t xml:space="preserve">Close-to-close</w:t>
            </w:r>
          </w:p>
        </w:tc>
        <w:tc>
          <w:tcPr>
            <w:tcW w:type="dxa" w:w="1442"/>
          </w:tcPr>
          <w:p>
            <w:pPr>
              <w:pStyle w:val="Compact"/>
              <w:spacing w:line="240" w:lineRule="auto" w:after="20"/>
              <w:jc w:val="center"/>
            </w:pPr>
            <w:r>
              <w:rPr>
                <w:sz w:val="17"/>
              </w:rPr>
              <w:t xml:space="preserve">1.81</w:t>
            </w:r>
          </w:p>
        </w:tc>
        <w:tc>
          <w:tcPr>
            <w:tcW w:type="dxa" w:w="961"/>
          </w:tcPr>
          <w:p>
            <w:pPr>
              <w:pStyle w:val="Compact"/>
              <w:spacing w:line="240" w:lineRule="auto" w:after="20"/>
              <w:jc w:val="center"/>
            </w:pPr>
            <w:r>
              <w:rPr>
                <w:sz w:val="17"/>
              </w:rPr>
              <w:t xml:space="preserve">2.2</w:t>
            </w:r>
          </w:p>
        </w:tc>
        <w:tc>
          <w:tcPr>
            <w:tcW w:type="dxa" w:w="961"/>
          </w:tcPr>
          <w:p>
            <w:pPr>
              <w:pStyle w:val="Compact"/>
              <w:spacing w:line="240" w:lineRule="auto" w:after="20"/>
              <w:jc w:val="center"/>
            </w:pPr>
            <w:r>
              <w:rPr>
                <w:sz w:val="17"/>
              </w:rPr>
              <w:t xml:space="preserve">0.95</w:t>
            </w:r>
          </w:p>
        </w:tc>
        <w:tc>
          <w:tcPr>
            <w:tcW w:type="dxa" w:w="961"/>
          </w:tcPr>
          <w:p>
            <w:pPr>
              <w:pStyle w:val="Compact"/>
              <w:spacing w:line="240" w:lineRule="auto" w:after="20"/>
              <w:jc w:val="center"/>
            </w:pPr>
            <w:r>
              <w:rPr>
                <w:sz w:val="17"/>
              </w:rPr>
              <w:t xml:space="preserve">1.1</w:t>
            </w:r>
          </w:p>
        </w:tc>
        <w:tc>
          <w:tcPr>
            <w:tcW w:type="dxa" w:w="961"/>
          </w:tcPr>
          <w:p>
            <w:pPr>
              <w:pStyle w:val="Compact"/>
              <w:spacing w:line="240" w:lineRule="auto" w:after="20"/>
              <w:jc w:val="center"/>
            </w:pPr>
            <w:r>
              <w:rPr>
                <w:sz w:val="17"/>
              </w:rPr>
              <w:t xml:space="preserve">3,199</w:t>
            </w:r>
          </w:p>
        </w:tc>
        <w:tc>
          <w:tcPr>
            <w:tcW w:type="dxa" w:w="1262"/>
          </w:tcPr>
          <w:p>
            <w:pPr>
              <w:pStyle w:val="Compact"/>
              <w:spacing w:line="240" w:lineRule="auto" w:after="20"/>
              <w:jc w:val="center"/>
            </w:pPr>
            <w:r>
              <w:rPr>
                <w:sz w:val="17"/>
              </w:rPr>
              <w:t xml:space="preserve">679</w:t>
            </w:r>
          </w:p>
        </w:tc>
      </w:tr>
      <w:tr>
        <w:tc>
          <w:tcPr>
            <w:tcW w:type="dxa" w:w="1562"/>
          </w:tcPr>
          <w:p>
            <w:pPr>
              <w:pStyle w:val="Compact"/>
              <w:spacing w:line="240" w:lineRule="auto" w:after="20"/>
              <w:jc w:val="left"/>
            </w:pPr>
            <w:r>
              <w:rPr>
                <w:sz w:val="17"/>
              </w:rPr>
              <w:t xml:space="preserve">floor vs 5–6.5% down at low</w:t>
            </w:r>
          </w:p>
        </w:tc>
        <w:tc>
          <w:tcPr>
            <w:tcW w:type="dxa" w:w="961"/>
          </w:tcPr>
          <w:p>
            <w:pPr>
              <w:pStyle w:val="Compact"/>
              <w:spacing w:line="240" w:lineRule="auto" w:after="20"/>
              <w:jc w:val="center"/>
            </w:pPr>
            <w:r>
              <w:rPr>
                <w:sz w:val="17"/>
              </w:rPr>
              <w:t xml:space="preserve">Overnight gap</w:t>
            </w:r>
          </w:p>
        </w:tc>
        <w:tc>
          <w:tcPr>
            <w:tcW w:type="dxa" w:w="1442"/>
          </w:tcPr>
          <w:p>
            <w:pPr>
              <w:pStyle w:val="Compact"/>
              <w:spacing w:line="240" w:lineRule="auto" w:after="20"/>
              <w:jc w:val="center"/>
            </w:pPr>
            <w:r>
              <w:rPr>
                <w:sz w:val="17"/>
              </w:rPr>
              <w:t xml:space="preserve">−1.62</w:t>
            </w:r>
          </w:p>
        </w:tc>
        <w:tc>
          <w:tcPr>
            <w:tcW w:type="dxa" w:w="961"/>
          </w:tcPr>
          <w:p>
            <w:pPr>
              <w:pStyle w:val="Compact"/>
              <w:spacing w:line="240" w:lineRule="auto" w:after="20"/>
              <w:jc w:val="center"/>
            </w:pPr>
            <w:r>
              <w:rPr>
                <w:sz w:val="17"/>
              </w:rPr>
              <w:t xml:space="preserve">−6.6</w:t>
            </w:r>
          </w:p>
        </w:tc>
        <w:tc>
          <w:tcPr>
            <w:tcW w:type="dxa" w:w="961"/>
          </w:tcPr>
          <w:p>
            <w:pPr>
              <w:pStyle w:val="Compact"/>
              <w:spacing w:line="240" w:lineRule="auto" w:after="20"/>
              <w:jc w:val="center"/>
            </w:pPr>
            <w:r>
              <w:rPr>
                <w:sz w:val="17"/>
              </w:rPr>
              <w:t xml:space="preserve">−0.49</w:t>
            </w:r>
          </w:p>
        </w:tc>
        <w:tc>
          <w:tcPr>
            <w:tcW w:type="dxa" w:w="961"/>
          </w:tcPr>
          <w:p>
            <w:pPr>
              <w:pStyle w:val="Compact"/>
              <w:spacing w:line="240" w:lineRule="auto" w:after="20"/>
              <w:jc w:val="center"/>
            </w:pPr>
            <w:r>
              <w:rPr>
                <w:sz w:val="17"/>
              </w:rPr>
              <w:t xml:space="preserve">−1.5</w:t>
            </w:r>
          </w:p>
        </w:tc>
        <w:tc>
          <w:tcPr>
            <w:tcW w:type="dxa" w:w="961"/>
          </w:tcPr>
          <w:p>
            <w:pPr>
              <w:pStyle w:val="Compact"/>
              <w:spacing w:line="240" w:lineRule="auto" w:after="20"/>
              <w:jc w:val="center"/>
            </w:pPr>
            <w:r>
              <w:rPr>
                <w:sz w:val="17"/>
              </w:rPr>
              <w:t xml:space="preserve">2,111</w:t>
            </w:r>
          </w:p>
        </w:tc>
        <w:tc>
          <w:tcPr>
            <w:tcW w:type="dxa" w:w="1262"/>
          </w:tcPr>
          <w:p>
            <w:pPr>
              <w:pStyle w:val="Compact"/>
              <w:spacing w:line="240" w:lineRule="auto" w:after="20"/>
              <w:jc w:val="center"/>
            </w:pPr>
            <w:r>
              <w:rPr>
                <w:sz w:val="17"/>
              </w:rPr>
              <w:t xml:space="preserve">722</w:t>
            </w:r>
          </w:p>
        </w:tc>
      </w:tr>
      <w:tr>
        <w:tc>
          <w:tcPr>
            <w:tcW w:type="dxa" w:w="1562"/>
            <w:tcBorders>
              <w:bottom w:val="single" w:sz="6" w:space="0" w:color="000000"/>
            </w:tcBorders>
          </w:tcPr>
          <w:p>
            <w:pPr>
              <w:pStyle w:val="Compact"/>
              <w:spacing w:line="240" w:lineRule="auto" w:after="20"/>
              <w:jc w:val="left"/>
            </w:pPr>
            <w:r>
              <w:rPr>
                <w:sz w:val="17"/>
              </w:rPr>
              <w:t xml:space="preserve">floor vs 5–6.5% down at low</w:t>
            </w:r>
          </w:p>
        </w:tc>
        <w:tc>
          <w:tcPr>
            <w:tcW w:type="dxa" w:w="961"/>
            <w:tcBorders>
              <w:bottom w:val="single" w:sz="6" w:space="0" w:color="000000"/>
            </w:tcBorders>
          </w:tcPr>
          <w:p>
            <w:pPr>
              <w:pStyle w:val="Compact"/>
              <w:spacing w:line="240" w:lineRule="auto" w:after="20"/>
              <w:jc w:val="center"/>
            </w:pPr>
            <w:r>
              <w:rPr>
                <w:sz w:val="17"/>
              </w:rPr>
              <w:t xml:space="preserve">Close-to-close</w:t>
            </w:r>
          </w:p>
        </w:tc>
        <w:tc>
          <w:tcPr>
            <w:tcW w:type="dxa" w:w="1442"/>
            <w:tcBorders>
              <w:bottom w:val="single" w:sz="6" w:space="0" w:color="000000"/>
            </w:tcBorders>
          </w:tcPr>
          <w:p>
            <w:pPr>
              <w:pStyle w:val="Compact"/>
              <w:spacing w:line="240" w:lineRule="auto" w:after="20"/>
              <w:jc w:val="center"/>
            </w:pPr>
            <w:r>
              <w:rPr>
                <w:sz w:val="17"/>
              </w:rPr>
              <w:t xml:space="preserve">−2.13</w:t>
            </w:r>
          </w:p>
        </w:tc>
        <w:tc>
          <w:tcPr>
            <w:tcW w:type="dxa" w:w="961"/>
            <w:tcBorders>
              <w:bottom w:val="single" w:sz="6" w:space="0" w:color="000000"/>
            </w:tcBorders>
          </w:tcPr>
          <w:p>
            <w:pPr>
              <w:pStyle w:val="Compact"/>
              <w:spacing w:line="240" w:lineRule="auto" w:after="20"/>
              <w:jc w:val="center"/>
            </w:pPr>
            <w:r>
              <w:rPr>
                <w:sz w:val="17"/>
              </w:rPr>
              <w:t xml:space="preserve">−6.0</w:t>
            </w:r>
          </w:p>
        </w:tc>
        <w:tc>
          <w:tcPr>
            <w:tcW w:type="dxa" w:w="961"/>
            <w:tcBorders>
              <w:bottom w:val="single" w:sz="6" w:space="0" w:color="000000"/>
            </w:tcBorders>
          </w:tcPr>
          <w:p>
            <w:pPr>
              <w:pStyle w:val="Compact"/>
              <w:spacing w:line="240" w:lineRule="auto" w:after="20"/>
              <w:jc w:val="center"/>
            </w:pPr>
            <w:r>
              <w:rPr>
                <w:sz w:val="17"/>
              </w:rPr>
              <w:t xml:space="preserve">0.18</w:t>
            </w:r>
          </w:p>
        </w:tc>
        <w:tc>
          <w:tcPr>
            <w:tcW w:type="dxa" w:w="961"/>
            <w:tcBorders>
              <w:bottom w:val="single" w:sz="6" w:space="0" w:color="000000"/>
            </w:tcBorders>
          </w:tcPr>
          <w:p>
            <w:pPr>
              <w:pStyle w:val="Compact"/>
              <w:spacing w:line="240" w:lineRule="auto" w:after="20"/>
              <w:jc w:val="center"/>
            </w:pPr>
            <w:r>
              <w:rPr>
                <w:sz w:val="17"/>
              </w:rPr>
              <w:t xml:space="preserve">0.4</w:t>
            </w:r>
          </w:p>
        </w:tc>
        <w:tc>
          <w:tcPr>
            <w:tcW w:type="dxa" w:w="961"/>
            <w:tcBorders>
              <w:bottom w:val="single" w:sz="6" w:space="0" w:color="000000"/>
            </w:tcBorders>
          </w:tcPr>
          <w:p>
            <w:pPr>
              <w:pStyle w:val="Compact"/>
              <w:spacing w:line="240" w:lineRule="auto" w:after="20"/>
              <w:jc w:val="center"/>
            </w:pPr>
            <w:r>
              <w:rPr>
                <w:sz w:val="17"/>
              </w:rPr>
              <w:t xml:space="preserve">2,111</w:t>
            </w:r>
          </w:p>
        </w:tc>
        <w:tc>
          <w:tcPr>
            <w:tcW w:type="dxa" w:w="1262"/>
            <w:tcBorders>
              <w:bottom w:val="single" w:sz="6" w:space="0" w:color="000000"/>
            </w:tcBorders>
          </w:tcPr>
          <w:p>
            <w:pPr>
              <w:pStyle w:val="Compact"/>
              <w:spacing w:line="240" w:lineRule="auto" w:after="20"/>
              <w:jc w:val="center"/>
            </w:pPr>
            <w:r>
              <w:rPr>
                <w:sz w:val="17"/>
              </w:rPr>
              <w:t xml:space="preserve">722</w:t>
            </w:r>
          </w:p>
        </w:tc>
      </w:tr>
    </w:tbl>
    <w:p>
      <w:pPr>
        <w:pStyle w:val="BodyText"/>
        <w:spacing w:line="276" w:lineRule="auto" w:after="120"/>
        <w:jc w:val="left"/>
      </w:pPr>
      <w:r>
        <w:rPr>
          <w:iCs/>
          <w:i/>
        </w:rPr>
        <w:t xml:space="preserve">Note.</w:t>
      </w:r>
      <w:r>
        <w:t xml:space="preserve"> </w:t>
      </w:r>
      <w:r>
        <w:t xml:space="preserve">Percentage points; date-clustered</w:t>
      </w:r>
      <w:r>
        <w:t xml:space="preserve"> </w:t>
      </w:r>
      <w:r>
        <w:rPr>
          <w:iCs/>
          <w:i/>
        </w:rPr>
        <w:t xml:space="preserve">t</w:t>
      </w:r>
      <w:r>
        <w:t xml:space="preserve">-statistics; limit closes compared with 5–6.5% movers that also closed at the extreme. Source: authors’ calculations.</w:t>
      </w:r>
    </w:p>
    <w:p>
      <w:pPr>
        <w:pStyle w:val="Heading2"/>
        <w:jc w:val="left"/>
      </w:pPr>
      <w:r>
        <w:t xml:space="preserve">Supplementary references</w:t>
      </w:r>
    </w:p>
    <w:p>
      <w:pPr>
        <w:numPr>
          <w:ilvl w:val="0"/>
          <w:numId w:val="1001"/>
        </w:numPr>
        <w:pStyle w:val="Compact"/>
        <w:spacing w:line="276" w:lineRule="auto" w:after="120"/>
        <w:jc w:val="left"/>
      </w:pPr>
      <w:r>
        <w:t xml:space="preserve">Parkinson, M. The extreme value method for estimating the variance of the rate of return.</w:t>
      </w:r>
      <w:r>
        <w:t xml:space="preserve"> </w:t>
      </w:r>
      <w:r>
        <w:rPr>
          <w:iCs/>
          <w:i/>
        </w:rPr>
        <w:t xml:space="preserve">J. Bus.</w:t>
      </w:r>
      <w:r>
        <w:t xml:space="preserve"> </w:t>
      </w:r>
      <w:r>
        <w:rPr>
          <w:bCs/>
          <w:b/>
        </w:rPr>
        <w:t xml:space="preserve">53</w:t>
      </w:r>
      <w:r>
        <w:t xml:space="preserve">, 61–65 (1980). https://doi.org/10.1086/296071</w:t>
      </w:r>
    </w:p>
    <w:p>
      <w:pPr>
        <w:numPr>
          <w:ilvl w:val="0"/>
          <w:numId w:val="1001"/>
        </w:numPr>
        <w:pStyle w:val="Compact"/>
        <w:spacing w:line="276" w:lineRule="auto" w:after="120"/>
        <w:jc w:val="left"/>
      </w:pPr>
      <w:r>
        <w:t xml:space="preserve">Amihud, Y. Illiquidity and stock returns: cross-section and time-series effects.</w:t>
      </w:r>
      <w:r>
        <w:t xml:space="preserve"> </w:t>
      </w:r>
      <w:r>
        <w:rPr>
          <w:iCs/>
          <w:i/>
        </w:rPr>
        <w:t xml:space="preserve">J. Financ. Mark.</w:t>
      </w:r>
      <w:r>
        <w:t xml:space="preserve"> </w:t>
      </w:r>
      <w:r>
        <w:rPr>
          <w:bCs/>
          <w:b/>
        </w:rPr>
        <w:t xml:space="preserve">5</w:t>
      </w:r>
      <w:r>
        <w:t xml:space="preserve">, 31–56 (2002). https://doi.org/10.1016/S1386-4181(01)00024-6</w:t>
      </w:r>
    </w:p>
    <w:p>
      <w:pPr>
        <w:numPr>
          <w:ilvl w:val="0"/>
          <w:numId w:val="1001"/>
        </w:numPr>
        <w:pStyle w:val="Compact"/>
        <w:spacing w:line="276" w:lineRule="auto" w:after="120"/>
        <w:jc w:val="left"/>
      </w:pPr>
      <w:r>
        <w:t xml:space="preserve">Corwin, S. A. &amp; Schultz, P. A simple way to estimate bid-ask spreads from daily high and low prices.</w:t>
      </w:r>
      <w:r>
        <w:t xml:space="preserve"> </w:t>
      </w:r>
      <w:r>
        <w:rPr>
          <w:iCs/>
          <w:i/>
        </w:rPr>
        <w:t xml:space="preserve">J. Finance</w:t>
      </w:r>
      <w:r>
        <w:t xml:space="preserve"> </w:t>
      </w:r>
      <w:r>
        <w:rPr>
          <w:bCs/>
          <w:b/>
        </w:rPr>
        <w:t xml:space="preserve">67</w:t>
      </w:r>
      <w:r>
        <w:t xml:space="preserve">, 719–760 (2012). https://doi.org/10.1111/j.1540-6261.2012.01729.x</w:t>
      </w:r>
    </w:p>
    <w:p>
      <w:pPr>
        <w:numPr>
          <w:ilvl w:val="0"/>
          <w:numId w:val="1001"/>
        </w:numPr>
        <w:pStyle w:val="Compact"/>
        <w:spacing w:line="276" w:lineRule="auto" w:after="120"/>
        <w:jc w:val="left"/>
      </w:pPr>
      <w:r>
        <w:t xml:space="preserve">Bali, T. G., Cakici, N. &amp; Whitelaw, R. F. Maxing out: stocks as lotteries and the cross-section of expected returns.</w:t>
      </w:r>
      <w:r>
        <w:t xml:space="preserve"> </w:t>
      </w:r>
      <w:r>
        <w:rPr>
          <w:iCs/>
          <w:i/>
        </w:rPr>
        <w:t xml:space="preserve">J. Financ. Econ.</w:t>
      </w:r>
      <w:r>
        <w:t xml:space="preserve"> </w:t>
      </w:r>
      <w:r>
        <w:rPr>
          <w:bCs/>
          <w:b/>
        </w:rPr>
        <w:t xml:space="preserve">99</w:t>
      </w:r>
      <w:r>
        <w:t xml:space="preserve">, 427–446 (2011). https://doi.org/10.1016/j.jfineco.2010.08.014</w:t>
      </w:r>
    </w:p>
    <w:p>
      <w:pPr>
        <w:numPr>
          <w:ilvl w:val="0"/>
          <w:numId w:val="1001"/>
        </w:numPr>
        <w:pStyle w:val="Compact"/>
        <w:spacing w:line="276" w:lineRule="auto" w:after="120"/>
        <w:jc w:val="left"/>
      </w:pPr>
      <w:r>
        <w:t xml:space="preserve">Farber, A., Nguyen, V. N. &amp; Vuong, Q. H. Policy impacts on Vietnam stock market: a case of anomalies and disequilibria 2000–2006. CEB Working Paper No. 06/005 (Université Libre de Bruxelles, 2006). https://ideas.repec.org/p/sol/wpaper/06-005.html</w:t>
      </w:r>
    </w:p>
    <w:p>
      <w:pPr>
        <w:numPr>
          <w:ilvl w:val="0"/>
          <w:numId w:val="1001"/>
        </w:numPr>
        <w:pStyle w:val="Compact"/>
        <w:spacing w:line="276" w:lineRule="auto" w:after="120"/>
        <w:jc w:val="left"/>
      </w:pPr>
      <w:r>
        <w:t xml:space="preserve">Le, D. N. Evaluating impacts of reduction in fluctuation limit on stock price risks in Vietnam.</w:t>
      </w:r>
      <w:r>
        <w:t xml:space="preserve"> </w:t>
      </w:r>
      <w:r>
        <w:rPr>
          <w:iCs/>
          <w:i/>
        </w:rPr>
        <w:t xml:space="preserve">J. Econ. Dev. (Univ. Econ. Ho Chi Minh City)</w:t>
      </w:r>
      <w:r>
        <w:t xml:space="preserve"> </w:t>
      </w:r>
      <w:r>
        <w:rPr>
          <w:bCs/>
          <w:b/>
        </w:rPr>
        <w:t xml:space="preserve">214</w:t>
      </w:r>
      <w:r>
        <w:t xml:space="preserve">, 116–128 (2012). https://vjol.info.vn/ed/article/view/34298</w:t>
      </w:r>
    </w:p>
    <w:p>
      <w:pPr>
        <w:numPr>
          <w:ilvl w:val="0"/>
          <w:numId w:val="1001"/>
        </w:numPr>
        <w:pStyle w:val="Compact"/>
        <w:spacing w:line="276" w:lineRule="auto" w:after="120"/>
        <w:jc w:val="left"/>
      </w:pPr>
      <w:r>
        <w:t xml:space="preserve">Kim, K. A. &amp; Rhee, S. G. Price limit performance: evidence from the Tokyo Stock Exchange.</w:t>
      </w:r>
      <w:r>
        <w:t xml:space="preserve"> </w:t>
      </w:r>
      <w:r>
        <w:rPr>
          <w:iCs/>
          <w:i/>
        </w:rPr>
        <w:t xml:space="preserve">J. Finance</w:t>
      </w:r>
      <w:r>
        <w:t xml:space="preserve"> </w:t>
      </w:r>
      <w:r>
        <w:rPr>
          <w:bCs/>
          <w:b/>
        </w:rPr>
        <w:t xml:space="preserve">52</w:t>
      </w:r>
      <w:r>
        <w:t xml:space="preserve">, 885–901 (1997). https://doi.org/10.1111/j.1540-6261.1997.tb04827.x</w:t>
      </w:r>
    </w:p>
    <w:p>
      <w:pPr>
        <w:numPr>
          <w:ilvl w:val="0"/>
          <w:numId w:val="1001"/>
        </w:numPr>
        <w:pStyle w:val="Compact"/>
        <w:spacing w:line="276" w:lineRule="auto" w:after="120"/>
        <w:jc w:val="left"/>
      </w:pPr>
      <w:r>
        <w:t xml:space="preserve">Huang, Y.-S., Fu, T.-W. &amp; Ke, M.-C. Daily price limits and stock price behavior: evidence from the Taiwan Stock Exchange.</w:t>
      </w:r>
      <w:r>
        <w:t xml:space="preserve"> </w:t>
      </w:r>
      <w:r>
        <w:rPr>
          <w:iCs/>
          <w:i/>
        </w:rPr>
        <w:t xml:space="preserve">Int. Rev. Econ. Finance</w:t>
      </w:r>
      <w:r>
        <w:t xml:space="preserve"> </w:t>
      </w:r>
      <w:r>
        <w:rPr>
          <w:bCs/>
          <w:b/>
        </w:rPr>
        <w:t xml:space="preserve">10</w:t>
      </w:r>
      <w:r>
        <w:t xml:space="preserve">, 263–288 (2001). https://doi.org/10.1016/S1059-0560(00)00082-4</w:t>
      </w:r>
    </w:p>
    <w:p>
      <w:pPr>
        <w:numPr>
          <w:ilvl w:val="0"/>
          <w:numId w:val="1001"/>
        </w:numPr>
        <w:pStyle w:val="Compact"/>
        <w:spacing w:line="276" w:lineRule="auto" w:after="120"/>
        <w:jc w:val="left"/>
      </w:pPr>
      <w:r>
        <w:t xml:space="preserve">Qi, B. Effectiveness of price limits: evidence from China’s ChiNext market.</w:t>
      </w:r>
      <w:r>
        <w:t xml:space="preserve"> </w:t>
      </w:r>
      <w:r>
        <w:rPr>
          <w:iCs/>
          <w:i/>
        </w:rPr>
        <w:t xml:space="preserve">PLOS ONE</w:t>
      </w:r>
      <w:r>
        <w:t xml:space="preserve"> </w:t>
      </w:r>
      <w:r>
        <w:rPr>
          <w:bCs/>
          <w:b/>
        </w:rPr>
        <w:t xml:space="preserve">18</w:t>
      </w:r>
      <w:r>
        <w:t xml:space="preserve">, e0287548 (2023). https://doi.org/10.1371/journal.pone.0287548</w:t>
      </w:r>
    </w:p>
    <w:sectPr>
      <w:footerReference w:type="default" r:id="rId9"/>
      <w:pgSz w:w="11906" w:h="16838"/>
      <w:pgMar w:left="1440" w:right="1440" w:top="1440" w:bottom="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uppressLineNumbers/>
    </w:pPr>
    <w:r>
      <w:fldChar w:fldCharType="begin"/>
    </w:r>
    <w:r>
      <w:instrText xml:space="preserve"> PAGE </w:instrTex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cs="Times New Roman" w:eastAsia="Times New Roman"/>
      <w:sz w:val="22"/>
    </w:rPr>
  </w:style>
  <w:style w:styleId="BodyText" w:type="paragraph">
    <w:name w:val="Body Text"/>
    <w:basedOn w:val="Normal"/>
    <w:link w:val="BodyTextChar"/>
    <w:pPr>
      <w:spacing w:after="180" w:before="180"/>
    </w:pPr>
    <w:qFormat/>
    <w:rPr>
      <w:rFonts w:ascii="Times New Roman" w:hAnsi="Times New Roman" w:cs="Times New Roman" w:eastAsia="Times New Roman"/>
      <w:sz w:val="22"/>
    </w:rPr>
  </w:style>
  <w:style w:customStyle="1" w:styleId="FirstParagraph" w:type="paragraph">
    <w:name w:val="First Paragraph"/>
    <w:basedOn w:val="BodyText"/>
    <w:next w:val="BodyText"/>
    <w:qFormat/>
    <w:rPr>
      <w:rFonts w:ascii="Times New Roman" w:hAnsi="Times New Roman" w:cs="Times New Roman" w:eastAsia="Times New Roman"/>
      <w:sz w:val="22"/>
    </w:rPr>
  </w:style>
  <w:style w:customStyle="1" w:styleId="Compact" w:type="paragraph">
    <w:name w:val="Compact"/>
    <w:basedOn w:val="BodyText"/>
    <w:qFormat/>
    <w:pPr>
      <w:spacing w:after="36" w:before="36"/>
    </w:pPr>
    <w:rPr>
      <w:rFonts w:ascii="Times New Roman" w:hAnsi="Times New Roman" w:cs="Times New Roman" w:eastAsia="Times New Roman"/>
      <w:sz w:val="22"/>
    </w:rPr>
  </w:style>
  <w:style w:styleId="Title" w:type="paragraph">
    <w:name w:val="Title"/>
    <w:basedOn w:val="Normal"/>
    <w:next w:val="BodyText"/>
    <w:qFormat/>
    <w:pPr>
      <w:keepNext/>
      <w:keepLines/>
      <w:spacing w:after="120" w:before="240"/>
      <w:jc w:val="center"/>
    </w:pPr>
    <w:rPr>
      <w:rFonts w:ascii="Times New Roman" w:hAnsi="Times New Roman" w:cs="Times New Roman" w:eastAsia="Times New Roman"/>
      <w:b/>
      <w:bCs/>
      <w:i w:val="0"/>
      <w:sz w:val="36"/>
      <w:szCs w:val="36"/>
    </w:rPr>
  </w:style>
  <w:style w:styleId="Subtitle" w:type="paragraph">
    <w:name w:val="Subtitle"/>
    <w:basedOn w:val="Title"/>
    <w:next w:val="BodyText"/>
    <w:qFormat/>
    <w:pPr>
      <w:keepNext/>
      <w:keepLines/>
      <w:spacing w:after="240" w:before="240"/>
      <w:jc w:val="center"/>
    </w:pPr>
    <w:rPr>
      <w:rFonts w:ascii="Times New Roman" w:hAnsi="Times New Roman" w:cs="Times New Roman" w:eastAsia="Times New Roman"/>
      <w:sz w:val="30"/>
      <w:szCs w:val="30"/>
    </w:rPr>
  </w:style>
  <w:style w:customStyle="1" w:styleId="Author" w:type="paragraph">
    <w:name w:val="Author"/>
    <w:next w:val="BodyText"/>
    <w:qFormat/>
    <w:pPr>
      <w:keepNext/>
      <w:keepLines/>
      <w:jc w:val="center"/>
    </w:pPr>
    <w:rPr>
      <w:rFonts w:ascii="Times New Roman" w:hAnsi="Times New Roman" w:cs="Times New Roman" w:eastAsia="Times New Roman"/>
    </w:rPr>
  </w:style>
  <w:style w:styleId="Date" w:type="paragraph">
    <w:name w:val="Date"/>
    <w:next w:val="BodyText"/>
    <w:qFormat/>
    <w:pPr>
      <w:keepNext/>
      <w:keepLines/>
      <w:jc w:val="center"/>
    </w:pPr>
    <w:rPr>
      <w:rFonts w:ascii="Times New Roman" w:hAnsi="Times New Roman" w:cs="Times New Roman" w:eastAsia="Times New Roman"/>
    </w:rPr>
  </w:style>
  <w:style w:customStyle="1" w:styleId="AbstractTitle" w:type="paragraph">
    <w:name w:val="Abstract Title"/>
    <w:basedOn w:val="Normal"/>
    <w:next w:val="Abstract"/>
    <w:qFormat/>
    <w:pPr>
      <w:keepNext/>
      <w:keepLines/>
      <w:jc w:val="center"/>
      <w:spacing w:after="0" w:before="300"/>
    </w:pPr>
    <w:rPr>
      <w:sz w:val="20"/>
      <w:szCs w:val="20"/>
      <w:rFonts w:ascii="Times New Roman" w:hAnsi="Times New Roman" w:cs="Times New Roman" w:eastAsia="Times New Roman"/>
      <w:b/>
    </w:rPr>
  </w:style>
  <w:style w:customStyle="1" w:styleId="Abstract" w:type="paragraph">
    <w:name w:val="Abstract"/>
    <w:basedOn w:val="Normal"/>
    <w:next w:val="BodyText"/>
    <w:qFormat/>
    <w:pPr>
      <w:keepNext/>
      <w:keepLines/>
      <w:spacing w:after="300" w:before="100"/>
    </w:pPr>
    <w:rPr>
      <w:rFonts w:ascii="Times New Roman" w:hAnsi="Times New Roman" w:cs="Times New Roman" w:eastAsia="Times New Roman"/>
      <w:sz w:val="20"/>
      <w:szCs w:val="20"/>
    </w:rPr>
  </w:style>
  <w:style w:styleId="Bibliography" w:type="paragraph">
    <w:name w:val="Bibliography"/>
    <w:basedOn w:val="Normal"/>
    <w:next w:val="Bibliography"/>
    <w:qFormat/>
    <w:pPr/>
    <w:rPr>
      <w:rFonts w:ascii="Times New Roman" w:hAnsi="Times New Roman" w:cs="Times New Roman" w:eastAsia="Times New Roman"/>
    </w:rPr>
  </w:style>
  <w:style w:styleId="Heading1" w:type="paragraph">
    <w:name w:val="Heading 1"/>
    <w:basedOn w:val="Normal"/>
    <w:next w:val="BodyText"/>
    <w:uiPriority w:val="9"/>
    <w:qFormat/>
    <w:pPr>
      <w:keepNext/>
      <w:keepLines/>
      <w:spacing w:after="120" w:before="240"/>
      <w:outlineLvl w:val="0"/>
    </w:pPr>
    <w:rPr>
      <w:rFonts w:ascii="Times New Roman" w:hAnsi="Times New Roman" w:cs="Times New Roman" w:eastAsia="Times New Roman"/>
      <w:b/>
      <w:bCs/>
      <w:i w:val="0"/>
      <w:sz w:val="32"/>
      <w:szCs w:val="32"/>
    </w:rPr>
  </w:style>
  <w:style w:styleId="Heading2" w:type="paragraph">
    <w:name w:val="Heading 2"/>
    <w:basedOn w:val="Normal"/>
    <w:next w:val="BodyText"/>
    <w:uiPriority w:val="9"/>
    <w:unhideWhenUsed/>
    <w:qFormat/>
    <w:pPr>
      <w:keepNext/>
      <w:keepLines/>
      <w:spacing w:after="120" w:before="240"/>
      <w:outlineLvl w:val="1"/>
    </w:pPr>
    <w:rPr>
      <w:rFonts w:ascii="Times New Roman" w:hAnsi="Times New Roman" w:cs="Times New Roman" w:eastAsia="Times New Roman"/>
      <w:b/>
      <w:bCs/>
      <w:i w:val="0"/>
      <w:sz w:val="28"/>
      <w:szCs w:val="28"/>
    </w:rPr>
  </w:style>
  <w:style w:styleId="Heading3" w:type="paragraph">
    <w:name w:val="Heading 3"/>
    <w:basedOn w:val="Normal"/>
    <w:next w:val="BodyText"/>
    <w:uiPriority w:val="9"/>
    <w:unhideWhenUsed/>
    <w:qFormat/>
    <w:pPr>
      <w:keepNext/>
      <w:keepLines/>
      <w:spacing w:after="120" w:before="240"/>
      <w:outlineLvl w:val="2"/>
    </w:pPr>
    <w:rPr>
      <w:rFonts w:ascii="Times New Roman" w:hAnsi="Times New Roman" w:cs="Times New Roman" w:eastAsia="Times New Roman"/>
      <w:b/>
      <w:bCs/>
      <w:i/>
      <w:sz w:val="24"/>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hAnsi="Times New Roman" w:cs="Times New Roman" w:eastAsia="Times New Roman"/>
      <w:i/>
      <w:bCs/>
      <w:sz w:val="24"/>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hAnsi="Times New Roman" w:cs="Times New Roman" w:eastAsia="Times New Roman"/>
      <w:iCs/>
      <w:sz w:val="24"/>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hAnsi="Times New Roman" w:cs="Times New Roman" w:eastAsia="Times New Roman"/>
      <w:sz w:val="24"/>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hAnsi="Times New Roman" w:cs="Times New Roman" w:eastAsia="Times New Roman"/>
      <w:sz w:val="24"/>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hAnsi="Times New Roman" w:cs="Times New Roman" w:eastAsia="Times New Roman"/>
      <w:sz w:val="24"/>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hAnsi="Times New Roman" w:cs="Times New Roman" w:eastAsia="Times New Roman"/>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cs="Times New Roman" w:eastAsia="Times New Roman"/>
    </w:rPr>
  </w:style>
  <w:style w:styleId="FootnoteText" w:type="paragraph">
    <w:name w:val="Footnote Text"/>
    <w:basedOn w:val="Normal"/>
    <w:next w:val="FootnoteText"/>
    <w:uiPriority w:val="9"/>
    <w:unhideWhenUsed/>
    <w:qFormat/>
    <w:rPr>
      <w:rFonts w:ascii="Times New Roman" w:hAnsi="Times New Roman" w:cs="Times New Roman" w:eastAsia="Times New Roman"/>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hAnsi="Times New Roman" w:cs="Times New Roman" w:eastAsia="Times New Roman"/>
      <w:b/>
    </w:rPr>
  </w:style>
  <w:style w:customStyle="1" w:styleId="Definition" w:type="paragraph">
    <w:name w:val="Definition"/>
    <w:basedOn w:val="Normal"/>
    <w:rPr>
      <w:rFonts w:ascii="Times New Roman" w:hAnsi="Times New Roman" w:cs="Times New Roman" w:eastAsia="Times New Roman"/>
    </w:rPr>
  </w:style>
  <w:style w:styleId="Caption" w:type="paragraph">
    <w:name w:val="Caption"/>
    <w:basedOn w:val="Normal"/>
    <w:link w:val="BodyTextChar"/>
    <w:pPr>
      <w:spacing w:after="120" w:before="0"/>
    </w:pPr>
    <w:rPr>
      <w:rFonts w:ascii="Times New Roman" w:hAnsi="Times New Roman" w:cs="Times New Roman" w:eastAsia="Times New Roman"/>
      <w:i/>
    </w:rPr>
  </w:style>
  <w:style w:customStyle="1" w:styleId="TableCaption" w:type="paragraph">
    <w:name w:val="Table Caption"/>
    <w:basedOn w:val="Caption"/>
    <w:pPr>
      <w:keepNext/>
    </w:pPr>
    <w:rPr>
      <w:rFonts w:ascii="Times New Roman" w:hAnsi="Times New Roman" w:cs="Times New Roman" w:eastAsia="Times New Roman"/>
    </w:rPr>
  </w:style>
  <w:style w:customStyle="1" w:styleId="ImageCaption" w:type="paragraph">
    <w:name w:val="Image Caption"/>
    <w:basedOn w:val="Caption"/>
    <w:rPr>
      <w:rFonts w:ascii="Times New Roman" w:hAnsi="Times New Roman" w:cs="Times New Roman" w:eastAsia="Times New Roman"/>
    </w:rPr>
  </w:style>
  <w:style w:customStyle="1" w:styleId="Figure" w:type="paragraph">
    <w:name w:val="Figure"/>
    <w:basedOn w:val="Normal"/>
    <w:rPr>
      <w:rFonts w:ascii="Times New Roman" w:hAnsi="Times New Roman" w:cs="Times New Roman" w:eastAsia="Times New Roman"/>
    </w:rPr>
  </w:style>
  <w:style w:customStyle="1" w:styleId="CaptionedFigure" w:type="paragraph">
    <w:name w:val="Captioned Figure"/>
    <w:basedOn w:val="Figure"/>
    <w:pPr>
      <w:keepNext/>
    </w:pPr>
    <w:rPr>
      <w:rFonts w:ascii="Times New Roman" w:hAnsi="Times New Roman" w:cs="Times New Roman" w:eastAsia="Times New Roman"/>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hAnsi="Times New Roman" w:cs="Times New Roman" w:eastAsia="Times New Roman"/>
      <w:b w:val="0"/>
      <w:bCs w:val="0"/>
    </w:rPr>
  </w:style>
  <w:style w:type="paragraph" w:customStyle="1" w:styleId="SourceCode">
    <w:name w:val="Source Code"/>
    <w:basedOn w:val="Normal"/>
    <w:link w:val="VerbatimChar"/>
    <w:pPr>
      <w:wordWrap w:val="off"/>
    </w:pPr>
    <w:rPr>
      <w:rFonts w:ascii="Times New Roman" w:hAnsi="Times New Roman" w:cs="Times New Roman" w:eastAsia="Times New Roman"/>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2026-10-22T04:00:41Z</dcterms:created>
  <dcterms:modified xsi:type="dcterms:W3CDTF">2026-10-22T04:00:41Z</dcterms:modified>
</cp:coreProperties>
</file>

<file path=docProps/custom.xml><?xml version="1.0" encoding="utf-8"?>
<Properties xmlns="http://schemas.openxmlformats.org/officeDocument/2006/custom-properties" xmlns:vt="http://schemas.openxmlformats.org/officeDocument/2006/docPropsVTypes"/>
</file>