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pPr>
      <w:r>
        <w:rPr>
          <w:bCs/>
          <w:b/>
        </w:rPr>
        <w:t xml:space="preserve">Closing at the limit: Price limits, overnight gaps, and next-day returns on the Ho Chi Minh Stock Exchange</w:t>
      </w:r>
    </w:p>
    <w:p>
      <w:pPr>
        <w:pStyle w:val="BodyText"/>
        <w:spacing w:line="480" w:lineRule="auto"/>
      </w:pPr>
      <w:r>
        <w:t xml:space="preserve">Short title: Price limit closes and next-day returns in Vietnam</w:t>
      </w:r>
    </w:p>
    <w:p>
      <w:pPr>
        <w:pStyle w:val="BodyText"/>
        <w:spacing w:line="480" w:lineRule="auto"/>
      </w:pPr>
      <w:r>
        <w:t xml:space="preserve">Nguyen Thanh Binh</w:t>
      </w:r>
      <w:r>
        <w:rPr>
          <w:vertAlign w:val="superscript"/>
        </w:rPr>
        <w:t xml:space="preserve">a</w:t>
      </w:r>
      <w:r>
        <w:t xml:space="preserve">, Nguyen Van Trung</w:t>
      </w:r>
      <w:r>
        <w:rPr>
          <w:vertAlign w:val="superscript"/>
        </w:rPr>
        <w:t xml:space="preserve">a,*</w:t>
      </w:r>
      <w:r>
        <w:t xml:space="preserve">, Ha Hong Hanh</w:t>
      </w:r>
      <w:r>
        <w:rPr>
          <w:vertAlign w:val="superscript"/>
        </w:rPr>
        <w:t xml:space="preserve">b</w:t>
      </w:r>
      <w:r>
        <w:t xml:space="preserve">, Nguyen Bach Diep</w:t>
      </w:r>
      <w:r>
        <w:rPr>
          <w:vertAlign w:val="superscript"/>
        </w:rPr>
        <w:t xml:space="preserve">a</w:t>
      </w:r>
    </w:p>
    <w:p>
      <w:pPr>
        <w:pStyle w:val="BodyText"/>
        <w:spacing w:line="480" w:lineRule="auto"/>
      </w:pPr>
      <w:r>
        <w:rPr>
          <w:vertAlign w:val="superscript"/>
        </w:rPr>
        <w:t xml:space="preserve">a</w:t>
      </w:r>
      <w:r>
        <w:t xml:space="preserve"> </w:t>
      </w:r>
      <w:r>
        <w:t xml:space="preserve">Academy of Policy and Development, Nam An Khanh Urban Area, Hoai Duc District, Hanoi, Vietnam</w:t>
      </w:r>
    </w:p>
    <w:p>
      <w:pPr>
        <w:pStyle w:val="BodyText"/>
        <w:spacing w:line="480" w:lineRule="auto"/>
      </w:pPr>
      <w:r>
        <w:rPr>
          <w:vertAlign w:val="superscript"/>
        </w:rPr>
        <w:t xml:space="preserve">b</w:t>
      </w:r>
      <w:r>
        <w:t xml:space="preserve"> </w:t>
      </w:r>
      <w:r>
        <w:t xml:space="preserve">School of Accounting and Auditing, National Economics University, Hanoi, Vietnam</w:t>
      </w:r>
    </w:p>
    <w:p>
      <w:pPr>
        <w:pStyle w:val="BodyText"/>
        <w:spacing w:line="480" w:lineRule="auto"/>
      </w:pPr>
      <w:r>
        <w:t xml:space="preserve">* Corresponding author: Nguyen Van Trung, Academy of Policy and Development, Nam An Khanh Urban Area, Hoai Duc District, Hanoi, Vietnam. Email:</w:t>
      </w:r>
      <w:r>
        <w:t xml:space="preserve"> </w:t>
      </w:r>
      <w:hyperlink r:id="rId20">
        <w:r>
          <w:rPr>
            <w:rStyle w:val="Hyperlink"/>
          </w:rPr>
          <w:t xml:space="preserve">kontrungcany@gmail.com</w:t>
        </w:r>
      </w:hyperlink>
      <w:r>
        <w:t xml:space="preserve">. Tel: +84 355 347 831.</w:t>
      </w:r>
    </w:p>
    <w:p>
      <w:pPr>
        <w:pStyle w:val="BodyText"/>
        <w:spacing w:line="480" w:lineRule="auto"/>
      </w:pPr>
      <w:r>
        <w:rPr>
          <w:bCs/>
          <w:b/>
        </w:rPr>
        <w:t xml:space="preserve">Author details</w:t>
      </w:r>
    </w:p>
    <w:p>
      <w:pPr>
        <w:pStyle w:val="BodyText"/>
        <w:spacing w:line="480" w:lineRule="auto"/>
      </w:pPr>
      <w:r>
        <w:t xml:space="preserve">Nguyen Thanh Binh:</w:t>
      </w:r>
      <w:r>
        <w:t xml:space="preserve"> </w:t>
      </w:r>
      <w:hyperlink r:id="rId21">
        <w:r>
          <w:rPr>
            <w:rStyle w:val="Hyperlink"/>
          </w:rPr>
          <w:t xml:space="preserve">nguyenthanhbinhapd@apd.edu.vn</w:t>
        </w:r>
      </w:hyperlink>
      <w:r>
        <w:t xml:space="preserve">; ORCID 0009-0007-0042-2835</w:t>
      </w:r>
    </w:p>
    <w:p>
      <w:pPr>
        <w:pStyle w:val="BodyText"/>
        <w:spacing w:line="480" w:lineRule="auto"/>
      </w:pPr>
      <w:r>
        <w:t xml:space="preserve">Nguyen Van Trung:</w:t>
      </w:r>
      <w:r>
        <w:t xml:space="preserve"> </w:t>
      </w:r>
      <w:hyperlink r:id="rId20">
        <w:r>
          <w:rPr>
            <w:rStyle w:val="Hyperlink"/>
          </w:rPr>
          <w:t xml:space="preserve">kontrungcany@gmail.com</w:t>
        </w:r>
      </w:hyperlink>
      <w:r>
        <w:t xml:space="preserve">; ORCID 0009-0008-3307-6569</w:t>
      </w:r>
    </w:p>
    <w:p>
      <w:pPr>
        <w:pStyle w:val="BodyText"/>
        <w:spacing w:line="480" w:lineRule="auto"/>
      </w:pPr>
      <w:r>
        <w:t xml:space="preserve">Ha Hong Hanh:</w:t>
      </w:r>
      <w:r>
        <w:t xml:space="preserve"> </w:t>
      </w:r>
      <w:hyperlink r:id="rId22">
        <w:r>
          <w:rPr>
            <w:rStyle w:val="Hyperlink"/>
          </w:rPr>
          <w:t xml:space="preserve">hanhhh@neu.edu.vn</w:t>
        </w:r>
      </w:hyperlink>
      <w:r>
        <w:t xml:space="preserve">; ORCID 0000-0003-3581-6571</w:t>
      </w:r>
    </w:p>
    <w:p>
      <w:pPr>
        <w:pStyle w:val="BodyText"/>
        <w:spacing w:line="480" w:lineRule="auto"/>
      </w:pPr>
      <w:r>
        <w:t xml:space="preserve">Nguyen Bach Diep:</w:t>
      </w:r>
      <w:r>
        <w:t xml:space="preserve"> </w:t>
      </w:r>
      <w:hyperlink r:id="rId23">
        <w:r>
          <w:rPr>
            <w:rStyle w:val="Hyperlink"/>
          </w:rPr>
          <w:t xml:space="preserve">diepnb@apd.edu.vn</w:t>
        </w:r>
      </w:hyperlink>
      <w:r>
        <w:t xml:space="preserve">; ORCID 0009-0003-0967-7528</w:t>
      </w:r>
    </w:p>
    <w:p>
      <w:pPr>
        <w:spacing w:line="480" w:lineRule="auto"/>
      </w:pPr>
      <w:r>
        <w:br w:type="page"/>
      </w:r>
    </w:p>
    <w:bookmarkStart w:id="24" w:name="abstract"/>
    <w:p>
      <w:pPr>
        <w:pStyle w:val="Heading1"/>
        <w:keepNext/>
        <w:spacing w:line="480" w:lineRule="auto"/>
      </w:pPr>
      <w:r>
        <w:t xml:space="preserve">Abstract</w:t>
      </w:r>
    </w:p>
    <w:p>
      <w:pPr>
        <w:pStyle w:val="FirstParagraph"/>
        <w:spacing w:line="480" w:lineRule="auto"/>
      </w:pPr>
      <w:r>
        <w:t xml:space="preserve">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All four limit tests survived; none of the 22 lower-powered characteristic tests survived. After a ceiling close, the next-day abnormal return of 1.7% is an overnight gap of 2.2% less an intraday reversal of 0.5%, and the gap exceeds that after rises of 5% to 6.5% by 2.7 percentage points. A buyer at the next opening loses 0.7% against the market by the fifth closing. The pattern is consistent with delayed price discovery, but also with news, attention, and opening-auction overshooting; without news or order-book data, we cannot separate them.</w:t>
      </w:r>
    </w:p>
    <w:bookmarkEnd w:id="24"/>
    <w:bookmarkStart w:id="26" w:name="introduction"/>
    <w:p>
      <w:pPr>
        <w:pStyle w:val="Heading1"/>
        <w:keepNext/>
        <w:spacing w:line="480" w:lineRule="auto"/>
      </w:pPr>
      <w:r>
        <w:t xml:space="preserve">Introduction</w:t>
      </w:r>
    </w:p>
    <w:p>
      <w:pPr>
        <w:pStyle w:val="FirstParagraph"/>
        <w:spacing w:line="480" w:lineRule="auto"/>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see Materials and methods) and about 1.4% at the lower limit (a floor close).</w:t>
      </w:r>
    </w:p>
    <w:p>
      <w:pPr>
        <w:pStyle w:val="BodyText"/>
        <w:spacing w:line="480" w:lineRule="auto"/>
      </w:pPr>
      <w:r>
        <w:t xml:space="preserve">Studies on band changes document the effects on volatility, liquidity, and crash risk [1–3], and account-level data show that large investors buy on the limit day and sell on the next [4]. Among the studies identified by the search described in S1 Appendix, only Huang et al. [5]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spacing w:line="480" w:lineRule="auto"/>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[6,7].</w:t>
      </w:r>
    </w:p>
    <w:p>
      <w:pPr>
        <w:pStyle w:val="BodyText"/>
        <w:spacing w:line="480" w:lineRule="auto"/>
      </w:pPr>
      <w:r>
        <w:t xml:space="preserve">We make three contributions. First, we measure the overnight gap and the intraday return after limit closes, a pattern that Huang et al. [5]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spacing w:line="480" w:lineRule="auto"/>
      </w:pPr>
      <w:r>
        <w:t xml:space="preserve">The rest of the Introduction reviews the literature and states the hypotheses. Materials and methods describes the data and the design, Results reports the estimates, Discussion interprets them and lists the limitations, and Conclusions summarizes.</w:t>
      </w:r>
    </w:p>
    <w:bookmarkStart w:id="25" w:name="related-literature-and-hypotheses"/>
    <w:p>
      <w:pPr>
        <w:pStyle w:val="Heading2"/>
        <w:keepNext/>
        <w:spacing w:line="480" w:lineRule="auto"/>
      </w:pPr>
      <w:r>
        <w:t xml:space="preserve">Related literature and hypotheses</w:t>
      </w:r>
    </w:p>
    <w:p>
      <w:pPr>
        <w:pStyle w:val="FirstParagraph"/>
        <w:spacing w:line="480" w:lineRule="auto"/>
      </w:pPr>
      <w:r>
        <w:rPr>
          <w:bCs/>
          <w:b/>
        </w:rPr>
        <w:t xml:space="preserve">Theory.</w:t>
      </w:r>
      <w:r>
        <w:t xml:space="preserve"> </w:t>
      </w:r>
      <w:r>
        <w:t xml:space="preserve">Models predict protection or distortion, depending on the source of the shock. Brennan [8] rationalizes limits in futures markets, Kodres and O’Brien [9] show that well-chosen limits can be Pareto superior when fundamental news drives prices because they partly insure traders against implementation risk, and Greenwald and Stein [10] link crashes to imperfect transactional mechanisms. Subrahmanyam [11] shows that halts can advance trades in time and raise price variability, and in the model of Chen et al. [12], volatility rises as the price nears a circuit breaker, a magnet effect. A limit that only delays adjustment leaves a predictable next-day continuation, which the return after a limit close can reveal.</w:t>
      </w:r>
    </w:p>
    <w:p>
      <w:pPr>
        <w:pStyle w:val="BodyText"/>
        <w:spacing w:line="480" w:lineRule="auto"/>
      </w:pPr>
      <w:r>
        <w:rPr>
          <w:bCs/>
          <w:b/>
        </w:rPr>
        <w:t xml:space="preserve">Classic evidence.</w:t>
      </w:r>
      <w:r>
        <w:t xml:space="preserve"> </w:t>
      </w:r>
      <w:r>
        <w:t xml:space="preserve">Kim and Rhee [13] find support in Tokyo for three criticisms of limits: they spill volatility into later days, delay price discovery, and interfere with trading. Bildik and Gülay [14] find the same in Istanbul, with stronger evidence from price locks than from limit moves alone. Chen [15] finds that serial correlation falls as the Taiwanese limit widens, which implies delayed adjustment under the narrower limit. Berkman and Lee [16] examine volatility and trading activity around a revision of the Korean limit system. Huang et al. [5] report for Taiwan that the overnight overreaction after limit hits reverses during the following day, the timing pattern we test. Cho et al. [17] find a magnet effect: prices accelerate toward the upper limit in five-minute Taiwanese datasets. Kim and Limpaphayom [18] show that small, volatile, high-volume stocks hit limits more often, whereas Deb et al. [19] argue that rigid limits in Tokyo can disrupt price discovery and liquidity provision.</w:t>
      </w:r>
    </w:p>
    <w:p>
      <w:pPr>
        <w:pStyle w:val="BodyText"/>
        <w:spacing w:line="480" w:lineRule="auto"/>
      </w:pPr>
      <w:r>
        <w:rPr>
          <w:bCs/>
          <w:b/>
        </w:rPr>
        <w:t xml:space="preserve">Band changes and investor-level data.</w:t>
      </w:r>
      <w:r>
        <w:t xml:space="preserve"> </w:t>
      </w:r>
      <w:r>
        <w:t xml:space="preserve">After ChiNext widened its band from 10% to 20% in August 2020, Qi [3] confirms delayed price discovery, volatility spillover, and trading interference, stronger at the lower limit and with no magnet effect; Zhang et al. [20] find higher liquidity, volatility, and probability of informed trading; and Jia et al. [1] find lower crash risk. Wider bands raised spreads and intraday volatility but improved execution quality in Taiwan [2] and raised intraday realized variance in Korea [21]. In Shenzhen account data, large investors buy on the day a stock hits the 10% upper limit and sell the next day, and their limit-day net buying predicts stronger long-run reversal [4]. Stocks with large limit exposure attract attention and earn lower future returns, most where retail investors hold many shares [22], and stocks with frequent upper-limit hits also earn lower future returns [23]. Liang and Hu [24] forecast limit hits; the record we could access reports no returns after the hit.</w:t>
      </w:r>
    </w:p>
    <w:p>
      <w:pPr>
        <w:pStyle w:val="BodyText"/>
        <w:spacing w:line="480" w:lineRule="auto"/>
      </w:pPr>
      <w:r>
        <w:rPr>
          <w:bCs/>
          <w:b/>
        </w:rPr>
        <w:t xml:space="preserve">Overnight and intraday returns.</w:t>
      </w:r>
      <w:r>
        <w:t xml:space="preserve"> </w:t>
      </w:r>
      <w:r>
        <w:t xml:space="preserve">Kelly and Clark [25] show for index funds that overnight and intraday returns differ. In U.S. stocks, positive overnight returns are followed by intraday reversals, concentrated among stocks with recent retail attention [26]. Aboody et al. [27] tie overnight persistence to sentiment, Lou et al. [28] find overnight and intraday continuation with an offsetting cross-period reversal, Akbas et al. [29] find that persistent positive-overnight, negative-daytime patterns predict higher returns, Bogousslavsky [30] links the split to margin and lending costs, and Lu et al. [31] link it to market makers who absorb retail imbalances near the open. In China, overnight returns are negative on average, which Qiao and Dam [32] link to the T+1 rule that bars selling shares on the day of purchase; the lottery-like anomaly arises mainly overnight [33]; day-night anomalies concentrate at the open and close [34]; and small retail investors show weak stock selection [35].</w:t>
      </w:r>
    </w:p>
    <w:p>
      <w:pPr>
        <w:pStyle w:val="BodyText"/>
        <w:spacing w:line="480" w:lineRule="auto"/>
      </w:pPr>
      <w:r>
        <w:rPr>
          <w:bCs/>
          <w:b/>
        </w:rPr>
        <w:t xml:space="preserve">Multiple testing and weekly regressions.</w:t>
      </w:r>
      <w:r>
        <w:t xml:space="preserve"> </w:t>
      </w:r>
      <w:r>
        <w:t xml:space="preserve">Harvey et al. [7] argue that a new factor needs a</w:t>
      </w:r>
      <w:r>
        <w:t xml:space="preserve"> </w:t>
      </w:r>
      <w:r>
        <w:rPr>
          <w:iCs/>
          <w:i/>
        </w:rPr>
        <w:t xml:space="preserve">t</w:t>
      </w:r>
      <w:r>
        <w:t xml:space="preserve">-statistic above 3.0, Harvey and Liu [36] tie the hurdle to a chosen FDR, Chordia et al. [37] put multiple-testing thresholds for cross-sectional regressions near 3.4, and Hou et al. [38] find that, with microcaps mitigated, 65% of 452 anomalies fail the single-test hurdle of 1.96. Petersen [39] compares standard-error estimators for panel data, which motivates our alternative clusters, and Gutierrez and Kelley [40] study weekly returns, the frequency of our regressions. For Vietnam, Huang et al. [41] find a size effect and an earnings-to-price effect; our search (S1 Appendix) identified no peer-reviewed study of post-limit returns on HOSE.</w:t>
      </w:r>
    </w:p>
    <w:p>
      <w:pPr>
        <w:pStyle w:val="BodyText"/>
        <w:spacing w:line="480" w:lineRule="auto"/>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[5]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5"/>
    <w:bookmarkEnd w:id="26"/>
    <w:bookmarkStart w:id="30" w:name="materials-and-methods"/>
    <w:p>
      <w:pPr>
        <w:pStyle w:val="Heading1"/>
        <w:keepNext/>
        <w:spacing w:line="480" w:lineRule="auto"/>
      </w:pPr>
      <w:r>
        <w:t xml:space="preserve">Materials and methods</w:t>
      </w:r>
    </w:p>
    <w:bookmarkStart w:id="27" w:name="data-and-institutional-setting"/>
    <w:p>
      <w:pPr>
        <w:pStyle w:val="Heading2"/>
        <w:keepNext/>
        <w:spacing w:line="480" w:lineRule="auto"/>
      </w:pPr>
      <w:r>
        <w:t xml:space="preserve">Data and institutional setting</w:t>
      </w:r>
    </w:p>
    <w:p>
      <w:pPr>
        <w:pStyle w:val="FirstParagraph"/>
        <w:spacing w:line="480" w:lineRule="auto"/>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spacing w:line="480" w:lineRule="auto"/>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spacing w:line="480" w:lineRule="auto"/>
      </w:pPr>
      <w:r>
        <w:rPr>
          <w:bCs/>
          <w:b/>
        </w:rPr>
        <w:t xml:space="preserve">Institutional setting.</w:t>
      </w:r>
      <w:r>
        <w:t xml:space="preserve"> </w:t>
      </w:r>
      <w:r>
        <w:t xml:space="preserve">HOSE sets a daily price limit of 7% around the reference price, the previous close on normal trading days [42]. On 5 May 2025, HOSE moved to the trading platform of the Korea Exchange (KRX). The band stayed unchanged, but at-the-open and at-the-close orders lost their priority over limit orders in the opening and closing call auctions [42,43],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7"/>
    <w:bookmarkStart w:id="29" w:name="research-design"/>
    <w:p>
      <w:pPr>
        <w:pStyle w:val="Heading2"/>
        <w:keepNext/>
        <w:spacing w:line="480" w:lineRule="auto"/>
      </w:pPr>
      <w:r>
        <w:t xml:space="preserve">Research design</w:t>
      </w:r>
    </w:p>
    <w:p>
      <w:pPr>
        <w:pStyle w:val="FirstParagraph"/>
        <w:spacing w:line="480" w:lineRule="auto"/>
      </w:pPr>
      <w:r>
        <w:rPr>
          <w:bCs/>
          <w:b/>
        </w:rPr>
        <w:t xml:space="preserve">Returns and events.</w:t>
      </w:r>
      <w:r>
        <w:t xml:space="preserve"> </w:t>
      </w: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O</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w:t>
      </w:r>
      <w:r>
        <w:t xml:space="preserve">are the close, open, high, and low prices, and the close-to-close return is</w:t>
      </w:r>
    </w:p>
    <w:p>
      <w:pPr>
        <w:pStyle w:val="BodyText"/>
        <w:spacing w:line="480" w:lineRule="auto"/>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spacing w:line="480" w:lineRule="auto"/>
      </w:pPr>
      <w:r>
        <w:t xml:space="preserve">A ceiling event has a return (Equation (1)) of</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 a floor event has</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The event window runs from day 61, once a 60-day volume history exists, to five days before the sample end. The market return weights stocks by dollar volume,</w:t>
      </w:r>
    </w:p>
    <w:p>
      <w:pPr>
        <w:pStyle w:val="BodyText"/>
        <w:spacing w:line="480" w:lineRule="auto"/>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spacing w:line="480" w:lineRule="auto"/>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w:t>
      </w:r>
      <w:r>
        <w:rPr>
          <w:vertAlign w:val="subscript"/>
        </w:rPr>
        <w:t xml:space="preserve">,</w:t>
      </w:r>
      <w:r>
        <w:rPr>
          <w:iCs/>
          <w:i/>
          <w:vertAlign w:val="subscript"/>
        </w:rPr>
        <w:t xml:space="preserve">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w:t>
      </w:r>
    </w:p>
    <w:p>
      <w:pPr>
        <w:pStyle w:val="BodyText"/>
        <w:spacing w:line="480" w:lineRule="auto"/>
      </w:pPr>
      <w:r>
        <w:rPr>
          <w:bCs/>
          <w:b/>
        </w:rPr>
        <w:t xml:space="preserve">Exact hits.</w:t>
      </w:r>
      <w:r>
        <w:t xml:space="preserve"> </w:t>
      </w:r>
      <w:r>
        <w:t xml:space="preserve">An exact hit is an event whose close equals the limit price (within 10</w:t>
      </w:r>
      <w:r>
        <w:rPr>
          <w:vertAlign w:val="superscript"/>
        </w:rPr>
        <w:t xml:space="preserve">−6</w:t>
      </w:r>
      <w:r>
        <w:t xml:space="preserve"> </w:t>
      </w:r>
      <w:r>
        <w:t xml:space="preserve">thousand dong),</w:t>
      </w:r>
    </w:p>
    <w:p>
      <w:pPr>
        <w:pStyle w:val="BodyText"/>
        <w:spacing w:line="480" w:lineRule="auto"/>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spacing w:line="480" w:lineRule="auto"/>
      </w:pPr>
      <w:r>
        <w:t xml:space="preserve">where ⌊ · ⌋ and ⌈ ·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below 10, from 10 to below 50, and from 50 upward. Other events are near hits (see Limitations on vendor price adjustment).</w:t>
      </w:r>
    </w:p>
    <w:p>
      <w:pPr>
        <w:pStyle w:val="BodyText"/>
        <w:spacing w:line="480" w:lineRule="auto"/>
      </w:pPr>
      <w:r>
        <w:rPr>
          <w:bCs/>
          <w:b/>
        </w:rPr>
        <w:t xml:space="preserve">Outcomes.</w:t>
      </w:r>
      <w:r>
        <w:t xml:space="preserve"> </w:t>
      </w:r>
      <w:r>
        <w:t xml:space="preserve">The abnormal return (AR) on day</w:t>
      </w:r>
      <w:r>
        <w:t xml:space="preserve"> </w:t>
      </w:r>
      <w:r>
        <w:rPr>
          <w:iCs/>
          <w:i/>
        </w:rPr>
        <w:t xml:space="preserve">d</w:t>
      </w:r>
      <w:r>
        <w:t xml:space="preserve"> </w:t>
      </w:r>
      <w:r>
        <w:t xml:space="preserve">+ 1 and the cumulative abnormal return (CAR) over days</w:t>
      </w:r>
      <w:r>
        <w:t xml:space="preserve"> </w:t>
      </w:r>
      <w:r>
        <w:rPr>
          <w:iCs/>
          <w:i/>
        </w:rPr>
        <w:t xml:space="preserve">d</w:t>
      </w:r>
      <w:r>
        <w:t xml:space="preserve"> </w:t>
      </w:r>
      <w:r>
        <w:t xml:space="preserve">+ 1 to</w:t>
      </w:r>
      <w:r>
        <w:t xml:space="preserve"> </w:t>
      </w:r>
      <w:r>
        <w:rPr>
          <w:iCs/>
          <w:i/>
        </w:rPr>
        <w:t xml:space="preserve">d</w:t>
      </w:r>
      <w:r>
        <w:t xml:space="preserve"> </w:t>
      </w:r>
      <w:r>
        <w:t xml:space="preserve">+ 5 are</w:t>
      </w:r>
    </w:p>
    <w:p>
      <w:pPr>
        <w:pStyle w:val="BodyText"/>
        <w:spacing w:line="480" w:lineRule="auto"/>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spacing w:line="480" w:lineRule="auto"/>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 </w:t>
      </w:r>
      <w:r>
        <w:t xml:space="preserve">+</w:t>
      </w:r>
      <w:r>
        <w:t xml:space="preserve"> </w:t>
      </w:r>
      <w:r>
        <w:rPr>
          <w:iCs/>
          <w:i/>
        </w:rPr>
        <w:t xml:space="preserve">k</w:t>
      </w:r>
      <w:r>
        <w:t xml:space="preserve"> </w:t>
      </w:r>
      <w:r>
        <w:t xml:space="preserve">(Table 1). The day-</w:t>
      </w:r>
      <w:r>
        <w:rPr>
          <w:iCs/>
          <w:i/>
        </w:rPr>
        <w:t xml:space="preserve">d</w:t>
      </w:r>
      <w:r>
        <w:t xml:space="preserve"> </w:t>
      </w:r>
      <w:r>
        <w:t xml:space="preserve">+ 1 return splits into the overnight gap and the intraday return,</w:t>
      </w:r>
    </w:p>
    <w:p>
      <w:pPr>
        <w:pStyle w:val="BodyText"/>
        <w:spacing w:line="480" w:lineRule="auto"/>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spacing w:line="480" w:lineRule="auto"/>
      </w:pPr>
      <w:r>
        <w:t xml:space="preserve">and abnormal values subtract the market counterpart of each component, the same-interval return across stocks weighted with</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known at the event close. A buyer at the next open earns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w:t>
      </w:r>
      <w:r>
        <w:t xml:space="preserve">(</w:t>
      </w:r>
      <w:r>
        <w:rPr>
          <w:iCs/>
          <w:i/>
        </w:rPr>
        <w:t xml:space="preserve">C</w:t>
      </w:r>
      <w:r>
        <w:rPr>
          <w:iCs/>
          <w:i/>
          <w:vertAlign w:val="subscript"/>
        </w:rPr>
        <w:t xml:space="preserve">j</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j</w:t>
      </w:r>
      <w:r>
        <w:rPr>
          <w:vertAlign w:val="subscript"/>
        </w:rPr>
        <w:t xml:space="preserve">,</w:t>
      </w:r>
      <w:r>
        <w:rPr>
          <w:iCs/>
          <w:i/>
          <w:vertAlign w:val="subscript"/>
        </w:rPr>
        <w:t xml:space="preserve">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w:t>
      </w:r>
      <w:r>
        <w:rPr>
          <w:vertAlign w:val="subscript"/>
        </w:rPr>
        <w:t xml:space="preserve">,</w:t>
      </w:r>
      <w:r>
        <w:rPr>
          <w:iCs/>
          <w:i/>
          <w:vertAlign w:val="subscript"/>
        </w:rPr>
        <w:t xml:space="preserve">d</w:t>
      </w:r>
      <w:r>
        <w:t xml:space="preserve"> </w:t>
      </w:r>
      <w:r>
        <w:t xml:space="preserve">on that date; dates with fewer than 30 control stocks have no benchmark.</w:t>
      </w:r>
    </w:p>
    <w:p>
      <w:pPr>
        <w:pStyle w:val="BodyText"/>
        <w:spacing w:line="480" w:lineRule="auto"/>
      </w:pPr>
      <w:r>
        <w:rPr>
          <w:bCs/>
          <w:b/>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(see Limitations).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spacing w:line="480" w:lineRule="auto"/>
      </w:pPr>
      <w:r>
        <w:rPr>
          <w:bCs/>
          <w:b/>
        </w:rPr>
        <w:t xml:space="preserve">Inference.</w:t>
      </w:r>
      <w:r>
        <w:t xml:space="preserve"> </w:t>
      </w: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ȳ</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p>
      <w:pPr>
        <w:pStyle w:val="BodyText"/>
        <w:spacing w:line="480" w:lineRule="auto"/>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spacing w:line="480" w:lineRule="auto"/>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Two-way clustering by date and stock follows Cameron et al. [44],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 All tests are two-sided, and the significance level is 5% unless stated otherwise.</w:t>
      </w:r>
    </w:p>
    <w:p>
      <w:pPr>
        <w:pStyle w:val="BodyText"/>
        <w:spacing w:line="480" w:lineRule="auto"/>
      </w:pPr>
      <w:r>
        <w:rPr>
          <w:bCs/>
          <w:b/>
        </w:rPr>
        <w:t xml:space="preserve">Characteristics.</w:t>
      </w:r>
      <w:r>
        <w:t xml:space="preserve"> </w:t>
      </w: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 and MacBeth [45] regressions are</w:t>
      </w:r>
    </w:p>
    <w:p>
      <w:pPr>
        <w:pStyle w:val="BodyText"/>
        <w:spacing w:line="480" w:lineRule="auto"/>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spacing w:line="480" w:lineRule="auto"/>
      </w:pPr>
      <w:r>
        <w:t xml:space="preserve">with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 and West [46] standard errors (four lags, Bartlett weights, no prewhitening) and 78 degrees of freedom. S1 Appendix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 MDE = (1.96 + 0.84) ŜE(γ̂) ≈ 2.8 ŜE(γ̂), with ŜE the Newey–West standard error.</w:t>
      </w:r>
    </w:p>
    <w:p>
      <w:pPr>
        <w:pStyle w:val="BodyText"/>
        <w:spacing w:line="480" w:lineRule="auto"/>
      </w:pPr>
      <w:r>
        <w:rPr>
          <w:bCs/>
          <w:b/>
        </w:rPr>
        <w:t xml:space="preserve">Multiplicity and survival.</w:t>
      </w:r>
      <w:r>
        <w:t xml:space="preserve"> </w:t>
      </w:r>
      <w:r>
        <w:t xml:space="preserve">The family has</w:t>
      </w:r>
      <w:r>
        <w:t xml:space="preserve"> </w:t>
      </w:r>
      <w:r>
        <w:rPr>
          <w:iCs/>
          <w:i/>
        </w:rPr>
        <w:t xml:space="preserve">m</w:t>
      </w:r>
      <w:r>
        <w:t xml:space="preserve"> </w:t>
      </w:r>
      <w:r>
        <w:t xml:space="preserve">= 26 tests: 22 characteristics and the ceiling and floor tests at the two horizons of Equation (4). With</w:t>
      </w:r>
      <w:r>
        <w:t xml:space="preserve"> </w:t>
      </w:r>
      <w:r>
        <w:rPr>
          <w:iCs/>
          <w:i/>
        </w:rPr>
        <w:t xml:space="preserve">p</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Benjamini–Hochberg (BH) adjusted</w:t>
      </w:r>
      <w:r>
        <w:t xml:space="preserve"> </w:t>
      </w:r>
      <w:r>
        <w:rPr>
          <w:iCs/>
          <w:i/>
        </w:rPr>
        <w:t xml:space="preserve">p</w:t>
      </w:r>
      <w:r>
        <w:t xml:space="preserve">-value at rank</w:t>
      </w:r>
      <w:r>
        <w:t xml:space="preserve"> </w:t>
      </w:r>
      <w:r>
        <w:rPr>
          <w:iCs/>
          <w:i/>
        </w:rPr>
        <w:t xml:space="preserve">r</w:t>
      </w:r>
      <w:r>
        <w:t xml:space="preserve"> </w:t>
      </w:r>
      <w:r>
        <w:t xml:space="preserve">is</w:t>
      </w:r>
    </w:p>
    <w:p>
      <w:pPr>
        <w:pStyle w:val="BodyText"/>
        <w:spacing w:line="480" w:lineRule="auto"/>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spacing w:line="480" w:lineRule="auto"/>
      </w:pPr>
      <w:r>
        <w:t xml:space="preserve">and we also report Holm [47] adjustments and the |</w:t>
      </w:r>
      <w:r>
        <w:rPr>
          <w:iCs/>
          <w:i/>
        </w:rPr>
        <w:t xml:space="preserve">t</w:t>
      </w:r>
      <w:r>
        <w:t xml:space="preserve">| = 3 hurdle of Harvey et al. [7]. A test survives if</w:t>
      </w:r>
      <w:r>
        <w:t xml:space="preserve"> </w:t>
      </w:r>
      <w:r>
        <w:rPr>
          <w:iCs/>
          <w:i/>
        </w:rPr>
        <w:t xml:space="preserve">p̃</w:t>
      </w:r>
      <w:r>
        <w:t xml:space="preserve"> </w:t>
      </w:r>
      <w:r>
        <w:t xml:space="preserve">&lt; 0.05,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Results reports the event tests under alternative family definitions.</w:t>
      </w:r>
    </w:p>
    <w:p>
      <w:pPr>
        <w:pStyle w:val="BodyText"/>
        <w:spacing w:line="480" w:lineRule="auto"/>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pPr>
        <w:pStyle w:val="BodyText"/>
        <w:spacing w:line="480" w:lineRule="auto"/>
      </w:pPr>
      <w:r>
        <w:rPr>
          <w:bCs/>
          <w:b/>
        </w:rPr>
        <w:t xml:space="preserve">Software and code.</w:t>
      </w:r>
      <w:r>
        <w:t xml:space="preserve"> </w:t>
      </w:r>
      <w:r>
        <w:t xml:space="preserve">All computations use R version 4.3.3 with the packages sandwich 3.1.0 (cluster-robust covariance), lmtest 0.9.40, ggplot2 3.4.4 (figures), knitr 1.45, and rmarkdown 2.25. Prices were downloaded with the vnstock Python library 4.0.4. One script (</w:t>
      </w:r>
      <w:r>
        <w:rPr>
          <w:rStyle w:val="VerbatimChar"/>
        </w:rPr>
        <w:t xml:space="preserve">paper2/R/run_all.R</w:t>
      </w:r>
      <w:r>
        <w:t xml:space="preserve">) reproduces every number, table, and figure with fixed seeds; the code and the output tables are in the public repository</w:t>
      </w:r>
      <w:r>
        <w:t xml:space="preserve"> </w:t>
      </w:r>
      <w:hyperlink r:id="rId28">
        <w:r>
          <w:rPr>
            <w:rStyle w:val="Hyperlink"/>
          </w:rPr>
          <w:t xml:space="preserve">https://github.com/trungcandygit/black_litterman_2</w:t>
        </w:r>
      </w:hyperlink>
      <w:r>
        <w:t xml:space="preserve"> </w:t>
      </w:r>
      <w:r>
        <w:t xml:space="preserve">(folder</w:t>
      </w:r>
      <w:r>
        <w:t xml:space="preserve"> </w:t>
      </w:r>
      <w:r>
        <w:rPr>
          <w:rStyle w:val="VerbatimChar"/>
        </w:rPr>
        <w:t xml:space="preserve">paper2/</w:t>
      </w:r>
      <w:r>
        <w:t xml:space="preserve">), and the output tables are also provided as S1 File.</w:t>
      </w:r>
    </w:p>
    <w:bookmarkEnd w:id="29"/>
    <w:bookmarkEnd w:id="30"/>
    <w:bookmarkStart w:id="31" w:name="results"/>
    <w:p>
      <w:pPr>
        <w:pStyle w:val="Heading1"/>
        <w:keepNext/>
        <w:spacing w:line="480" w:lineRule="auto"/>
      </w:pPr>
      <w:r>
        <w:t xml:space="preserve">Results</w:t>
      </w:r>
    </w:p>
    <w:p>
      <w:pPr>
        <w:pStyle w:val="FirstParagraph"/>
        <w:spacing w:line="480" w:lineRule="auto"/>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spacing w:line="480" w:lineRule="auto"/>
      </w:pPr>
      <w:r>
        <w:t xml:space="preserve">Fig 1 plots the</w:t>
      </w:r>
      <w:r>
        <w:t xml:space="preserve"> </w:t>
      </w:r>
      <w:r>
        <w:rPr>
          <w:iCs/>
          <w:i/>
        </w:rPr>
        <w:t xml:space="preserve">t</w:t>
      </w:r>
      <w:r>
        <w:t xml:space="preserve">-statistics of the 22 slopes γ̂ 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spacing w:line="480" w:lineRule="auto"/>
      </w:pPr>
      <w:r>
        <w:rPr>
          <w:bCs/>
          <w:b/>
        </w:rPr>
        <w:t xml:space="preserve">Fig 1.</w:t>
      </w:r>
      <w:r>
        <w:rPr>
          <w:bCs/>
          <w:b/>
        </w:rPr>
        <w:t xml:space="preserve"> </w:t>
      </w:r>
      <w:r>
        <w:rPr>
          <w:iCs/>
          <w:i/>
          <w:bCs/>
          <w:b/>
        </w:rPr>
        <w:t xml:space="preserve">t</w:t>
      </w:r>
      <w:r>
        <w:rPr>
          <w:bCs/>
          <w:b/>
        </w:rPr>
        <w:t xml:space="preserve">-statistics of the Fama and MacBeth regressions for the 22 characteristics.</w:t>
      </w:r>
      <w:r>
        <w:t xml:space="preserve"> </w:t>
      </w:r>
      <w:r>
        <w:t xml:space="preserve">Estimates for the full sample, the discovery half (first 39 weeks), and the confirmation half, ordered by absolute full-sample</w:t>
      </w:r>
      <w:r>
        <w:t xml:space="preserve"> </w:t>
      </w:r>
      <w:r>
        <w:rPr>
          <w:iCs/>
          <w:i/>
        </w:rPr>
        <w:t xml:space="preserve">t</w:t>
      </w:r>
      <w:r>
        <w:t xml:space="preserve">. S1 Appendix defines the labels. Dashed lines mark |</w:t>
      </w:r>
      <w:r>
        <w:rPr>
          <w:iCs/>
          <w:i/>
        </w:rPr>
        <w:t xml:space="preserve">t</w:t>
      </w:r>
      <w:r>
        <w:t xml:space="preserve">| = 1.96 and dotted lines |</w:t>
      </w:r>
      <w:r>
        <w:rPr>
          <w:iCs/>
          <w:i/>
        </w:rPr>
        <w:t xml:space="preserve">t</w:t>
      </w:r>
      <w:r>
        <w:t xml:space="preserve">| = 3.</w:t>
      </w:r>
    </w:p>
    <w:p>
      <w:pPr>
        <w:pStyle w:val="BodyText"/>
        <w:spacing w:line="480" w:lineRule="auto"/>
      </w:pPr>
      <w:r>
        <w:t xml:space="preserve">Without market capitalization or accounting data, we cannot test the size and earnings-to-price effects that Huang et al. [41]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BodyText"/>
        <w:spacing w:line="480" w:lineRule="auto"/>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spacing w:line="480" w:lineRule="auto"/>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line="480" w:lineRule="auto"/>
      </w:pPr>
      <w:r>
        <w:rPr>
          <w:bCs/>
          <w:b/>
          <w:sz w:val="24"/>
        </w:rPr>
        <w:t xml:space="preserve">Table 1. Market-adjusted returns (percent) after ceiling and floor closes.</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suppressLineNumbers/>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suppressLineNumbers/>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suppressLineNumbers/>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suppressLineNumbers/>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suppressLineNumbers/>
            </w:pPr>
            <w:r>
              <w:rPr>
                <w:rFonts w:ascii="Times New Roman" w:hAnsi="Times New Roman"/>
                <w:sz w:val="17"/>
              </w:rPr>
              <w:t xml:space="preserve">Ceiling</w:t>
            </w:r>
          </w:p>
        </w:tc>
        <w:tc>
          <w:tcPr>
            <w:tcW w:type="dxa" w:w="1114"/>
          </w:tcPr>
          <w:p>
            <w:pPr>
              <w:pStyle w:val="Compact"/>
              <w:keepNex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suppressLineNumbers/>
            </w:pPr>
            <w:r>
              <w:rPr>
                <w:rFonts w:ascii="Times New Roman" w:hAnsi="Times New Roman"/>
                <w:sz w:val="17"/>
              </w:rPr>
              <w:t xml:space="preserve">1.66</w:t>
            </w:r>
          </w:p>
        </w:tc>
        <w:tc>
          <w:tcPr>
            <w:tcW w:type="dxa" w:w="1002"/>
          </w:tcPr>
          <w:p>
            <w:pPr>
              <w:pStyle w:val="Compact"/>
              <w:keepNext/>
              <w:spacing w:after="20" w:before="20" w:line="240" w:lineRule="auto"/>
              <w:jc w:val="center"/>
              <w:suppressLineNumbers/>
            </w:pPr>
            <w:r>
              <w:rPr>
                <w:rFonts w:ascii="Times New Roman" w:hAnsi="Times New Roman"/>
                <w:sz w:val="17"/>
              </w:rPr>
              <w:t xml:space="preserve">4.90</w:t>
            </w:r>
          </w:p>
        </w:tc>
        <w:tc>
          <w:tcPr>
            <w:tcW w:type="dxa" w:w="1002"/>
          </w:tcPr>
          <w:p>
            <w:pPr>
              <w:pStyle w:val="Compact"/>
              <w:keepNext/>
              <w:spacing w:after="20" w:before="20" w:line="240" w:lineRule="auto"/>
              <w:jc w:val="center"/>
              <w:suppressLineNumbers/>
            </w:pPr>
            <w:r>
              <w:rPr>
                <w:rFonts w:ascii="Times New Roman" w:hAnsi="Times New Roman"/>
                <w:sz w:val="17"/>
              </w:rPr>
              <w:t xml:space="preserve">4.67</w:t>
            </w:r>
          </w:p>
        </w:tc>
        <w:tc>
          <w:tcPr>
            <w:tcW w:type="dxa" w:w="1225"/>
          </w:tcPr>
          <w:p>
            <w:pPr>
              <w:pStyle w:val="Compact"/>
              <w:keepNext/>
              <w:spacing w:after="20" w:before="20" w:line="240" w:lineRule="auto"/>
              <w:jc w:val="center"/>
              <w:suppressLineNumbers/>
            </w:pPr>
            <w:r>
              <w:rPr>
                <w:rFonts w:ascii="Times New Roman" w:hAnsi="Times New Roman"/>
                <w:sz w:val="17"/>
              </w:rPr>
              <w:t xml:space="preserve">4.61</w:t>
            </w:r>
          </w:p>
        </w:tc>
        <w:tc>
          <w:tcPr>
            <w:tcW w:type="dxa" w:w="1225"/>
          </w:tcPr>
          <w:p>
            <w:pPr>
              <w:pStyle w:val="Compact"/>
              <w:keepNext/>
              <w:spacing w:after="20" w:before="20" w:line="240" w:lineRule="auto"/>
              <w:jc w:val="center"/>
              <w:suppressLineNumbers/>
            </w:pPr>
            <w:r>
              <w:rPr>
                <w:rFonts w:ascii="Times New Roman" w:hAnsi="Times New Roman"/>
                <w:sz w:val="17"/>
              </w:rPr>
              <w:t xml:space="preserve">2.2 / 13.7</w:t>
            </w:r>
          </w:p>
        </w:tc>
        <w:tc>
          <w:tcPr>
            <w:tcW w:type="dxa" w:w="1002"/>
          </w:tcPr>
          <w:p>
            <w:pPr>
              <w:pStyle w:val="Compact"/>
              <w:keepNext/>
              <w:spacing w:after="20" w:before="20" w:line="240" w:lineRule="auto"/>
              <w:jc w:val="center"/>
              <w:suppressLineNumbers/>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suppressLineNumbers/>
            </w:pPr>
            <w:r>
              <w:rPr>
                <w:rFonts w:ascii="Times New Roman" w:hAnsi="Times New Roman"/>
                <w:sz w:val="17"/>
              </w:rPr>
              <w:t xml:space="preserve">Ceiling</w:t>
            </w:r>
          </w:p>
        </w:tc>
        <w:tc>
          <w:tcPr>
            <w:tcW w:type="dxa" w:w="1114"/>
          </w:tcPr>
          <w:p>
            <w:pPr>
              <w:pStyle w:val="Compact"/>
              <w:keepNex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suppressLineNumbers/>
            </w:pPr>
            <w:r>
              <w:rPr>
                <w:rFonts w:ascii="Times New Roman" w:hAnsi="Times New Roman"/>
                <w:sz w:val="17"/>
              </w:rPr>
              <w:t xml:space="preserve">1.45</w:t>
            </w:r>
          </w:p>
        </w:tc>
        <w:tc>
          <w:tcPr>
            <w:tcW w:type="dxa" w:w="1002"/>
          </w:tcPr>
          <w:p>
            <w:pPr>
              <w:pStyle w:val="Compact"/>
              <w:keepNext/>
              <w:spacing w:after="20" w:before="20" w:line="240" w:lineRule="auto"/>
              <w:jc w:val="center"/>
              <w:suppressLineNumbers/>
            </w:pPr>
            <w:r>
              <w:rPr>
                <w:rFonts w:ascii="Times New Roman" w:hAnsi="Times New Roman"/>
                <w:sz w:val="17"/>
              </w:rPr>
              <w:t xml:space="preserve">4.00</w:t>
            </w:r>
          </w:p>
        </w:tc>
        <w:tc>
          <w:tcPr>
            <w:tcW w:type="dxa" w:w="1002"/>
          </w:tcPr>
          <w:p>
            <w:pPr>
              <w:pStyle w:val="Compact"/>
              <w:keepNext/>
              <w:spacing w:after="20" w:before="20" w:line="240" w:lineRule="auto"/>
              <w:jc w:val="center"/>
              <w:suppressLineNumbers/>
            </w:pPr>
            <w:r>
              <w:rPr>
                <w:rFonts w:ascii="Times New Roman" w:hAnsi="Times New Roman"/>
                <w:sz w:val="17"/>
              </w:rPr>
              <w:t xml:space="preserve">3.67</w:t>
            </w:r>
          </w:p>
        </w:tc>
        <w:tc>
          <w:tcPr>
            <w:tcW w:type="dxa" w:w="1225"/>
          </w:tcPr>
          <w:p>
            <w:pPr>
              <w:pStyle w:val="Compact"/>
              <w:keepNext/>
              <w:spacing w:after="20" w:before="20" w:line="240" w:lineRule="auto"/>
              <w:jc w:val="center"/>
              <w:suppressLineNumbers/>
            </w:pPr>
            <w:r>
              <w:rPr>
                <w:rFonts w:ascii="Times New Roman" w:hAnsi="Times New Roman"/>
                <w:sz w:val="17"/>
              </w:rPr>
              <w:t xml:space="preserve">3.81</w:t>
            </w:r>
          </w:p>
        </w:tc>
        <w:tc>
          <w:tcPr>
            <w:tcW w:type="dxa" w:w="1225"/>
          </w:tcPr>
          <w:p>
            <w:pPr>
              <w:pStyle w:val="Compact"/>
              <w:keepNext/>
              <w:spacing w:after="20" w:before="20" w:line="240" w:lineRule="auto"/>
              <w:jc w:val="center"/>
              <w:suppressLineNumbers/>
            </w:pPr>
            <w:r>
              <w:rPr>
                <w:rFonts w:ascii="Times New Roman" w:hAnsi="Times New Roman"/>
                <w:sz w:val="17"/>
              </w:rPr>
              <w:t xml:space="preserve">1.7 / 5.0</w:t>
            </w:r>
          </w:p>
        </w:tc>
        <w:tc>
          <w:tcPr>
            <w:tcW w:type="dxa" w:w="1002"/>
          </w:tcPr>
          <w:p>
            <w:pPr>
              <w:pStyle w:val="Compact"/>
              <w:keepNext/>
              <w:spacing w:after="20" w:before="20" w:line="240" w:lineRule="auto"/>
              <w:jc w:val="center"/>
              <w:suppressLineNumbers/>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suppressLineNumbers/>
            </w:pPr>
            <w:r>
              <w:rPr>
                <w:rFonts w:ascii="Times New Roman" w:hAnsi="Times New Roman"/>
                <w:sz w:val="17"/>
              </w:rPr>
              <w:t xml:space="preserve">Ceiling</w:t>
            </w:r>
          </w:p>
        </w:tc>
        <w:tc>
          <w:tcPr>
            <w:tcW w:type="dxa" w:w="1114"/>
          </w:tcPr>
          <w:p>
            <w:pPr>
              <w:pStyle w:val="Compact"/>
              <w:keepNex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suppressLineNumbers/>
            </w:pPr>
            <w:r>
              <w:rPr>
                <w:rFonts w:ascii="Times New Roman" w:hAnsi="Times New Roman"/>
                <w:sz w:val="17"/>
              </w:rPr>
              <w:t xml:space="preserve">−0.24</w:t>
            </w:r>
          </w:p>
        </w:tc>
        <w:tc>
          <w:tcPr>
            <w:tcW w:type="dxa" w:w="1002"/>
          </w:tcPr>
          <w:p>
            <w:pPr>
              <w:pStyle w:val="Compact"/>
              <w:keepNext/>
              <w:spacing w:after="20" w:before="20" w:line="240" w:lineRule="auto"/>
              <w:jc w:val="center"/>
              <w:suppressLineNumbers/>
            </w:pPr>
            <w:r>
              <w:rPr>
                <w:rFonts w:ascii="Times New Roman" w:hAnsi="Times New Roman"/>
                <w:sz w:val="17"/>
              </w:rPr>
              <w:t xml:space="preserve">−1.53</w:t>
            </w:r>
          </w:p>
        </w:tc>
        <w:tc>
          <w:tcPr>
            <w:tcW w:type="dxa" w:w="1002"/>
          </w:tcPr>
          <w:p>
            <w:pPr>
              <w:pStyle w:val="Compact"/>
              <w:keepNext/>
              <w:spacing w:after="20" w:before="20" w:line="240" w:lineRule="auto"/>
              <w:jc w:val="center"/>
              <w:suppressLineNumbers/>
            </w:pPr>
            <w:r>
              <w:rPr>
                <w:rFonts w:ascii="Times New Roman" w:hAnsi="Times New Roman"/>
                <w:sz w:val="17"/>
              </w:rPr>
              <w:t xml:space="preserve">−1.11</w:t>
            </w:r>
          </w:p>
        </w:tc>
        <w:tc>
          <w:tcPr>
            <w:tcW w:type="dxa" w:w="1225"/>
          </w:tcPr>
          <w:p>
            <w:pPr>
              <w:pStyle w:val="Compact"/>
              <w:keepNext/>
              <w:spacing w:after="20" w:before="20" w:line="240" w:lineRule="auto"/>
              <w:jc w:val="center"/>
              <w:suppressLineNumbers/>
            </w:pPr>
            <w:r>
              <w:rPr>
                <w:rFonts w:ascii="Times New Roman" w:hAnsi="Times New Roman"/>
                <w:sz w:val="17"/>
              </w:rPr>
              <w:t xml:space="preserve">−1.25</w:t>
            </w:r>
          </w:p>
        </w:tc>
        <w:tc>
          <w:tcPr>
            <w:tcW w:type="dxa" w:w="1225"/>
          </w:tcPr>
          <w:p>
            <w:pPr>
              <w:pStyle w:val="Compact"/>
              <w:keepNext/>
              <w:spacing w:after="20" w:before="20" w:line="240" w:lineRule="auto"/>
              <w:jc w:val="center"/>
              <w:suppressLineNumbers/>
            </w:pPr>
            <w:r>
              <w:rPr>
                <w:rFonts w:ascii="Times New Roman" w:hAnsi="Times New Roman"/>
                <w:sz w:val="17"/>
              </w:rPr>
              <w:t xml:space="preserve">−1.1 / −0.4</w:t>
            </w:r>
          </w:p>
        </w:tc>
        <w:tc>
          <w:tcPr>
            <w:tcW w:type="dxa" w:w="1002"/>
          </w:tcPr>
          <w:p>
            <w:pPr>
              <w:pStyle w:val="Compact"/>
              <w:keepNext/>
              <w:spacing w:after="20" w:before="20" w:line="240" w:lineRule="auto"/>
              <w:jc w:val="center"/>
              <w:suppressLineNumbers/>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suppressLineNumbers/>
            </w:pPr>
            <w:r>
              <w:rPr>
                <w:rFonts w:ascii="Times New Roman" w:hAnsi="Times New Roman"/>
                <w:sz w:val="17"/>
              </w:rPr>
              <w:t xml:space="preserve">Floor</w:t>
            </w:r>
          </w:p>
        </w:tc>
        <w:tc>
          <w:tcPr>
            <w:tcW w:type="dxa" w:w="1114"/>
          </w:tcPr>
          <w:p>
            <w:pPr>
              <w:pStyle w:val="Compact"/>
              <w:keepNex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suppressLineNumbers/>
            </w:pPr>
            <w:r>
              <w:rPr>
                <w:rFonts w:ascii="Times New Roman" w:hAnsi="Times New Roman"/>
                <w:sz w:val="17"/>
              </w:rPr>
              <w:t xml:space="preserve">−0.71</w:t>
            </w:r>
          </w:p>
        </w:tc>
        <w:tc>
          <w:tcPr>
            <w:tcW w:type="dxa" w:w="1002"/>
          </w:tcPr>
          <w:p>
            <w:pPr>
              <w:pStyle w:val="Compact"/>
              <w:keepNext/>
              <w:spacing w:after="20" w:before="20" w:line="240" w:lineRule="auto"/>
              <w:jc w:val="center"/>
              <w:suppressLineNumbers/>
            </w:pPr>
            <w:r>
              <w:rPr>
                <w:rFonts w:ascii="Times New Roman" w:hAnsi="Times New Roman"/>
                <w:sz w:val="17"/>
              </w:rPr>
              <w:t xml:space="preserve">−5.32</w:t>
            </w:r>
          </w:p>
        </w:tc>
        <w:tc>
          <w:tcPr>
            <w:tcW w:type="dxa" w:w="1002"/>
          </w:tcPr>
          <w:p>
            <w:pPr>
              <w:pStyle w:val="Compact"/>
              <w:keepNext/>
              <w:spacing w:after="20" w:before="20" w:line="240" w:lineRule="auto"/>
              <w:jc w:val="center"/>
              <w:suppressLineNumbers/>
            </w:pPr>
            <w:r>
              <w:rPr>
                <w:rFonts w:ascii="Times New Roman" w:hAnsi="Times New Roman"/>
                <w:sz w:val="17"/>
              </w:rPr>
              <w:t xml:space="preserve">−4.66</w:t>
            </w:r>
          </w:p>
        </w:tc>
        <w:tc>
          <w:tcPr>
            <w:tcW w:type="dxa" w:w="1225"/>
          </w:tcPr>
          <w:p>
            <w:pPr>
              <w:pStyle w:val="Compact"/>
              <w:keepNext/>
              <w:spacing w:after="20" w:before="20" w:line="240" w:lineRule="auto"/>
              <w:jc w:val="center"/>
              <w:suppressLineNumbers/>
            </w:pPr>
            <w:r>
              <w:rPr>
                <w:rFonts w:ascii="Times New Roman" w:hAnsi="Times New Roman"/>
                <w:sz w:val="17"/>
              </w:rPr>
              <w:t xml:space="preserve">−6.25</w:t>
            </w:r>
          </w:p>
        </w:tc>
        <w:tc>
          <w:tcPr>
            <w:tcW w:type="dxa" w:w="1225"/>
          </w:tcPr>
          <w:p>
            <w:pPr>
              <w:pStyle w:val="Compact"/>
              <w:keepNext/>
              <w:spacing w:after="20" w:before="20" w:line="240" w:lineRule="auto"/>
              <w:jc w:val="center"/>
              <w:suppressLineNumbers/>
            </w:pPr>
            <w:r>
              <w:rPr>
                <w:rFonts w:ascii="Times New Roman" w:hAnsi="Times New Roman"/>
                <w:sz w:val="17"/>
              </w:rPr>
              <w:t xml:space="preserve">−2.7 / −4.6</w:t>
            </w:r>
          </w:p>
        </w:tc>
        <w:tc>
          <w:tcPr>
            <w:tcW w:type="dxa" w:w="1002"/>
          </w:tcPr>
          <w:p>
            <w:pPr>
              <w:pStyle w:val="Compact"/>
              <w:keepNext/>
              <w:spacing w:after="20" w:before="20" w:line="240" w:lineRule="auto"/>
              <w:jc w:val="center"/>
              <w:suppressLineNumbers/>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suppressLineNumbers/>
            </w:pPr>
            <w:r>
              <w:rPr>
                <w:rFonts w:ascii="Times New Roman" w:hAnsi="Times New Roman"/>
                <w:sz w:val="17"/>
              </w:rPr>
              <w:t xml:space="preserve">Floor</w:t>
            </w:r>
          </w:p>
        </w:tc>
        <w:tc>
          <w:tcPr>
            <w:tcW w:type="dxa" w:w="1114"/>
          </w:tcPr>
          <w:p>
            <w:pPr>
              <w:pStyle w:val="Compact"/>
              <w:keepNex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suppressLineNumbers/>
            </w:pPr>
            <w:r>
              <w:rPr>
                <w:rFonts w:ascii="Times New Roman" w:hAnsi="Times New Roman"/>
                <w:sz w:val="17"/>
              </w:rPr>
              <w:t xml:space="preserve">−1.76</w:t>
            </w:r>
          </w:p>
        </w:tc>
        <w:tc>
          <w:tcPr>
            <w:tcW w:type="dxa" w:w="1002"/>
          </w:tcPr>
          <w:p>
            <w:pPr>
              <w:pStyle w:val="Compact"/>
              <w:keepNext/>
              <w:spacing w:after="20" w:before="20" w:line="240" w:lineRule="auto"/>
              <w:jc w:val="center"/>
              <w:suppressLineNumbers/>
            </w:pPr>
            <w:r>
              <w:rPr>
                <w:rFonts w:ascii="Times New Roman" w:hAnsi="Times New Roman"/>
                <w:sz w:val="17"/>
              </w:rPr>
              <w:t xml:space="preserve">−4.74</w:t>
            </w:r>
          </w:p>
        </w:tc>
        <w:tc>
          <w:tcPr>
            <w:tcW w:type="dxa" w:w="1002"/>
          </w:tcPr>
          <w:p>
            <w:pPr>
              <w:pStyle w:val="Compact"/>
              <w:keepNext/>
              <w:spacing w:after="20" w:before="20" w:line="240" w:lineRule="auto"/>
              <w:jc w:val="center"/>
              <w:suppressLineNumbers/>
            </w:pPr>
            <w:r>
              <w:rPr>
                <w:rFonts w:ascii="Times New Roman" w:hAnsi="Times New Roman"/>
                <w:sz w:val="17"/>
              </w:rPr>
              <w:t xml:space="preserve">−4.80</w:t>
            </w:r>
          </w:p>
        </w:tc>
        <w:tc>
          <w:tcPr>
            <w:tcW w:type="dxa" w:w="1225"/>
          </w:tcPr>
          <w:p>
            <w:pPr>
              <w:pStyle w:val="Compact"/>
              <w:keepNext/>
              <w:spacing w:after="20" w:before="20" w:line="240" w:lineRule="auto"/>
              <w:jc w:val="center"/>
              <w:suppressLineNumbers/>
            </w:pPr>
            <w:r>
              <w:rPr>
                <w:rFonts w:ascii="Times New Roman" w:hAnsi="Times New Roman"/>
                <w:sz w:val="17"/>
              </w:rPr>
              <w:t xml:space="preserve">−4.92</w:t>
            </w:r>
          </w:p>
        </w:tc>
        <w:tc>
          <w:tcPr>
            <w:tcW w:type="dxa" w:w="1225"/>
          </w:tcPr>
          <w:p>
            <w:pPr>
              <w:pStyle w:val="Compact"/>
              <w:keepNext/>
              <w:spacing w:after="20" w:before="20" w:line="240" w:lineRule="auto"/>
              <w:jc w:val="center"/>
              <w:suppressLineNumbers/>
            </w:pPr>
            <w:r>
              <w:rPr>
                <w:rFonts w:ascii="Times New Roman" w:hAnsi="Times New Roman"/>
                <w:sz w:val="17"/>
              </w:rPr>
              <w:t xml:space="preserve">−12.3 / −2.2</w:t>
            </w:r>
          </w:p>
        </w:tc>
        <w:tc>
          <w:tcPr>
            <w:tcW w:type="dxa" w:w="1002"/>
          </w:tcPr>
          <w:p>
            <w:pPr>
              <w:pStyle w:val="Compact"/>
              <w:keepNext/>
              <w:spacing w:after="20" w:before="20" w:line="240" w:lineRule="auto"/>
              <w:jc w:val="center"/>
              <w:suppressLineNumbers/>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suppressLineNumbers/>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2,105</w:t>
            </w:r>
          </w:p>
        </w:tc>
      </w:tr>
    </w:tbl>
    <w:p>
      <w:pPr>
        <w:pStyle w:val="BodyText"/>
        <w:spacing w:before="160" w:line="480" w:lineRule="auto"/>
      </w:pPr>
      <w:r>
        <w:rPr>
          <w:iCs/>
          <w:i/>
          <w:sz w:val="22"/>
        </w:rPr>
        <w:t xml:space="preserve">t</w:t>
      </w:r>
      <w:r>
        <w:rPr>
          <w:sz w:val="22"/>
        </w:rPr>
        <w:t xml:space="preserve"> </w:t>
      </w:r>
      <w:r>
        <w:rPr>
          <w:sz w:val="22"/>
        </w:rPr>
        <w:t xml:space="preserve">(date),</w:t>
      </w:r>
      <w:r>
        <w:rPr>
          <w:sz w:val="22"/>
        </w:rPr>
        <w:t xml:space="preserve"> </w:t>
      </w:r>
      <w:r>
        <w:rPr>
          <w:iCs/>
          <w:i/>
          <w:sz w:val="22"/>
        </w:rPr>
        <w:t xml:space="preserve">t</w:t>
      </w:r>
      <w:r>
        <w:rPr>
          <w:sz w:val="22"/>
        </w:rPr>
        <w:t xml:space="preserve"> </w:t>
      </w:r>
      <w:r>
        <w:rPr>
          <w:sz w:val="22"/>
        </w:rPr>
        <w:t xml:space="preserve">(week), and</w:t>
      </w:r>
      <w:r>
        <w:rPr>
          <w:sz w:val="22"/>
        </w:rPr>
        <w:t xml:space="preserve"> </w:t>
      </w:r>
      <w:r>
        <w:rPr>
          <w:iCs/>
          <w:i/>
          <w:sz w:val="22"/>
        </w:rPr>
        <w:t xml:space="preserve">t</w:t>
      </w:r>
      <w:r>
        <w:rPr>
          <w:sz w:val="22"/>
        </w:rPr>
        <w:t xml:space="preserve"> </w:t>
      </w:r>
      <w:r>
        <w:rPr>
          <w:sz w:val="22"/>
        </w:rPr>
        <w:t xml:space="preserve">(10-day) cluster by event date, calendar week, and 10-day block, with the factor</w:t>
      </w:r>
      <w:r>
        <w:rPr>
          <w:sz w:val="22"/>
        </w:rPr>
        <w:t xml:space="preserve"> </w:t>
      </w:r>
      <w:r>
        <w:rPr>
          <w:iCs/>
          <w:i/>
          <w:sz w:val="22"/>
        </w:rPr>
        <w:t xml:space="preserve">G</w:t>
      </w:r>
      <w:r>
        <w:rPr>
          <w:sz w:val="22"/>
        </w:rPr>
        <w:t xml:space="preserve">/(</w:t>
      </w:r>
      <w:r>
        <w:rPr>
          <w:iCs/>
          <w:i/>
          <w:sz w:val="22"/>
        </w:rPr>
        <w:t xml:space="preserve">G</w:t>
      </w:r>
      <w:r>
        <w:rPr>
          <w:sz w:val="22"/>
        </w:rPr>
        <w:t xml:space="preserve"> </w:t>
      </w:r>
      <w:r>
        <w:rPr>
          <w:sz w:val="22"/>
        </w:rPr>
        <w:t xml:space="preserve">− 1) for</w:t>
      </w:r>
      <w:r>
        <w:rPr>
          <w:sz w:val="22"/>
        </w:rPr>
        <w:t xml:space="preserve"> </w:t>
      </w:r>
      <w:r>
        <w:rPr>
          <w:iCs/>
          <w:i/>
          <w:sz w:val="22"/>
        </w:rPr>
        <w:t xml:space="preserve">G</w:t>
      </w:r>
      <w:r>
        <w:rPr>
          <w:sz w:val="22"/>
        </w:rPr>
        <w:t xml:space="preserve"> </w:t>
      </w:r>
      <w:r>
        <w:rPr>
          <w:sz w:val="22"/>
        </w:rPr>
        <w:t xml:space="preserve">clusters and a</w:t>
      </w:r>
      <w:r>
        <w:rPr>
          <w:sz w:val="22"/>
        </w:rPr>
        <w:t xml:space="preserve"> </w:t>
      </w:r>
      <w:r>
        <w:rPr>
          <w:iCs/>
          <w:i/>
          <w:sz w:val="22"/>
        </w:rPr>
        <w:t xml:space="preserve">t</w:t>
      </w:r>
      <w:r>
        <w:rPr>
          <w:sz w:val="22"/>
        </w:rPr>
        <w:t xml:space="preserve"> </w:t>
      </w:r>
      <w:r>
        <w:rPr>
          <w:sz w:val="22"/>
        </w:rPr>
        <w:t xml:space="preserve">reference with</w:t>
      </w:r>
      <w:r>
        <w:rPr>
          <w:sz w:val="22"/>
        </w:rPr>
        <w:t xml:space="preserve"> </w:t>
      </w:r>
      <w:r>
        <w:rPr>
          <w:iCs/>
          <w:i/>
          <w:sz w:val="22"/>
        </w:rPr>
        <w:t xml:space="preserve">G</w:t>
      </w:r>
      <w:r>
        <w:rPr>
          <w:sz w:val="22"/>
        </w:rPr>
        <w:t xml:space="preserve"> </w:t>
      </w:r>
      <w:r>
        <w:rPr>
          <w:sz w:val="22"/>
        </w:rPr>
        <w:t xml:space="preserve">− 1 degrees of freedom.</w:t>
      </w:r>
      <w:r>
        <w:rPr>
          <w:sz w:val="22"/>
        </w:rPr>
        <w:t xml:space="preserve"> </w:t>
      </w:r>
      <w:r>
        <w:rPr>
          <w:iCs/>
          <w:i/>
          <w:sz w:val="22"/>
        </w:rPr>
        <w:t xml:space="preserve">t</w:t>
      </w:r>
      <w:r>
        <w:rPr>
          <w:sz w:val="22"/>
        </w:rPr>
        <w:t xml:space="preserve"> </w:t>
      </w:r>
      <w:r>
        <w:rPr>
          <w:sz w:val="22"/>
        </w:rPr>
        <w:t xml:space="preserve">(halves) gives week-clustered statistics for the first and second half of event dates. Events require complete returns for days</w:t>
      </w:r>
      <w:r>
        <w:rPr>
          <w:sz w:val="22"/>
        </w:rPr>
        <w:t xml:space="preserve"> </w:t>
      </w:r>
      <w:r>
        <w:rPr>
          <w:iCs/>
          <w:i/>
          <w:sz w:val="22"/>
        </w:rPr>
        <w:t xml:space="preserve">d</w:t>
      </w:r>
      <w:r>
        <w:rPr>
          <w:sz w:val="22"/>
        </w:rPr>
        <w:t xml:space="preserve">+1 to</w:t>
      </w:r>
      <w:r>
        <w:rPr>
          <w:sz w:val="22"/>
        </w:rPr>
        <w:t xml:space="preserve"> </w:t>
      </w:r>
      <w:r>
        <w:rPr>
          <w:iCs/>
          <w:i/>
          <w:sz w:val="22"/>
        </w:rPr>
        <w:t xml:space="preserve">d</w:t>
      </w:r>
      <w:r>
        <w:rPr>
          <w:sz w:val="22"/>
        </w:rPr>
        <w:t xml:space="preserve">+5.</w:t>
      </w:r>
    </w:p>
    <w:p>
      <w:pPr>
        <w:pStyle w:val="BodyText"/>
        <w:spacing w:line="480" w:lineRule="auto"/>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spacing w:line="480" w:lineRule="auto"/>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spacing w:line="480" w:lineRule="auto"/>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line="480" w:lineRule="auto"/>
      </w:pPr>
      <w:r>
        <w:rPr>
          <w:bCs/>
          <w:b/>
          <w:sz w:val="24"/>
        </w:rPr>
        <w:t xml:space="preserve">Table 2. Next-day abnormal returns (percent) by component and sample, with two-way-clustered</w:t>
      </w:r>
      <w:r>
        <w:rPr>
          <w:bCs/>
          <w:b/>
          <w:sz w:val="24"/>
        </w:rPr>
        <w:t xml:space="preserve"> </w:t>
      </w:r>
      <w:r>
        <w:rPr>
          <w:iCs/>
          <w:i/>
          <w:bCs/>
          <w:b/>
          <w:sz w:val="24"/>
        </w:rPr>
        <w:t xml:space="preserve">t</w:t>
      </w:r>
      <w:r>
        <w:rPr>
          <w:bCs/>
          <w:b/>
          <w:sz w:val="24"/>
        </w:rPr>
        <w:t xml:space="preserve">-statistics in parentheses.</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suppressLineNumbers/>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suppressLineNumbers/>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suppressLineNumbers/>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suppressLineNumbers/>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suppressLineNumbers/>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suppressLineNumbers/>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Ceiling closes</w:t>
            </w:r>
          </w:p>
        </w:tc>
        <w:tc>
          <w:tcPr>
            <w:tcW w:type="dxa" w:w="868"/>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c>
          <w:tcPr>
            <w:tcW w:type="dxa" w:w="1639"/>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All, vs market</w:t>
            </w:r>
          </w:p>
        </w:tc>
        <w:tc>
          <w:tcPr>
            <w:tcW w:type="dxa" w:w="868"/>
          </w:tcPr>
          <w:p>
            <w:pPr>
              <w:pStyle w:val="Compact"/>
              <w:spacing w:after="20" w:before="20" w:line="240" w:lineRule="auto"/>
              <w:jc w:val="center"/>
              <w:suppressLineNumbers/>
            </w:pPr>
            <w:r>
              <w:rPr>
                <w:rFonts w:ascii="Times New Roman" w:hAnsi="Times New Roman"/>
                <w:sz w:val="17"/>
              </w:rPr>
              <w:t xml:space="preserve">3,199</w:t>
            </w:r>
          </w:p>
        </w:tc>
        <w:tc>
          <w:tcPr>
            <w:tcW w:type="dxa" w:w="1446"/>
          </w:tcPr>
          <w:p>
            <w:pPr>
              <w:pStyle w:val="Compact"/>
              <w:spacing w:after="20" w:before="20" w:line="240" w:lineRule="auto"/>
              <w:jc w:val="center"/>
              <w:suppressLineNumbers/>
            </w:pPr>
            <w:r>
              <w:rPr>
                <w:rFonts w:ascii="Times New Roman" w:hAnsi="Times New Roman"/>
                <w:sz w:val="17"/>
              </w:rPr>
              <w:t xml:space="preserve">2.24 (9.7)</w:t>
            </w:r>
          </w:p>
        </w:tc>
        <w:tc>
          <w:tcPr>
            <w:tcW w:type="dxa" w:w="1446"/>
          </w:tcPr>
          <w:p>
            <w:pPr>
              <w:pStyle w:val="Compact"/>
              <w:spacing w:after="20" w:before="20" w:line="240" w:lineRule="auto"/>
              <w:jc w:val="center"/>
              <w:suppressLineNumbers/>
            </w:pPr>
            <w:r>
              <w:rPr>
                <w:rFonts w:ascii="Times New Roman" w:hAnsi="Times New Roman"/>
                <w:sz w:val="17"/>
              </w:rPr>
              <w:t xml:space="preserve">−0.54 (−3.5)</w:t>
            </w:r>
          </w:p>
        </w:tc>
        <w:tc>
          <w:tcPr>
            <w:tcW w:type="dxa" w:w="1639"/>
          </w:tcPr>
          <w:p>
            <w:pPr>
              <w:pStyle w:val="Compact"/>
              <w:spacing w:after="20" w:before="20" w:line="240" w:lineRule="auto"/>
              <w:jc w:val="center"/>
              <w:suppressLineNumbers/>
            </w:pPr>
            <w:r>
              <w:rPr>
                <w:rFonts w:ascii="Times New Roman" w:hAnsi="Times New Roman"/>
                <w:sz w:val="17"/>
              </w:rPr>
              <w:t xml:space="preserve">1.66 (4.8)</w:t>
            </w:r>
          </w:p>
        </w:tc>
        <w:tc>
          <w:tcPr>
            <w:tcW w:type="dxa" w:w="1446"/>
          </w:tcPr>
          <w:p>
            <w:pPr>
              <w:pStyle w:val="Compact"/>
              <w:spacing w:after="20" w:before="20" w:line="240" w:lineRule="auto"/>
              <w:jc w:val="center"/>
              <w:suppressLineNumbers/>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All, vs same-date controls</w:t>
            </w:r>
          </w:p>
        </w:tc>
        <w:tc>
          <w:tcPr>
            <w:tcW w:type="dxa" w:w="868"/>
          </w:tcPr>
          <w:p>
            <w:pPr>
              <w:pStyle w:val="Compact"/>
              <w:spacing w:after="20" w:before="20" w:line="240" w:lineRule="auto"/>
              <w:jc w:val="center"/>
              <w:suppressLineNumbers/>
            </w:pPr>
            <w:r>
              <w:rPr>
                <w:rFonts w:ascii="Times New Roman" w:hAnsi="Times New Roman"/>
                <w:sz w:val="17"/>
              </w:rPr>
              <w:t xml:space="preserve">3,100</w:t>
            </w:r>
          </w:p>
        </w:tc>
        <w:tc>
          <w:tcPr>
            <w:tcW w:type="dxa" w:w="1446"/>
          </w:tcPr>
          <w:p>
            <w:pPr>
              <w:pStyle w:val="Compact"/>
              <w:spacing w:after="20" w:before="20" w:line="240" w:lineRule="auto"/>
              <w:jc w:val="center"/>
              <w:suppressLineNumbers/>
            </w:pPr>
            <w:r>
              <w:rPr>
                <w:rFonts w:ascii="Times New Roman" w:hAnsi="Times New Roman"/>
                <w:sz w:val="17"/>
              </w:rPr>
              <w:t xml:space="preserve">2.70 (20.2)</w:t>
            </w:r>
          </w:p>
        </w:tc>
        <w:tc>
          <w:tcPr>
            <w:tcW w:type="dxa" w:w="1446"/>
          </w:tcPr>
          <w:p>
            <w:pPr>
              <w:pStyle w:val="Compact"/>
              <w:spacing w:after="20" w:before="20" w:line="240" w:lineRule="auto"/>
              <w:jc w:val="center"/>
              <w:suppressLineNumbers/>
            </w:pPr>
            <w:r>
              <w:rPr>
                <w:rFonts w:ascii="Times New Roman" w:hAnsi="Times New Roman"/>
                <w:sz w:val="17"/>
              </w:rPr>
              <w:t xml:space="preserve">−0.50 (−6.0)</w:t>
            </w:r>
          </w:p>
        </w:tc>
        <w:tc>
          <w:tcPr>
            <w:tcW w:type="dxa" w:w="1639"/>
          </w:tcPr>
          <w:p>
            <w:pPr>
              <w:pStyle w:val="Compact"/>
              <w:spacing w:after="20" w:before="20" w:line="240" w:lineRule="auto"/>
              <w:jc w:val="center"/>
              <w:suppressLineNumbers/>
            </w:pPr>
            <w:r>
              <w:rPr>
                <w:rFonts w:ascii="Times New Roman" w:hAnsi="Times New Roman"/>
                <w:sz w:val="17"/>
              </w:rPr>
              <w:t xml:space="preserve">2.16 (18.0)</w:t>
            </w:r>
          </w:p>
        </w:tc>
        <w:tc>
          <w:tcPr>
            <w:tcW w:type="dxa" w:w="1446"/>
          </w:tcPr>
          <w:p>
            <w:pPr>
              <w:pStyle w:val="Compact"/>
              <w:spacing w:after="20" w:before="20" w:line="240" w:lineRule="auto"/>
              <w:jc w:val="center"/>
              <w:suppressLineNumbers/>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Exact limit hit</w:t>
            </w:r>
          </w:p>
        </w:tc>
        <w:tc>
          <w:tcPr>
            <w:tcW w:type="dxa" w:w="868"/>
          </w:tcPr>
          <w:p>
            <w:pPr>
              <w:pStyle w:val="Compact"/>
              <w:spacing w:after="20" w:before="20" w:line="240" w:lineRule="auto"/>
              <w:jc w:val="center"/>
              <w:suppressLineNumbers/>
            </w:pPr>
            <w:r>
              <w:rPr>
                <w:rFonts w:ascii="Times New Roman" w:hAnsi="Times New Roman"/>
                <w:sz w:val="17"/>
              </w:rPr>
              <w:t xml:space="preserve">1,642</w:t>
            </w:r>
          </w:p>
        </w:tc>
        <w:tc>
          <w:tcPr>
            <w:tcW w:type="dxa" w:w="1446"/>
          </w:tcPr>
          <w:p>
            <w:pPr>
              <w:pStyle w:val="Compact"/>
              <w:spacing w:after="20" w:before="20" w:line="240" w:lineRule="auto"/>
              <w:jc w:val="center"/>
              <w:suppressLineNumbers/>
            </w:pPr>
            <w:r>
              <w:rPr>
                <w:rFonts w:ascii="Times New Roman" w:hAnsi="Times New Roman"/>
                <w:sz w:val="17"/>
              </w:rPr>
              <w:t xml:space="preserve">2.79 (13.8)</w:t>
            </w:r>
          </w:p>
        </w:tc>
        <w:tc>
          <w:tcPr>
            <w:tcW w:type="dxa" w:w="1446"/>
          </w:tcPr>
          <w:p>
            <w:pPr>
              <w:pStyle w:val="Compact"/>
              <w:spacing w:after="20" w:before="20" w:line="240" w:lineRule="auto"/>
              <w:jc w:val="center"/>
              <w:suppressLineNumbers/>
            </w:pPr>
            <w:r>
              <w:rPr>
                <w:rFonts w:ascii="Times New Roman" w:hAnsi="Times New Roman"/>
                <w:sz w:val="17"/>
              </w:rPr>
              <w:t xml:space="preserve">−0.74 (−5.3)</w:t>
            </w:r>
          </w:p>
        </w:tc>
        <w:tc>
          <w:tcPr>
            <w:tcW w:type="dxa" w:w="1639"/>
          </w:tcPr>
          <w:p>
            <w:pPr>
              <w:pStyle w:val="Compact"/>
              <w:spacing w:after="20" w:before="20" w:line="240" w:lineRule="auto"/>
              <w:jc w:val="center"/>
              <w:suppressLineNumbers/>
            </w:pPr>
            <w:r>
              <w:rPr>
                <w:rFonts w:ascii="Times New Roman" w:hAnsi="Times New Roman"/>
                <w:sz w:val="17"/>
              </w:rPr>
              <w:t xml:space="preserve">2.00 (7.1)</w:t>
            </w:r>
          </w:p>
        </w:tc>
        <w:tc>
          <w:tcPr>
            <w:tcW w:type="dxa" w:w="1446"/>
          </w:tcPr>
          <w:p>
            <w:pPr>
              <w:pStyle w:val="Compact"/>
              <w:spacing w:after="20" w:before="20" w:line="240" w:lineRule="auto"/>
              <w:jc w:val="center"/>
              <w:suppressLineNumbers/>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Near hit</w:t>
            </w:r>
          </w:p>
        </w:tc>
        <w:tc>
          <w:tcPr>
            <w:tcW w:type="dxa" w:w="868"/>
          </w:tcPr>
          <w:p>
            <w:pPr>
              <w:pStyle w:val="Compact"/>
              <w:spacing w:after="20" w:before="20" w:line="240" w:lineRule="auto"/>
              <w:jc w:val="center"/>
              <w:suppressLineNumbers/>
            </w:pPr>
            <w:r>
              <w:rPr>
                <w:rFonts w:ascii="Times New Roman" w:hAnsi="Times New Roman"/>
                <w:sz w:val="17"/>
              </w:rPr>
              <w:t xml:space="preserve">1,557</w:t>
            </w:r>
          </w:p>
        </w:tc>
        <w:tc>
          <w:tcPr>
            <w:tcW w:type="dxa" w:w="1446"/>
          </w:tcPr>
          <w:p>
            <w:pPr>
              <w:pStyle w:val="Compact"/>
              <w:spacing w:after="20" w:before="20" w:line="240" w:lineRule="auto"/>
              <w:jc w:val="center"/>
              <w:suppressLineNumbers/>
            </w:pPr>
            <w:r>
              <w:rPr>
                <w:rFonts w:ascii="Times New Roman" w:hAnsi="Times New Roman"/>
                <w:sz w:val="17"/>
              </w:rPr>
              <w:t xml:space="preserve">1.67 (6.4)</w:t>
            </w:r>
          </w:p>
        </w:tc>
        <w:tc>
          <w:tcPr>
            <w:tcW w:type="dxa" w:w="1446"/>
          </w:tcPr>
          <w:p>
            <w:pPr>
              <w:pStyle w:val="Compact"/>
              <w:spacing w:after="20" w:before="20" w:line="240" w:lineRule="auto"/>
              <w:jc w:val="center"/>
              <w:suppressLineNumbers/>
            </w:pPr>
            <w:r>
              <w:rPr>
                <w:rFonts w:ascii="Times New Roman" w:hAnsi="Times New Roman"/>
                <w:sz w:val="17"/>
              </w:rPr>
              <w:t xml:space="preserve">−0.32 (−1.6)</w:t>
            </w:r>
          </w:p>
        </w:tc>
        <w:tc>
          <w:tcPr>
            <w:tcW w:type="dxa" w:w="1639"/>
          </w:tcPr>
          <w:p>
            <w:pPr>
              <w:pStyle w:val="Compact"/>
              <w:spacing w:after="20" w:before="20" w:line="240" w:lineRule="auto"/>
              <w:jc w:val="center"/>
              <w:suppressLineNumbers/>
            </w:pPr>
            <w:r>
              <w:rPr>
                <w:rFonts w:ascii="Times New Roman" w:hAnsi="Times New Roman"/>
                <w:sz w:val="17"/>
              </w:rPr>
              <w:t xml:space="preserve">1.31 (3.1)</w:t>
            </w:r>
          </w:p>
        </w:tc>
        <w:tc>
          <w:tcPr>
            <w:tcW w:type="dxa" w:w="1446"/>
          </w:tcPr>
          <w:p>
            <w:pPr>
              <w:pStyle w:val="Compact"/>
              <w:spacing w:after="20" w:before="20" w:line="240" w:lineRule="auto"/>
              <w:jc w:val="center"/>
              <w:suppressLineNumbers/>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Locked all day</w:t>
            </w:r>
          </w:p>
        </w:tc>
        <w:tc>
          <w:tcPr>
            <w:tcW w:type="dxa" w:w="868"/>
          </w:tcPr>
          <w:p>
            <w:pPr>
              <w:pStyle w:val="Compact"/>
              <w:spacing w:after="20" w:before="20" w:line="240" w:lineRule="auto"/>
              <w:jc w:val="center"/>
              <w:suppressLineNumbers/>
            </w:pPr>
            <w:r>
              <w:rPr>
                <w:rFonts w:ascii="Times New Roman" w:hAnsi="Times New Roman"/>
                <w:sz w:val="17"/>
              </w:rPr>
              <w:t xml:space="preserve">522</w:t>
            </w:r>
          </w:p>
        </w:tc>
        <w:tc>
          <w:tcPr>
            <w:tcW w:type="dxa" w:w="1446"/>
          </w:tcPr>
          <w:p>
            <w:pPr>
              <w:pStyle w:val="Compact"/>
              <w:spacing w:after="20" w:before="20" w:line="240" w:lineRule="auto"/>
              <w:jc w:val="center"/>
              <w:suppressLineNumbers/>
            </w:pPr>
            <w:r>
              <w:rPr>
                <w:rFonts w:ascii="Times New Roman" w:hAnsi="Times New Roman"/>
                <w:sz w:val="17"/>
              </w:rPr>
              <w:t xml:space="preserve">2.91 (3.0)</w:t>
            </w:r>
          </w:p>
        </w:tc>
        <w:tc>
          <w:tcPr>
            <w:tcW w:type="dxa" w:w="1446"/>
          </w:tcPr>
          <w:p>
            <w:pPr>
              <w:pStyle w:val="Compact"/>
              <w:spacing w:after="20" w:before="20" w:line="240" w:lineRule="auto"/>
              <w:jc w:val="center"/>
              <w:suppressLineNumbers/>
            </w:pPr>
            <w:r>
              <w:rPr>
                <w:rFonts w:ascii="Times New Roman" w:hAnsi="Times New Roman"/>
                <w:sz w:val="17"/>
              </w:rPr>
              <w:t xml:space="preserve">−1.30 (−5.9)</w:t>
            </w:r>
          </w:p>
        </w:tc>
        <w:tc>
          <w:tcPr>
            <w:tcW w:type="dxa" w:w="1639"/>
          </w:tcPr>
          <w:p>
            <w:pPr>
              <w:pStyle w:val="Compact"/>
              <w:spacing w:after="20" w:before="20" w:line="240" w:lineRule="auto"/>
              <w:jc w:val="center"/>
              <w:suppressLineNumbers/>
            </w:pPr>
            <w:r>
              <w:rPr>
                <w:rFonts w:ascii="Times New Roman" w:hAnsi="Times New Roman"/>
                <w:sz w:val="17"/>
              </w:rPr>
              <w:t xml:space="preserve">1.54 (1.4)</w:t>
            </w:r>
          </w:p>
        </w:tc>
        <w:tc>
          <w:tcPr>
            <w:tcW w:type="dxa" w:w="1446"/>
          </w:tcPr>
          <w:p>
            <w:pPr>
              <w:pStyle w:val="Compact"/>
              <w:spacing w:after="20" w:before="20" w:line="240" w:lineRule="auto"/>
              <w:jc w:val="center"/>
              <w:suppressLineNumbers/>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First half of sample</w:t>
            </w:r>
          </w:p>
        </w:tc>
        <w:tc>
          <w:tcPr>
            <w:tcW w:type="dxa" w:w="868"/>
          </w:tcPr>
          <w:p>
            <w:pPr>
              <w:pStyle w:val="Compact"/>
              <w:spacing w:after="20" w:before="20" w:line="240" w:lineRule="auto"/>
              <w:jc w:val="center"/>
              <w:suppressLineNumbers/>
            </w:pPr>
            <w:r>
              <w:rPr>
                <w:rFonts w:ascii="Times New Roman" w:hAnsi="Times New Roman"/>
                <w:sz w:val="17"/>
              </w:rPr>
              <w:t xml:space="preserve">1,615</w:t>
            </w:r>
          </w:p>
        </w:tc>
        <w:tc>
          <w:tcPr>
            <w:tcW w:type="dxa" w:w="1446"/>
          </w:tcPr>
          <w:p>
            <w:pPr>
              <w:pStyle w:val="Compact"/>
              <w:spacing w:after="20" w:before="20" w:line="240" w:lineRule="auto"/>
              <w:jc w:val="center"/>
              <w:suppressLineNumbers/>
            </w:pPr>
            <w:r>
              <w:rPr>
                <w:rFonts w:ascii="Times New Roman" w:hAnsi="Times New Roman"/>
                <w:sz w:val="17"/>
              </w:rPr>
              <w:t xml:space="preserve">2.24 (5.4)</w:t>
            </w:r>
          </w:p>
        </w:tc>
        <w:tc>
          <w:tcPr>
            <w:tcW w:type="dxa" w:w="1446"/>
          </w:tcPr>
          <w:p>
            <w:pPr>
              <w:pStyle w:val="Compact"/>
              <w:spacing w:after="20" w:before="20" w:line="240" w:lineRule="auto"/>
              <w:jc w:val="center"/>
              <w:suppressLineNumbers/>
            </w:pPr>
            <w:r>
              <w:rPr>
                <w:rFonts w:ascii="Times New Roman" w:hAnsi="Times New Roman"/>
                <w:sz w:val="17"/>
              </w:rPr>
              <w:t xml:space="preserve">−0.77 (−3.3)</w:t>
            </w:r>
          </w:p>
        </w:tc>
        <w:tc>
          <w:tcPr>
            <w:tcW w:type="dxa" w:w="1639"/>
          </w:tcPr>
          <w:p>
            <w:pPr>
              <w:pStyle w:val="Compact"/>
              <w:spacing w:after="20" w:before="20" w:line="240" w:lineRule="auto"/>
              <w:jc w:val="center"/>
              <w:suppressLineNumbers/>
            </w:pPr>
            <w:r>
              <w:rPr>
                <w:rFonts w:ascii="Times New Roman" w:hAnsi="Times New Roman"/>
                <w:sz w:val="17"/>
              </w:rPr>
              <w:t xml:space="preserve">1.42 (2.3)</w:t>
            </w:r>
          </w:p>
        </w:tc>
        <w:tc>
          <w:tcPr>
            <w:tcW w:type="dxa" w:w="1446"/>
          </w:tcPr>
          <w:p>
            <w:pPr>
              <w:pStyle w:val="Compact"/>
              <w:spacing w:after="20" w:before="20" w:line="240" w:lineRule="auto"/>
              <w:jc w:val="center"/>
              <w:suppressLineNumbers/>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Second half of sample</w:t>
            </w:r>
          </w:p>
        </w:tc>
        <w:tc>
          <w:tcPr>
            <w:tcW w:type="dxa" w:w="868"/>
          </w:tcPr>
          <w:p>
            <w:pPr>
              <w:pStyle w:val="Compact"/>
              <w:spacing w:after="20" w:before="20" w:line="240" w:lineRule="auto"/>
              <w:jc w:val="center"/>
              <w:suppressLineNumbers/>
            </w:pPr>
            <w:r>
              <w:rPr>
                <w:rFonts w:ascii="Times New Roman" w:hAnsi="Times New Roman"/>
                <w:sz w:val="17"/>
              </w:rPr>
              <w:t xml:space="preserve">1,584</w:t>
            </w:r>
          </w:p>
        </w:tc>
        <w:tc>
          <w:tcPr>
            <w:tcW w:type="dxa" w:w="1446"/>
          </w:tcPr>
          <w:p>
            <w:pPr>
              <w:pStyle w:val="Compact"/>
              <w:spacing w:after="20" w:before="20" w:line="240" w:lineRule="auto"/>
              <w:jc w:val="center"/>
              <w:suppressLineNumbers/>
            </w:pPr>
            <w:r>
              <w:rPr>
                <w:rFonts w:ascii="Times New Roman" w:hAnsi="Times New Roman"/>
                <w:sz w:val="17"/>
              </w:rPr>
              <w:t xml:space="preserve">2.25 (13.0)</w:t>
            </w:r>
          </w:p>
        </w:tc>
        <w:tc>
          <w:tcPr>
            <w:tcW w:type="dxa" w:w="1446"/>
          </w:tcPr>
          <w:p>
            <w:pPr>
              <w:pStyle w:val="Compact"/>
              <w:spacing w:after="20" w:before="20" w:line="240" w:lineRule="auto"/>
              <w:jc w:val="center"/>
              <w:suppressLineNumbers/>
            </w:pPr>
            <w:r>
              <w:rPr>
                <w:rFonts w:ascii="Times New Roman" w:hAnsi="Times New Roman"/>
                <w:sz w:val="17"/>
              </w:rPr>
              <w:t xml:space="preserve">−0.29 (−2.5)</w:t>
            </w:r>
          </w:p>
        </w:tc>
        <w:tc>
          <w:tcPr>
            <w:tcW w:type="dxa" w:w="1639"/>
          </w:tcPr>
          <w:p>
            <w:pPr>
              <w:pStyle w:val="Compact"/>
              <w:spacing w:after="20" w:before="20" w:line="240" w:lineRule="auto"/>
              <w:jc w:val="center"/>
              <w:suppressLineNumbers/>
            </w:pPr>
            <w:r>
              <w:rPr>
                <w:rFonts w:ascii="Times New Roman" w:hAnsi="Times New Roman"/>
                <w:sz w:val="17"/>
              </w:rPr>
              <w:t xml:space="preserve">1.91 (11.3)</w:t>
            </w:r>
          </w:p>
        </w:tc>
        <w:tc>
          <w:tcPr>
            <w:tcW w:type="dxa" w:w="1446"/>
          </w:tcPr>
          <w:p>
            <w:pPr>
              <w:pStyle w:val="Compact"/>
              <w:spacing w:after="20" w:before="20" w:line="240" w:lineRule="auto"/>
              <w:jc w:val="center"/>
              <w:suppressLineNumbers/>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Excluding days with market &lt; −2%</w:t>
            </w:r>
          </w:p>
        </w:tc>
        <w:tc>
          <w:tcPr>
            <w:tcW w:type="dxa" w:w="868"/>
          </w:tcPr>
          <w:p>
            <w:pPr>
              <w:pStyle w:val="Compact"/>
              <w:spacing w:after="20" w:before="20" w:line="240" w:lineRule="auto"/>
              <w:jc w:val="center"/>
              <w:suppressLineNumbers/>
            </w:pPr>
            <w:r>
              <w:rPr>
                <w:rFonts w:ascii="Times New Roman" w:hAnsi="Times New Roman"/>
                <w:sz w:val="17"/>
              </w:rPr>
              <w:t xml:space="preserve">3,125</w:t>
            </w:r>
          </w:p>
        </w:tc>
        <w:tc>
          <w:tcPr>
            <w:tcW w:type="dxa" w:w="1446"/>
          </w:tcPr>
          <w:p>
            <w:pPr>
              <w:pStyle w:val="Compact"/>
              <w:spacing w:after="20" w:before="20" w:line="240" w:lineRule="auto"/>
              <w:jc w:val="center"/>
              <w:suppressLineNumbers/>
            </w:pPr>
            <w:r>
              <w:rPr>
                <w:rFonts w:ascii="Times New Roman" w:hAnsi="Times New Roman"/>
                <w:sz w:val="17"/>
              </w:rPr>
              <w:t xml:space="preserve">2.24 (9.6)</w:t>
            </w:r>
          </w:p>
        </w:tc>
        <w:tc>
          <w:tcPr>
            <w:tcW w:type="dxa" w:w="1446"/>
          </w:tcPr>
          <w:p>
            <w:pPr>
              <w:pStyle w:val="Compact"/>
              <w:spacing w:after="20" w:before="20" w:line="240" w:lineRule="auto"/>
              <w:jc w:val="center"/>
              <w:suppressLineNumbers/>
            </w:pPr>
            <w:r>
              <w:rPr>
                <w:rFonts w:ascii="Times New Roman" w:hAnsi="Times New Roman"/>
                <w:sz w:val="17"/>
              </w:rPr>
              <w:t xml:space="preserve">−0.53 (−3.4)</w:t>
            </w:r>
          </w:p>
        </w:tc>
        <w:tc>
          <w:tcPr>
            <w:tcW w:type="dxa" w:w="1639"/>
          </w:tcPr>
          <w:p>
            <w:pPr>
              <w:pStyle w:val="Compact"/>
              <w:spacing w:after="20" w:before="20" w:line="240" w:lineRule="auto"/>
              <w:jc w:val="center"/>
              <w:suppressLineNumbers/>
            </w:pPr>
            <w:r>
              <w:rPr>
                <w:rFonts w:ascii="Times New Roman" w:hAnsi="Times New Roman"/>
                <w:sz w:val="17"/>
              </w:rPr>
              <w:t xml:space="preserve">1.67 (4.7)</w:t>
            </w:r>
          </w:p>
        </w:tc>
        <w:tc>
          <w:tcPr>
            <w:tcW w:type="dxa" w:w="1446"/>
          </w:tcPr>
          <w:p>
            <w:pPr>
              <w:pStyle w:val="Compact"/>
              <w:spacing w:after="20" w:before="20" w:line="240" w:lineRule="auto"/>
              <w:jc w:val="center"/>
              <w:suppressLineNumbers/>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Floor closes</w:t>
            </w:r>
          </w:p>
        </w:tc>
        <w:tc>
          <w:tcPr>
            <w:tcW w:type="dxa" w:w="868"/>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c>
          <w:tcPr>
            <w:tcW w:type="dxa" w:w="1639"/>
          </w:tcPr>
          <w:p>
            <w:pPr>
              <w:pStyle w:val="Compact"/>
              <w:spacing w:after="20" w:before="20" w:line="240" w:lineRule="auto"/>
              <w:jc w:val="center"/>
              <w:suppressLineNumbers/>
            </w:pPr>
          </w:p>
        </w:tc>
        <w:tc>
          <w:tcPr>
            <w:tcW w:type="dxa" w:w="1446"/>
          </w:tcPr>
          <w:p>
            <w:pPr>
              <w:pStyle w:val="Compact"/>
              <w:spacing w:after="20" w:before="20" w:line="240" w:lineRule="auto"/>
              <w:jc w:val="center"/>
              <w:suppressLineNumbers/>
            </w:pP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All, vs market</w:t>
            </w:r>
          </w:p>
        </w:tc>
        <w:tc>
          <w:tcPr>
            <w:tcW w:type="dxa" w:w="868"/>
          </w:tcPr>
          <w:p>
            <w:pPr>
              <w:pStyle w:val="Compact"/>
              <w:spacing w:after="20" w:before="20" w:line="240" w:lineRule="auto"/>
              <w:jc w:val="center"/>
              <w:suppressLineNumbers/>
            </w:pPr>
            <w:r>
              <w:rPr>
                <w:rFonts w:ascii="Times New Roman" w:hAnsi="Times New Roman"/>
                <w:sz w:val="17"/>
              </w:rPr>
              <w:t xml:space="preserve">2,111</w:t>
            </w:r>
          </w:p>
        </w:tc>
        <w:tc>
          <w:tcPr>
            <w:tcW w:type="dxa" w:w="1446"/>
          </w:tcPr>
          <w:p>
            <w:pPr>
              <w:pStyle w:val="Compact"/>
              <w:spacing w:after="20" w:before="20" w:line="240" w:lineRule="auto"/>
              <w:jc w:val="center"/>
              <w:suppressLineNumbers/>
            </w:pPr>
            <w:r>
              <w:rPr>
                <w:rFonts w:ascii="Times New Roman" w:hAnsi="Times New Roman"/>
                <w:sz w:val="17"/>
              </w:rPr>
              <w:t xml:space="preserve">−0.97 (−4.6)</w:t>
            </w:r>
          </w:p>
        </w:tc>
        <w:tc>
          <w:tcPr>
            <w:tcW w:type="dxa" w:w="1446"/>
          </w:tcPr>
          <w:p>
            <w:pPr>
              <w:pStyle w:val="Compact"/>
              <w:spacing w:after="20" w:before="20" w:line="240" w:lineRule="auto"/>
              <w:jc w:val="center"/>
              <w:suppressLineNumbers/>
            </w:pPr>
            <w:r>
              <w:rPr>
                <w:rFonts w:ascii="Times New Roman" w:hAnsi="Times New Roman"/>
                <w:sz w:val="17"/>
              </w:rPr>
              <w:t xml:space="preserve">0.30 (1.4)</w:t>
            </w:r>
          </w:p>
        </w:tc>
        <w:tc>
          <w:tcPr>
            <w:tcW w:type="dxa" w:w="1639"/>
          </w:tcPr>
          <w:p>
            <w:pPr>
              <w:pStyle w:val="Compact"/>
              <w:spacing w:after="20" w:before="20" w:line="240" w:lineRule="auto"/>
              <w:jc w:val="center"/>
              <w:suppressLineNumbers/>
            </w:pPr>
            <w:r>
              <w:rPr>
                <w:rFonts w:ascii="Times New Roman" w:hAnsi="Times New Roman"/>
                <w:sz w:val="17"/>
              </w:rPr>
              <w:t xml:space="preserve">−0.69 (−4.8)</w:t>
            </w:r>
          </w:p>
        </w:tc>
        <w:tc>
          <w:tcPr>
            <w:tcW w:type="dxa" w:w="1446"/>
          </w:tcPr>
          <w:p>
            <w:pPr>
              <w:pStyle w:val="Compact"/>
              <w:spacing w:after="20" w:before="20" w:line="240" w:lineRule="auto"/>
              <w:jc w:val="center"/>
              <w:suppressLineNumbers/>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All, vs same-date controls</w:t>
            </w:r>
          </w:p>
        </w:tc>
        <w:tc>
          <w:tcPr>
            <w:tcW w:type="dxa" w:w="868"/>
          </w:tcPr>
          <w:p>
            <w:pPr>
              <w:pStyle w:val="Compact"/>
              <w:spacing w:after="20" w:before="20" w:line="240" w:lineRule="auto"/>
              <w:jc w:val="center"/>
              <w:suppressLineNumbers/>
            </w:pPr>
            <w:r>
              <w:rPr>
                <w:rFonts w:ascii="Times New Roman" w:hAnsi="Times New Roman"/>
                <w:sz w:val="17"/>
              </w:rPr>
              <w:t xml:space="preserve">2,047</w:t>
            </w:r>
          </w:p>
        </w:tc>
        <w:tc>
          <w:tcPr>
            <w:tcW w:type="dxa" w:w="1446"/>
          </w:tcPr>
          <w:p>
            <w:pPr>
              <w:pStyle w:val="Compact"/>
              <w:spacing w:after="20" w:before="20" w:line="240" w:lineRule="auto"/>
              <w:jc w:val="center"/>
              <w:suppressLineNumbers/>
            </w:pPr>
            <w:r>
              <w:rPr>
                <w:rFonts w:ascii="Times New Roman" w:hAnsi="Times New Roman"/>
                <w:sz w:val="17"/>
              </w:rPr>
              <w:t xml:space="preserve">−1.75 (−4.0)</w:t>
            </w:r>
          </w:p>
        </w:tc>
        <w:tc>
          <w:tcPr>
            <w:tcW w:type="dxa" w:w="1446"/>
          </w:tcPr>
          <w:p>
            <w:pPr>
              <w:pStyle w:val="Compact"/>
              <w:spacing w:after="20" w:before="20" w:line="240" w:lineRule="auto"/>
              <w:jc w:val="center"/>
              <w:suppressLineNumbers/>
            </w:pPr>
            <w:r>
              <w:rPr>
                <w:rFonts w:ascii="Times New Roman" w:hAnsi="Times New Roman"/>
                <w:sz w:val="17"/>
              </w:rPr>
              <w:t xml:space="preserve">0.14 (0.6)</w:t>
            </w:r>
          </w:p>
        </w:tc>
        <w:tc>
          <w:tcPr>
            <w:tcW w:type="dxa" w:w="1639"/>
          </w:tcPr>
          <w:p>
            <w:pPr>
              <w:pStyle w:val="Compact"/>
              <w:spacing w:after="20" w:before="20" w:line="240" w:lineRule="auto"/>
              <w:jc w:val="center"/>
              <w:suppressLineNumbers/>
            </w:pPr>
            <w:r>
              <w:rPr>
                <w:rFonts w:ascii="Times New Roman" w:hAnsi="Times New Roman"/>
                <w:sz w:val="17"/>
              </w:rPr>
              <w:t xml:space="preserve">−1.65 (−3.4)</w:t>
            </w:r>
          </w:p>
        </w:tc>
        <w:tc>
          <w:tcPr>
            <w:tcW w:type="dxa" w:w="1446"/>
          </w:tcPr>
          <w:p>
            <w:pPr>
              <w:pStyle w:val="Compact"/>
              <w:spacing w:after="20" w:before="20" w:line="240" w:lineRule="auto"/>
              <w:jc w:val="center"/>
              <w:suppressLineNumbers/>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Exact limit hit</w:t>
            </w:r>
          </w:p>
        </w:tc>
        <w:tc>
          <w:tcPr>
            <w:tcW w:type="dxa" w:w="868"/>
          </w:tcPr>
          <w:p>
            <w:pPr>
              <w:pStyle w:val="Compact"/>
              <w:spacing w:after="20" w:before="20" w:line="240" w:lineRule="auto"/>
              <w:jc w:val="center"/>
              <w:suppressLineNumbers/>
            </w:pPr>
            <w:r>
              <w:rPr>
                <w:rFonts w:ascii="Times New Roman" w:hAnsi="Times New Roman"/>
                <w:sz w:val="17"/>
              </w:rPr>
              <w:t xml:space="preserve">1,025</w:t>
            </w:r>
          </w:p>
        </w:tc>
        <w:tc>
          <w:tcPr>
            <w:tcW w:type="dxa" w:w="1446"/>
          </w:tcPr>
          <w:p>
            <w:pPr>
              <w:pStyle w:val="Compact"/>
              <w:spacing w:after="20" w:before="20" w:line="240" w:lineRule="auto"/>
              <w:jc w:val="center"/>
              <w:suppressLineNumbers/>
            </w:pPr>
            <w:r>
              <w:rPr>
                <w:rFonts w:ascii="Times New Roman" w:hAnsi="Times New Roman"/>
                <w:sz w:val="17"/>
              </w:rPr>
              <w:t xml:space="preserve">−1.30 (−5.1)</w:t>
            </w:r>
          </w:p>
        </w:tc>
        <w:tc>
          <w:tcPr>
            <w:tcW w:type="dxa" w:w="1446"/>
          </w:tcPr>
          <w:p>
            <w:pPr>
              <w:pStyle w:val="Compact"/>
              <w:spacing w:after="20" w:before="20" w:line="240" w:lineRule="auto"/>
              <w:jc w:val="center"/>
              <w:suppressLineNumbers/>
            </w:pPr>
            <w:r>
              <w:rPr>
                <w:rFonts w:ascii="Times New Roman" w:hAnsi="Times New Roman"/>
                <w:sz w:val="17"/>
              </w:rPr>
              <w:t xml:space="preserve">0.41 (1.7)</w:t>
            </w:r>
          </w:p>
        </w:tc>
        <w:tc>
          <w:tcPr>
            <w:tcW w:type="dxa" w:w="1639"/>
          </w:tcPr>
          <w:p>
            <w:pPr>
              <w:pStyle w:val="Compact"/>
              <w:spacing w:after="20" w:before="20" w:line="240" w:lineRule="auto"/>
              <w:jc w:val="center"/>
              <w:suppressLineNumbers/>
            </w:pPr>
            <w:r>
              <w:rPr>
                <w:rFonts w:ascii="Times New Roman" w:hAnsi="Times New Roman"/>
                <w:sz w:val="17"/>
              </w:rPr>
              <w:t xml:space="preserve">−0.93 (−5.7)</w:t>
            </w:r>
          </w:p>
        </w:tc>
        <w:tc>
          <w:tcPr>
            <w:tcW w:type="dxa" w:w="1446"/>
          </w:tcPr>
          <w:p>
            <w:pPr>
              <w:pStyle w:val="Compact"/>
              <w:spacing w:after="20" w:before="20" w:line="240" w:lineRule="auto"/>
              <w:jc w:val="center"/>
              <w:suppressLineNumbers/>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Near hit</w:t>
            </w:r>
          </w:p>
        </w:tc>
        <w:tc>
          <w:tcPr>
            <w:tcW w:type="dxa" w:w="868"/>
          </w:tcPr>
          <w:p>
            <w:pPr>
              <w:pStyle w:val="Compact"/>
              <w:spacing w:after="20" w:before="20" w:line="240" w:lineRule="auto"/>
              <w:jc w:val="center"/>
              <w:suppressLineNumbers/>
            </w:pPr>
            <w:r>
              <w:rPr>
                <w:rFonts w:ascii="Times New Roman" w:hAnsi="Times New Roman"/>
                <w:sz w:val="17"/>
              </w:rPr>
              <w:t xml:space="preserve">1,086</w:t>
            </w:r>
          </w:p>
        </w:tc>
        <w:tc>
          <w:tcPr>
            <w:tcW w:type="dxa" w:w="1446"/>
          </w:tcPr>
          <w:p>
            <w:pPr>
              <w:pStyle w:val="Compact"/>
              <w:spacing w:after="20" w:before="20" w:line="240" w:lineRule="auto"/>
              <w:jc w:val="center"/>
              <w:suppressLineNumbers/>
            </w:pPr>
            <w:r>
              <w:rPr>
                <w:rFonts w:ascii="Times New Roman" w:hAnsi="Times New Roman"/>
                <w:sz w:val="17"/>
              </w:rPr>
              <w:t xml:space="preserve">−0.66 (−3.7)</w:t>
            </w:r>
          </w:p>
        </w:tc>
        <w:tc>
          <w:tcPr>
            <w:tcW w:type="dxa" w:w="1446"/>
          </w:tcPr>
          <w:p>
            <w:pPr>
              <w:pStyle w:val="Compact"/>
              <w:spacing w:after="20" w:before="20" w:line="240" w:lineRule="auto"/>
              <w:jc w:val="center"/>
              <w:suppressLineNumbers/>
            </w:pPr>
            <w:r>
              <w:rPr>
                <w:rFonts w:ascii="Times New Roman" w:hAnsi="Times New Roman"/>
                <w:sz w:val="17"/>
              </w:rPr>
              <w:t xml:space="preserve">0.20 (0.9)</w:t>
            </w:r>
          </w:p>
        </w:tc>
        <w:tc>
          <w:tcPr>
            <w:tcW w:type="dxa" w:w="1639"/>
          </w:tcPr>
          <w:p>
            <w:pPr>
              <w:pStyle w:val="Compact"/>
              <w:spacing w:after="20" w:before="20" w:line="240" w:lineRule="auto"/>
              <w:jc w:val="center"/>
              <w:suppressLineNumbers/>
            </w:pPr>
            <w:r>
              <w:rPr>
                <w:rFonts w:ascii="Times New Roman" w:hAnsi="Times New Roman"/>
                <w:sz w:val="17"/>
              </w:rPr>
              <w:t xml:space="preserve">−0.47 (−2.9)</w:t>
            </w:r>
          </w:p>
        </w:tc>
        <w:tc>
          <w:tcPr>
            <w:tcW w:type="dxa" w:w="1446"/>
          </w:tcPr>
          <w:p>
            <w:pPr>
              <w:pStyle w:val="Compact"/>
              <w:spacing w:after="20" w:before="20" w:line="240" w:lineRule="auto"/>
              <w:jc w:val="center"/>
              <w:suppressLineNumbers/>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Locked all day</w:t>
            </w:r>
          </w:p>
        </w:tc>
        <w:tc>
          <w:tcPr>
            <w:tcW w:type="dxa" w:w="868"/>
          </w:tcPr>
          <w:p>
            <w:pPr>
              <w:pStyle w:val="Compact"/>
              <w:spacing w:after="20" w:before="20" w:line="240" w:lineRule="auto"/>
              <w:jc w:val="center"/>
              <w:suppressLineNumbers/>
            </w:pPr>
            <w:r>
              <w:rPr>
                <w:rFonts w:ascii="Times New Roman" w:hAnsi="Times New Roman"/>
                <w:sz w:val="17"/>
              </w:rPr>
              <w:t xml:space="preserve">260</w:t>
            </w:r>
          </w:p>
        </w:tc>
        <w:tc>
          <w:tcPr>
            <w:tcW w:type="dxa" w:w="1446"/>
          </w:tcPr>
          <w:p>
            <w:pPr>
              <w:pStyle w:val="Compact"/>
              <w:spacing w:after="20" w:before="20" w:line="240" w:lineRule="auto"/>
              <w:jc w:val="center"/>
              <w:suppressLineNumbers/>
            </w:pPr>
            <w:r>
              <w:rPr>
                <w:rFonts w:ascii="Times New Roman" w:hAnsi="Times New Roman"/>
                <w:sz w:val="17"/>
              </w:rPr>
              <w:t xml:space="preserve">−2.50 (−4.8)</w:t>
            </w:r>
          </w:p>
        </w:tc>
        <w:tc>
          <w:tcPr>
            <w:tcW w:type="dxa" w:w="1446"/>
          </w:tcPr>
          <w:p>
            <w:pPr>
              <w:pStyle w:val="Compact"/>
              <w:spacing w:after="20" w:before="20" w:line="240" w:lineRule="auto"/>
              <w:jc w:val="center"/>
              <w:suppressLineNumbers/>
            </w:pPr>
            <w:r>
              <w:rPr>
                <w:rFonts w:ascii="Times New Roman" w:hAnsi="Times New Roman"/>
                <w:sz w:val="17"/>
              </w:rPr>
              <w:t xml:space="preserve">1.11 (2.4)</w:t>
            </w:r>
          </w:p>
        </w:tc>
        <w:tc>
          <w:tcPr>
            <w:tcW w:type="dxa" w:w="1639"/>
          </w:tcPr>
          <w:p>
            <w:pPr>
              <w:pStyle w:val="Compact"/>
              <w:spacing w:after="20" w:before="20" w:line="240" w:lineRule="auto"/>
              <w:jc w:val="center"/>
              <w:suppressLineNumbers/>
            </w:pPr>
            <w:r>
              <w:rPr>
                <w:rFonts w:ascii="Times New Roman" w:hAnsi="Times New Roman"/>
                <w:sz w:val="17"/>
              </w:rPr>
              <w:t xml:space="preserve">−1.44 (−3.4)</w:t>
            </w:r>
          </w:p>
        </w:tc>
        <w:tc>
          <w:tcPr>
            <w:tcW w:type="dxa" w:w="1446"/>
          </w:tcPr>
          <w:p>
            <w:pPr>
              <w:pStyle w:val="Compact"/>
              <w:spacing w:after="20" w:before="20" w:line="240" w:lineRule="auto"/>
              <w:jc w:val="center"/>
              <w:suppressLineNumbers/>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First half of sample</w:t>
            </w:r>
          </w:p>
        </w:tc>
        <w:tc>
          <w:tcPr>
            <w:tcW w:type="dxa" w:w="868"/>
          </w:tcPr>
          <w:p>
            <w:pPr>
              <w:pStyle w:val="Compact"/>
              <w:spacing w:after="20" w:before="20" w:line="240" w:lineRule="auto"/>
              <w:jc w:val="center"/>
              <w:suppressLineNumbers/>
            </w:pPr>
            <w:r>
              <w:rPr>
                <w:rFonts w:ascii="Times New Roman" w:hAnsi="Times New Roman"/>
                <w:sz w:val="17"/>
              </w:rPr>
              <w:t xml:space="preserve">1,059</w:t>
            </w:r>
          </w:p>
        </w:tc>
        <w:tc>
          <w:tcPr>
            <w:tcW w:type="dxa" w:w="1446"/>
          </w:tcPr>
          <w:p>
            <w:pPr>
              <w:pStyle w:val="Compact"/>
              <w:spacing w:after="20" w:before="20" w:line="240" w:lineRule="auto"/>
              <w:jc w:val="center"/>
              <w:suppressLineNumbers/>
            </w:pPr>
            <w:r>
              <w:rPr>
                <w:rFonts w:ascii="Times New Roman" w:hAnsi="Times New Roman"/>
                <w:sz w:val="17"/>
              </w:rPr>
              <w:t xml:space="preserve">−0.55 (−2.4)</w:t>
            </w:r>
          </w:p>
        </w:tc>
        <w:tc>
          <w:tcPr>
            <w:tcW w:type="dxa" w:w="1446"/>
          </w:tcPr>
          <w:p>
            <w:pPr>
              <w:pStyle w:val="Compact"/>
              <w:spacing w:after="20" w:before="20" w:line="240" w:lineRule="auto"/>
              <w:jc w:val="center"/>
              <w:suppressLineNumbers/>
            </w:pPr>
            <w:r>
              <w:rPr>
                <w:rFonts w:ascii="Times New Roman" w:hAnsi="Times New Roman"/>
                <w:sz w:val="17"/>
              </w:rPr>
              <w:t xml:space="preserve">−0.09 (−0.3)</w:t>
            </w:r>
          </w:p>
        </w:tc>
        <w:tc>
          <w:tcPr>
            <w:tcW w:type="dxa" w:w="1639"/>
          </w:tcPr>
          <w:p>
            <w:pPr>
              <w:pStyle w:val="Compact"/>
              <w:spacing w:after="20" w:before="20" w:line="240" w:lineRule="auto"/>
              <w:jc w:val="center"/>
              <w:suppressLineNumbers/>
            </w:pPr>
            <w:r>
              <w:rPr>
                <w:rFonts w:ascii="Times New Roman" w:hAnsi="Times New Roman"/>
                <w:sz w:val="17"/>
              </w:rPr>
              <w:t xml:space="preserve">−0.63 (−2.9)</w:t>
            </w:r>
          </w:p>
        </w:tc>
        <w:tc>
          <w:tcPr>
            <w:tcW w:type="dxa" w:w="1446"/>
          </w:tcPr>
          <w:p>
            <w:pPr>
              <w:pStyle w:val="Compact"/>
              <w:spacing w:after="20" w:before="20" w:line="240" w:lineRule="auto"/>
              <w:jc w:val="center"/>
              <w:suppressLineNumbers/>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suppressLineNumbers/>
            </w:pPr>
            <w:r>
              <w:rPr>
                <w:rFonts w:ascii="Times New Roman" w:hAnsi="Times New Roman"/>
                <w:sz w:val="17"/>
              </w:rPr>
              <w:t xml:space="preserve">Second half of sample</w:t>
            </w:r>
          </w:p>
        </w:tc>
        <w:tc>
          <w:tcPr>
            <w:tcW w:type="dxa" w:w="868"/>
          </w:tcPr>
          <w:p>
            <w:pPr>
              <w:pStyle w:val="Compact"/>
              <w:spacing w:after="20" w:before="20" w:line="240" w:lineRule="auto"/>
              <w:jc w:val="center"/>
              <w:suppressLineNumbers/>
            </w:pPr>
            <w:r>
              <w:rPr>
                <w:rFonts w:ascii="Times New Roman" w:hAnsi="Times New Roman"/>
                <w:sz w:val="17"/>
              </w:rPr>
              <w:t xml:space="preserve">1,052</w:t>
            </w:r>
          </w:p>
        </w:tc>
        <w:tc>
          <w:tcPr>
            <w:tcW w:type="dxa" w:w="1446"/>
          </w:tcPr>
          <w:p>
            <w:pPr>
              <w:pStyle w:val="Compact"/>
              <w:spacing w:after="20" w:before="20" w:line="240" w:lineRule="auto"/>
              <w:jc w:val="center"/>
              <w:suppressLineNumbers/>
            </w:pPr>
            <w:r>
              <w:rPr>
                <w:rFonts w:ascii="Times New Roman" w:hAnsi="Times New Roman"/>
                <w:sz w:val="17"/>
              </w:rPr>
              <w:t xml:space="preserve">−1.40 (−6.5)</w:t>
            </w:r>
          </w:p>
        </w:tc>
        <w:tc>
          <w:tcPr>
            <w:tcW w:type="dxa" w:w="1446"/>
          </w:tcPr>
          <w:p>
            <w:pPr>
              <w:pStyle w:val="Compact"/>
              <w:spacing w:after="20" w:before="20" w:line="240" w:lineRule="auto"/>
              <w:jc w:val="center"/>
              <w:suppressLineNumbers/>
            </w:pPr>
            <w:r>
              <w:rPr>
                <w:rFonts w:ascii="Times New Roman" w:hAnsi="Times New Roman"/>
                <w:sz w:val="17"/>
              </w:rPr>
              <w:t xml:space="preserve">0.70 (4.9)</w:t>
            </w:r>
          </w:p>
        </w:tc>
        <w:tc>
          <w:tcPr>
            <w:tcW w:type="dxa" w:w="1639"/>
          </w:tcPr>
          <w:p>
            <w:pPr>
              <w:pStyle w:val="Compact"/>
              <w:spacing w:after="20" w:before="20" w:line="240" w:lineRule="auto"/>
              <w:jc w:val="center"/>
              <w:suppressLineNumbers/>
            </w:pPr>
            <w:r>
              <w:rPr>
                <w:rFonts w:ascii="Times New Roman" w:hAnsi="Times New Roman"/>
                <w:sz w:val="17"/>
              </w:rPr>
              <w:t xml:space="preserve">−0.75 (−4.3)</w:t>
            </w:r>
          </w:p>
        </w:tc>
        <w:tc>
          <w:tcPr>
            <w:tcW w:type="dxa" w:w="1446"/>
          </w:tcPr>
          <w:p>
            <w:pPr>
              <w:pStyle w:val="Compact"/>
              <w:spacing w:after="20" w:before="20" w:line="240" w:lineRule="auto"/>
              <w:jc w:val="center"/>
              <w:suppressLineNumbers/>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−0.81 (−1.7)</w:t>
            </w:r>
          </w:p>
        </w:tc>
      </w:tr>
    </w:tbl>
    <w:p>
      <w:pPr>
        <w:pStyle w:val="BodyText"/>
        <w:spacing w:before="160" w:line="480" w:lineRule="auto"/>
      </w:pPr>
      <w:r>
        <w:rPr>
          <w:sz w:val="22"/>
        </w:rPr>
        <w:t xml:space="preserve">Benchmarks are the dollar-volume-weighted market (weights lagged to day</w:t>
      </w:r>
      <w:r>
        <w:rPr>
          <w:sz w:val="22"/>
        </w:rPr>
        <w:t xml:space="preserve"> </w:t>
      </w:r>
      <w:r>
        <w:rPr>
          <w:iCs/>
          <w:i/>
          <w:sz w:val="22"/>
        </w:rPr>
        <w:t xml:space="preserve">d</w:t>
      </w:r>
      <w:r>
        <w:rPr>
          <w:sz w:val="22"/>
        </w:rPr>
        <w:t xml:space="preserve">) or same-date control stocks in the same liquidity tercile (see Materials and methods). Open to day</w:t>
      </w:r>
      <w:r>
        <w:rPr>
          <w:sz w:val="22"/>
        </w:rPr>
        <w:t xml:space="preserve"> </w:t>
      </w:r>
      <w:r>
        <w:rPr>
          <w:iCs/>
          <w:i/>
          <w:sz w:val="22"/>
        </w:rPr>
        <w:t xml:space="preserve">d</w:t>
      </w:r>
      <w:r>
        <w:rPr>
          <w:sz w:val="22"/>
        </w:rPr>
        <w:t xml:space="preserve">+5 runs from the day-</w:t>
      </w:r>
      <w:r>
        <w:rPr>
          <w:iCs/>
          <w:i/>
          <w:sz w:val="22"/>
        </w:rPr>
        <w:t xml:space="preserve">d</w:t>
      </w:r>
      <w:r>
        <w:rPr>
          <w:sz w:val="22"/>
        </w:rPr>
        <w:t xml:space="preserve">+1 open to the day-</w:t>
      </w:r>
      <w:r>
        <w:rPr>
          <w:iCs/>
          <w:i/>
          <w:sz w:val="22"/>
        </w:rPr>
        <w:t xml:space="preserve">d</w:t>
      </w:r>
      <w:r>
        <w:rPr>
          <w:sz w:val="22"/>
        </w:rPr>
        <w:t xml:space="preserve">+5 close. Crash days have a market return (Equation (2)) below −2%. Close-to-close need not equal the sum of the components because returns compound. Events are the stock-days that meet the event definition and have the stated return.</w:t>
      </w:r>
    </w:p>
    <w:p>
      <w:pPr>
        <w:pStyle w:val="BodyText"/>
        <w:spacing w:line="480" w:lineRule="auto"/>
      </w:pPr>
      <w:r>
        <w:t xml:space="preserve">Fig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spacing w:line="480" w:lineRule="auto"/>
      </w:pPr>
      <w:r>
        <w:rPr>
          <w:bCs/>
          <w:b/>
        </w:rPr>
        <w:t xml:space="preserve">Fig 2. Next-day abnormal return (overnight gap, intraday, and close-to-close) by the size of the day-</w:t>
      </w:r>
      <w:r>
        <w:rPr>
          <w:iCs/>
          <w:i/>
          <w:bCs/>
          <w:b/>
        </w:rPr>
        <w:t xml:space="preserve">d</w:t>
      </w:r>
      <w:r>
        <w:rPr>
          <w:bCs/>
          <w:b/>
        </w:rPr>
        <w:t xml:space="preserve"> </w:t>
      </w:r>
      <w:r>
        <w:rPr>
          <w:bCs/>
          <w:b/>
        </w:rPr>
        <w:t xml:space="preserve">move.</w:t>
      </w:r>
      <w:r>
        <w:t xml:space="preserve"> </w:t>
      </w:r>
      <w:r>
        <w:t xml:space="preserve">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t xml:space="preserve"> </w:t>
      </w:r>
      <w:r>
        <w:rPr>
          <w:iCs/>
          <w:i/>
        </w:rPr>
        <w:t xml:space="preserve">d</w:t>
      </w:r>
      <w:r>
        <w:t xml:space="preserve">; the figure uses event days up to the second-to-last trading day.</w:t>
      </w:r>
    </w:p>
    <w:p>
      <w:pPr>
        <w:pStyle w:val="BodyText"/>
        <w:spacing w:line="480" w:lineRule="auto"/>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line="480" w:lineRule="auto"/>
      </w:pPr>
      <w:r>
        <w:rPr>
          <w:bCs/>
          <w:b/>
          <w:sz w:val="24"/>
        </w:rPr>
        <w:t xml:space="preserve">Table 3. Differences in next-day abnormal returns (percentage points) between limit closes and same-direction moves of 3–5% or 5–6.5% that did not close at the limit, with date-clustered</w:t>
      </w:r>
      <w:r>
        <w:rPr>
          <w:bCs/>
          <w:b/>
          <w:sz w:val="24"/>
        </w:rPr>
        <w:t xml:space="preserve"> </w:t>
      </w:r>
      <w:r>
        <w:rPr>
          <w:iCs/>
          <w:i/>
          <w:bCs/>
          <w:b/>
          <w:sz w:val="24"/>
        </w:rPr>
        <w:t xml:space="preserve">t</w:t>
      </w:r>
      <w:r>
        <w:rPr>
          <w:bCs/>
          <w:b/>
          <w:sz w:val="24"/>
        </w:rPr>
        <w:t xml:space="preserve">-statistics in parentheses.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Ceiling vs 5–6.5% rises</w:t>
            </w:r>
          </w:p>
        </w:tc>
        <w:tc>
          <w:tcPr>
            <w:tcW w:type="dxa" w:w="1367"/>
          </w:tcPr>
          <w:p>
            <w:pPr>
              <w:pStyle w:val="Compact"/>
              <w:keepNext/>
              <w:spacing w:after="20" w:before="20" w:line="240" w:lineRule="auto"/>
              <w:jc w:val="center"/>
              <w:suppressLineNumbers/>
            </w:pPr>
            <w:r>
              <w:rPr>
                <w:rFonts w:ascii="Times New Roman" w:hAnsi="Times New Roman"/>
                <w:sz w:val="17"/>
              </w:rPr>
              <w:t xml:space="preserve">2.66 (14.0)</w:t>
            </w:r>
          </w:p>
        </w:tc>
        <w:tc>
          <w:tcPr>
            <w:tcW w:type="dxa" w:w="1367"/>
          </w:tcPr>
          <w:p>
            <w:pPr>
              <w:pStyle w:val="Compact"/>
              <w:keepNext/>
              <w:spacing w:after="20" w:before="20" w:line="240" w:lineRule="auto"/>
              <w:jc w:val="center"/>
              <w:suppressLineNumbers/>
            </w:pPr>
            <w:r>
              <w:rPr>
                <w:rFonts w:ascii="Times New Roman" w:hAnsi="Times New Roman"/>
                <w:sz w:val="17"/>
              </w:rPr>
              <w:t xml:space="preserve">−0.31 (−2.1)</w:t>
            </w:r>
          </w:p>
        </w:tc>
        <w:tc>
          <w:tcPr>
            <w:tcW w:type="dxa" w:w="1549"/>
          </w:tcPr>
          <w:p>
            <w:pPr>
              <w:pStyle w:val="Compact"/>
              <w:keepNext/>
              <w:spacing w:after="20" w:before="20" w:line="240" w:lineRule="auto"/>
              <w:jc w:val="center"/>
              <w:suppressLineNumbers/>
            </w:pPr>
            <w:r>
              <w:rPr>
                <w:rFonts w:ascii="Times New Roman" w:hAnsi="Times New Roman"/>
                <w:sz w:val="17"/>
              </w:rPr>
              <w:t xml:space="preserve">2.32 (7.6)</w:t>
            </w:r>
          </w:p>
        </w:tc>
        <w:tc>
          <w:tcPr>
            <w:tcW w:type="dxa" w:w="1367"/>
          </w:tcPr>
          <w:p>
            <w:pPr>
              <w:pStyle w:val="Compact"/>
              <w:keepNext/>
              <w:spacing w:after="20" w:before="20" w:line="240" w:lineRule="auto"/>
              <w:jc w:val="center"/>
              <w:suppressLineNumbers/>
            </w:pPr>
            <w:r>
              <w:rPr>
                <w:rFonts w:ascii="Times New Roman" w:hAnsi="Times New Roman"/>
                <w:sz w:val="17"/>
              </w:rPr>
              <w:t xml:space="preserve">−0.02 (−0.1)</w:t>
            </w:r>
          </w:p>
        </w:tc>
        <w:tc>
          <w:tcPr>
            <w:tcW w:type="dxa" w:w="1185"/>
          </w:tcPr>
          <w:p>
            <w:pPr>
              <w:pStyle w:val="Compact"/>
              <w:keepNext/>
              <w:spacing w:after="20" w:before="20" w:line="240" w:lineRule="auto"/>
              <w:jc w:val="center"/>
              <w:suppressLineNumbers/>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suppressLineNumbers/>
            </w:pPr>
            <w:r>
              <w:rPr>
                <w:rFonts w:ascii="Times New Roman" w:hAnsi="Times New Roman"/>
                <w:sz w:val="17"/>
              </w:rPr>
              <w:t xml:space="preserve">3.14 (14.5)</w:t>
            </w:r>
          </w:p>
        </w:tc>
        <w:tc>
          <w:tcPr>
            <w:tcW w:type="dxa" w:w="1367"/>
          </w:tcPr>
          <w:p>
            <w:pPr>
              <w:pStyle w:val="Compact"/>
              <w:keepNext/>
              <w:spacing w:after="20" w:before="20" w:line="240" w:lineRule="auto"/>
              <w:jc w:val="center"/>
              <w:suppressLineNumbers/>
            </w:pPr>
            <w:r>
              <w:rPr>
                <w:rFonts w:ascii="Times New Roman" w:hAnsi="Times New Roman"/>
                <w:sz w:val="17"/>
              </w:rPr>
              <w:t xml:space="preserve">−0.66 (−3.4)</w:t>
            </w:r>
          </w:p>
        </w:tc>
        <w:tc>
          <w:tcPr>
            <w:tcW w:type="dxa" w:w="1549"/>
          </w:tcPr>
          <w:p>
            <w:pPr>
              <w:pStyle w:val="Compact"/>
              <w:keepNext/>
              <w:spacing w:after="20" w:before="20" w:line="240" w:lineRule="auto"/>
              <w:jc w:val="center"/>
              <w:suppressLineNumbers/>
            </w:pPr>
            <w:r>
              <w:rPr>
                <w:rFonts w:ascii="Times New Roman" w:hAnsi="Times New Roman"/>
                <w:sz w:val="17"/>
              </w:rPr>
              <w:t xml:space="preserve">2.47 (7.2)</w:t>
            </w:r>
          </w:p>
        </w:tc>
        <w:tc>
          <w:tcPr>
            <w:tcW w:type="dxa" w:w="1367"/>
          </w:tcPr>
          <w:p>
            <w:pPr>
              <w:pStyle w:val="Compact"/>
              <w:keepNext/>
              <w:spacing w:after="20" w:before="20" w:line="240" w:lineRule="auto"/>
              <w:jc w:val="center"/>
              <w:suppressLineNumbers/>
            </w:pPr>
            <w:r>
              <w:rPr>
                <w:rFonts w:ascii="Times New Roman" w:hAnsi="Times New Roman"/>
                <w:sz w:val="17"/>
              </w:rPr>
              <w:t xml:space="preserve">−0.49 (−1.5)</w:t>
            </w:r>
          </w:p>
        </w:tc>
        <w:tc>
          <w:tcPr>
            <w:tcW w:type="dxa" w:w="1185"/>
          </w:tcPr>
          <w:p>
            <w:pPr>
              <w:pStyle w:val="Compact"/>
              <w:keepNext/>
              <w:spacing w:after="20" w:before="20" w:line="240" w:lineRule="auto"/>
              <w:jc w:val="center"/>
              <w:suppressLineNumbers/>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Ceiling vs 3–5% rises</w:t>
            </w:r>
          </w:p>
        </w:tc>
        <w:tc>
          <w:tcPr>
            <w:tcW w:type="dxa" w:w="1367"/>
          </w:tcPr>
          <w:p>
            <w:pPr>
              <w:pStyle w:val="Compact"/>
              <w:keepNext/>
              <w:spacing w:after="20" w:before="20" w:line="240" w:lineRule="auto"/>
              <w:jc w:val="center"/>
              <w:suppressLineNumbers/>
            </w:pPr>
            <w:r>
              <w:rPr>
                <w:rFonts w:ascii="Times New Roman" w:hAnsi="Times New Roman"/>
                <w:sz w:val="17"/>
              </w:rPr>
              <w:t xml:space="preserve">2.40 (11.6)</w:t>
            </w:r>
          </w:p>
        </w:tc>
        <w:tc>
          <w:tcPr>
            <w:tcW w:type="dxa" w:w="1367"/>
          </w:tcPr>
          <w:p>
            <w:pPr>
              <w:pStyle w:val="Compact"/>
              <w:keepNext/>
              <w:spacing w:after="20" w:before="20" w:line="240" w:lineRule="auto"/>
              <w:jc w:val="center"/>
              <w:suppressLineNumbers/>
            </w:pPr>
            <w:r>
              <w:rPr>
                <w:rFonts w:ascii="Times New Roman" w:hAnsi="Times New Roman"/>
                <w:sz w:val="17"/>
              </w:rPr>
              <w:t xml:space="preserve">−0.32 (−2.2)</w:t>
            </w:r>
          </w:p>
        </w:tc>
        <w:tc>
          <w:tcPr>
            <w:tcW w:type="dxa" w:w="1549"/>
          </w:tcPr>
          <w:p>
            <w:pPr>
              <w:pStyle w:val="Compact"/>
              <w:keepNext/>
              <w:spacing w:after="20" w:before="20" w:line="240" w:lineRule="auto"/>
              <w:jc w:val="center"/>
              <w:suppressLineNumbers/>
            </w:pPr>
            <w:r>
              <w:rPr>
                <w:rFonts w:ascii="Times New Roman" w:hAnsi="Times New Roman"/>
                <w:sz w:val="17"/>
              </w:rPr>
              <w:t xml:space="preserve">2.05 (6.1)</w:t>
            </w:r>
          </w:p>
        </w:tc>
        <w:tc>
          <w:tcPr>
            <w:tcW w:type="dxa" w:w="1367"/>
          </w:tcPr>
          <w:p>
            <w:pPr>
              <w:pStyle w:val="Compact"/>
              <w:keepNext/>
              <w:spacing w:after="20" w:before="20" w:line="240" w:lineRule="auto"/>
              <w:jc w:val="center"/>
              <w:suppressLineNumbers/>
            </w:pPr>
            <w:r>
              <w:rPr>
                <w:rFonts w:ascii="Times New Roman" w:hAnsi="Times New Roman"/>
                <w:sz w:val="17"/>
              </w:rPr>
              <w:t xml:space="preserve">−0.45 (−2.2)</w:t>
            </w:r>
          </w:p>
        </w:tc>
        <w:tc>
          <w:tcPr>
            <w:tcW w:type="dxa" w:w="1185"/>
          </w:tcPr>
          <w:p>
            <w:pPr>
              <w:pStyle w:val="Compact"/>
              <w:keepNext/>
              <w:spacing w:after="20" w:before="20" w:line="240" w:lineRule="auto"/>
              <w:jc w:val="center"/>
              <w:suppressLineNumbers/>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suppressLineNumbers/>
            </w:pPr>
            <w:r>
              <w:rPr>
                <w:rFonts w:ascii="Times New Roman" w:hAnsi="Times New Roman"/>
                <w:sz w:val="17"/>
              </w:rPr>
              <w:t xml:space="preserve">2.81 (13.1)</w:t>
            </w:r>
          </w:p>
        </w:tc>
        <w:tc>
          <w:tcPr>
            <w:tcW w:type="dxa" w:w="1367"/>
          </w:tcPr>
          <w:p>
            <w:pPr>
              <w:pStyle w:val="Compact"/>
              <w:keepNext/>
              <w:spacing w:after="20" w:before="20" w:line="240" w:lineRule="auto"/>
              <w:jc w:val="center"/>
              <w:suppressLineNumbers/>
            </w:pPr>
            <w:r>
              <w:rPr>
                <w:rFonts w:ascii="Times New Roman" w:hAnsi="Times New Roman"/>
                <w:sz w:val="17"/>
              </w:rPr>
              <w:t xml:space="preserve">−0.61 (−3.8)</w:t>
            </w:r>
          </w:p>
        </w:tc>
        <w:tc>
          <w:tcPr>
            <w:tcW w:type="dxa" w:w="1549"/>
          </w:tcPr>
          <w:p>
            <w:pPr>
              <w:pStyle w:val="Compact"/>
              <w:keepNext/>
              <w:spacing w:after="20" w:before="20" w:line="240" w:lineRule="auto"/>
              <w:jc w:val="center"/>
              <w:suppressLineNumbers/>
            </w:pPr>
            <w:r>
              <w:rPr>
                <w:rFonts w:ascii="Times New Roman" w:hAnsi="Times New Roman"/>
                <w:sz w:val="17"/>
              </w:rPr>
              <w:t xml:space="preserve">2.17 (6.4)</w:t>
            </w:r>
          </w:p>
        </w:tc>
        <w:tc>
          <w:tcPr>
            <w:tcW w:type="dxa" w:w="1367"/>
          </w:tcPr>
          <w:p>
            <w:pPr>
              <w:pStyle w:val="Compact"/>
              <w:keepNext/>
              <w:spacing w:after="20" w:before="20" w:line="240" w:lineRule="auto"/>
              <w:jc w:val="center"/>
              <w:suppressLineNumbers/>
            </w:pPr>
            <w:r>
              <w:rPr>
                <w:rFonts w:ascii="Times New Roman" w:hAnsi="Times New Roman"/>
                <w:sz w:val="17"/>
              </w:rPr>
              <w:t xml:space="preserve">−0.64 (−2.7)</w:t>
            </w:r>
          </w:p>
        </w:tc>
        <w:tc>
          <w:tcPr>
            <w:tcW w:type="dxa" w:w="1185"/>
          </w:tcPr>
          <w:p>
            <w:pPr>
              <w:pStyle w:val="Compact"/>
              <w:keepNext/>
              <w:spacing w:after="20" w:before="20" w:line="240" w:lineRule="auto"/>
              <w:jc w:val="center"/>
              <w:suppressLineNumbers/>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Floor vs 5–6.5% falls</w:t>
            </w:r>
          </w:p>
        </w:tc>
        <w:tc>
          <w:tcPr>
            <w:tcW w:type="dxa" w:w="1367"/>
          </w:tcPr>
          <w:p>
            <w:pPr>
              <w:pStyle w:val="Compact"/>
              <w:keepNext/>
              <w:spacing w:after="20" w:before="20" w:line="240" w:lineRule="auto"/>
              <w:jc w:val="center"/>
              <w:suppressLineNumbers/>
            </w:pPr>
            <w:r>
              <w:rPr>
                <w:rFonts w:ascii="Times New Roman" w:hAnsi="Times New Roman"/>
                <w:sz w:val="17"/>
              </w:rPr>
              <w:t xml:space="preserve">−1.59 (−9.7)</w:t>
            </w:r>
          </w:p>
        </w:tc>
        <w:tc>
          <w:tcPr>
            <w:tcW w:type="dxa" w:w="1367"/>
          </w:tcPr>
          <w:p>
            <w:pPr>
              <w:pStyle w:val="Compact"/>
              <w:keepNext/>
              <w:spacing w:after="20" w:before="20" w:line="240" w:lineRule="auto"/>
              <w:jc w:val="center"/>
              <w:suppressLineNumbers/>
            </w:pPr>
            <w:r>
              <w:rPr>
                <w:rFonts w:ascii="Times New Roman" w:hAnsi="Times New Roman"/>
                <w:sz w:val="17"/>
              </w:rPr>
              <w:t xml:space="preserve">−0.07 (−0.3)</w:t>
            </w:r>
          </w:p>
        </w:tc>
        <w:tc>
          <w:tcPr>
            <w:tcW w:type="dxa" w:w="1549"/>
          </w:tcPr>
          <w:p>
            <w:pPr>
              <w:pStyle w:val="Compact"/>
              <w:keepNext/>
              <w:spacing w:after="20" w:before="20" w:line="240" w:lineRule="auto"/>
              <w:jc w:val="center"/>
              <w:suppressLineNumbers/>
            </w:pPr>
            <w:r>
              <w:rPr>
                <w:rFonts w:ascii="Times New Roman" w:hAnsi="Times New Roman"/>
                <w:sz w:val="17"/>
              </w:rPr>
              <w:t xml:space="preserve">−1.66 (−11.6)</w:t>
            </w:r>
          </w:p>
        </w:tc>
        <w:tc>
          <w:tcPr>
            <w:tcW w:type="dxa" w:w="1367"/>
          </w:tcPr>
          <w:p>
            <w:pPr>
              <w:pStyle w:val="Compact"/>
              <w:keepNext/>
              <w:spacing w:after="20" w:before="20" w:line="240" w:lineRule="auto"/>
              <w:jc w:val="center"/>
              <w:suppressLineNumbers/>
            </w:pPr>
            <w:r>
              <w:rPr>
                <w:rFonts w:ascii="Times New Roman" w:hAnsi="Times New Roman"/>
                <w:sz w:val="17"/>
              </w:rPr>
              <w:t xml:space="preserve">−1.01 (−2.6)</w:t>
            </w:r>
          </w:p>
        </w:tc>
        <w:tc>
          <w:tcPr>
            <w:tcW w:type="dxa" w:w="1185"/>
          </w:tcPr>
          <w:p>
            <w:pPr>
              <w:pStyle w:val="Compact"/>
              <w:keepNext/>
              <w:spacing w:after="20" w:before="20" w:line="240" w:lineRule="auto"/>
              <w:jc w:val="center"/>
              <w:suppressLineNumbers/>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suppressLineNumbers/>
            </w:pPr>
            <w:r>
              <w:rPr>
                <w:rFonts w:ascii="Times New Roman" w:hAnsi="Times New Roman"/>
                <w:sz w:val="17"/>
              </w:rPr>
              <w:t xml:space="preserve">−1.81 (−8.7)</w:t>
            </w:r>
          </w:p>
        </w:tc>
        <w:tc>
          <w:tcPr>
            <w:tcW w:type="dxa" w:w="1367"/>
          </w:tcPr>
          <w:p>
            <w:pPr>
              <w:pStyle w:val="Compact"/>
              <w:keepNext/>
              <w:spacing w:after="20" w:before="20" w:line="240" w:lineRule="auto"/>
              <w:jc w:val="center"/>
              <w:suppressLineNumbers/>
            </w:pPr>
            <w:r>
              <w:rPr>
                <w:rFonts w:ascii="Times New Roman" w:hAnsi="Times New Roman"/>
                <w:sz w:val="17"/>
              </w:rPr>
              <w:t xml:space="preserve">−0.13 (−0.6)</w:t>
            </w:r>
          </w:p>
        </w:tc>
        <w:tc>
          <w:tcPr>
            <w:tcW w:type="dxa" w:w="1549"/>
          </w:tcPr>
          <w:p>
            <w:pPr>
              <w:pStyle w:val="Compact"/>
              <w:keepNext/>
              <w:spacing w:after="20" w:before="20" w:line="240" w:lineRule="auto"/>
              <w:jc w:val="center"/>
              <w:suppressLineNumbers/>
            </w:pPr>
            <w:r>
              <w:rPr>
                <w:rFonts w:ascii="Times New Roman" w:hAnsi="Times New Roman"/>
                <w:sz w:val="17"/>
              </w:rPr>
              <w:t xml:space="preserve">−1.95 (−10.7)</w:t>
            </w:r>
          </w:p>
        </w:tc>
        <w:tc>
          <w:tcPr>
            <w:tcW w:type="dxa" w:w="1367"/>
          </w:tcPr>
          <w:p>
            <w:pPr>
              <w:pStyle w:val="Compact"/>
              <w:keepNext/>
              <w:spacing w:after="20" w:before="20" w:line="240" w:lineRule="auto"/>
              <w:jc w:val="center"/>
              <w:suppressLineNumbers/>
            </w:pPr>
            <w:r>
              <w:rPr>
                <w:rFonts w:ascii="Times New Roman" w:hAnsi="Times New Roman"/>
                <w:sz w:val="17"/>
              </w:rPr>
              <w:t xml:space="preserve">−1.23 (−2.8)</w:t>
            </w:r>
          </w:p>
        </w:tc>
        <w:tc>
          <w:tcPr>
            <w:tcW w:type="dxa" w:w="1185"/>
          </w:tcPr>
          <w:p>
            <w:pPr>
              <w:pStyle w:val="Compact"/>
              <w:keepNext/>
              <w:spacing w:after="20" w:before="20" w:line="240" w:lineRule="auto"/>
              <w:jc w:val="center"/>
              <w:suppressLineNumbers/>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suppressLineNumbers/>
            </w:pPr>
            <w:r>
              <w:rPr>
                <w:rFonts w:ascii="Times New Roman" w:hAnsi="Times New Roman"/>
                <w:sz w:val="17"/>
              </w:rPr>
              <w:t xml:space="preserve">Floor vs 3–5% falls</w:t>
            </w:r>
          </w:p>
        </w:tc>
        <w:tc>
          <w:tcPr>
            <w:tcW w:type="dxa" w:w="1367"/>
          </w:tcPr>
          <w:p>
            <w:pPr>
              <w:pStyle w:val="Compact"/>
              <w:keepNext/>
              <w:spacing w:after="20" w:before="20" w:line="240" w:lineRule="auto"/>
              <w:jc w:val="center"/>
              <w:suppressLineNumbers/>
            </w:pPr>
            <w:r>
              <w:rPr>
                <w:rFonts w:ascii="Times New Roman" w:hAnsi="Times New Roman"/>
                <w:sz w:val="17"/>
              </w:rPr>
              <w:t xml:space="preserve">−1.14 (−6.4)</w:t>
            </w:r>
          </w:p>
        </w:tc>
        <w:tc>
          <w:tcPr>
            <w:tcW w:type="dxa" w:w="1367"/>
          </w:tcPr>
          <w:p>
            <w:pPr>
              <w:pStyle w:val="Compact"/>
              <w:keepNext/>
              <w:spacing w:after="20" w:before="20" w:line="240" w:lineRule="auto"/>
              <w:jc w:val="center"/>
              <w:suppressLineNumbers/>
            </w:pPr>
            <w:r>
              <w:rPr>
                <w:rFonts w:ascii="Times New Roman" w:hAnsi="Times New Roman"/>
                <w:sz w:val="17"/>
              </w:rPr>
              <w:t xml:space="preserve">0.14 (0.6)</w:t>
            </w:r>
          </w:p>
        </w:tc>
        <w:tc>
          <w:tcPr>
            <w:tcW w:type="dxa" w:w="1549"/>
          </w:tcPr>
          <w:p>
            <w:pPr>
              <w:pStyle w:val="Compact"/>
              <w:keepNext/>
              <w:spacing w:after="20" w:before="20" w:line="240" w:lineRule="auto"/>
              <w:jc w:val="center"/>
              <w:suppressLineNumbers/>
            </w:pPr>
            <w:r>
              <w:rPr>
                <w:rFonts w:ascii="Times New Roman" w:hAnsi="Times New Roman"/>
                <w:sz w:val="17"/>
              </w:rPr>
              <w:t xml:space="preserve">−1.01 (−7.5)</w:t>
            </w:r>
          </w:p>
        </w:tc>
        <w:tc>
          <w:tcPr>
            <w:tcW w:type="dxa" w:w="1367"/>
          </w:tcPr>
          <w:p>
            <w:pPr>
              <w:pStyle w:val="Compact"/>
              <w:keepNext/>
              <w:spacing w:after="20" w:before="20" w:line="240" w:lineRule="auto"/>
              <w:jc w:val="center"/>
              <w:suppressLineNumbers/>
            </w:pPr>
            <w:r>
              <w:rPr>
                <w:rFonts w:ascii="Times New Roman" w:hAnsi="Times New Roman"/>
                <w:sz w:val="17"/>
              </w:rPr>
              <w:t xml:space="preserve">−0.90 (−2.2)</w:t>
            </w:r>
          </w:p>
        </w:tc>
        <w:tc>
          <w:tcPr>
            <w:tcW w:type="dxa" w:w="1185"/>
          </w:tcPr>
          <w:p>
            <w:pPr>
              <w:pStyle w:val="Compact"/>
              <w:keepNext/>
              <w:spacing w:after="20" w:before="20" w:line="240" w:lineRule="auto"/>
              <w:jc w:val="center"/>
              <w:suppressLineNumbers/>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2,228</w:t>
            </w:r>
          </w:p>
        </w:tc>
      </w:tr>
    </w:tbl>
    <w:p>
      <w:pPr>
        <w:pStyle w:val="BodyText"/>
        <w:spacing w:before="160" w:line="480" w:lineRule="auto"/>
      </w:pPr>
      <w:r>
        <w:rPr>
          <w:sz w:val="22"/>
        </w:rPr>
        <w:t xml:space="preserve">Returns are market-adjusted with lagged weights.</w:t>
      </w:r>
    </w:p>
    <w:p>
      <w:pPr>
        <w:pStyle w:val="BodyText"/>
        <w:spacing w:line="480" w:lineRule="auto"/>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[13]; (2) news and retail attention persist overnight and produce the overnight gain and intraday reversal of attention-grabbing stocks [26],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[12,17] needs intraday prices, which we lack.</w:t>
      </w:r>
    </w:p>
    <w:p>
      <w:pPr>
        <w:pStyle w:val="BodyText"/>
        <w:spacing w:line="480" w:lineRule="auto"/>
      </w:pPr>
      <w:r>
        <w:t xml:space="preserve">Table 4 splits the events at 5 May 2025, when HOSE moved to the KRX platform.</w:t>
      </w:r>
    </w:p>
    <w:p>
      <w:pPr>
        <w:pStyle w:val="BodyText"/>
        <w:keepNext/>
        <w:spacing w:after="60" w:line="480" w:lineRule="auto"/>
      </w:pPr>
      <w:r>
        <w:rPr>
          <w:bCs/>
          <w:b/>
          <w:sz w:val="24"/>
        </w:rPr>
        <w:t xml:space="preserve">Table 4. Next-day abnormal returns (percent) before and after the move to the KRX platform on 5 May 2025, with two-way-clustered</w:t>
      </w:r>
      <w:r>
        <w:rPr>
          <w:bCs/>
          <w:b/>
          <w:sz w:val="24"/>
        </w:rPr>
        <w:t xml:space="preserve"> </w:t>
      </w:r>
      <w:r>
        <w:rPr>
          <w:iCs/>
          <w:i/>
          <w:bCs/>
          <w:b/>
          <w:sz w:val="24"/>
        </w:rPr>
        <w:t xml:space="preserve">t</w:t>
      </w:r>
      <w:r>
        <w:rPr>
          <w:bCs/>
          <w:b/>
          <w:sz w:val="24"/>
        </w:rPr>
        <w:t xml:space="preserve">-statistics in parentheses.</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Ceiling</w:t>
            </w:r>
          </w:p>
        </w:tc>
        <w:tc>
          <w:tcPr>
            <w:tcW w:type="dxa" w:w="1784"/>
          </w:tcPr>
          <w:p>
            <w:pPr>
              <w:pStyle w:val="Compact"/>
              <w:keepNext/>
              <w:spacing w:after="20" w:before="20" w:line="240" w:lineRule="auto"/>
              <w:jc w:val="center"/>
              <w:suppressLineNumbers/>
            </w:pPr>
            <w:r>
              <w:rPr>
                <w:rFonts w:ascii="Times New Roman" w:hAnsi="Times New Roman"/>
                <w:sz w:val="17"/>
              </w:rPr>
              <w:t xml:space="preserve">Overnight gap</w:t>
            </w:r>
          </w:p>
        </w:tc>
        <w:tc>
          <w:tcPr>
            <w:tcW w:type="dxa" w:w="1574"/>
          </w:tcPr>
          <w:p>
            <w:pPr>
              <w:pStyle w:val="Compact"/>
              <w:keepNext/>
              <w:spacing w:after="20" w:before="20" w:line="240" w:lineRule="auto"/>
              <w:jc w:val="center"/>
              <w:suppressLineNumbers/>
            </w:pPr>
            <w:r>
              <w:rPr>
                <w:rFonts w:ascii="Times New Roman" w:hAnsi="Times New Roman"/>
                <w:sz w:val="17"/>
              </w:rPr>
              <w:t xml:space="preserve">1.65 (3.2)</w:t>
            </w:r>
          </w:p>
        </w:tc>
        <w:tc>
          <w:tcPr>
            <w:tcW w:type="dxa" w:w="1574"/>
          </w:tcPr>
          <w:p>
            <w:pPr>
              <w:pStyle w:val="Compact"/>
              <w:keepNext/>
              <w:spacing w:after="20" w:before="20" w:line="240" w:lineRule="auto"/>
              <w:jc w:val="center"/>
              <w:suppressLineNumbers/>
            </w:pPr>
            <w:r>
              <w:rPr>
                <w:rFonts w:ascii="Times New Roman" w:hAnsi="Times New Roman"/>
                <w:sz w:val="17"/>
              </w:rPr>
              <w:t xml:space="preserve">2.49 (17.9)</w:t>
            </w:r>
          </w:p>
        </w:tc>
        <w:tc>
          <w:tcPr>
            <w:tcW w:type="dxa" w:w="1574"/>
          </w:tcPr>
          <w:p>
            <w:pPr>
              <w:pStyle w:val="Compact"/>
              <w:keepNext/>
              <w:spacing w:after="20" w:before="20" w:line="240" w:lineRule="auto"/>
              <w:jc w:val="center"/>
              <w:suppressLineNumbers/>
            </w:pPr>
            <w:r>
              <w:rPr>
                <w:rFonts w:ascii="Times New Roman" w:hAnsi="Times New Roman"/>
                <w:sz w:val="17"/>
              </w:rPr>
              <w:t xml:space="preserve">0.85 (1.6)</w:t>
            </w:r>
          </w:p>
        </w:tc>
        <w:tc>
          <w:tcPr>
            <w:tcW w:type="dxa" w:w="1049"/>
          </w:tcPr>
          <w:p>
            <w:pPr>
              <w:pStyle w:val="Compact"/>
              <w:keepNext/>
              <w:spacing w:after="20" w:before="20" w:line="240" w:lineRule="auto"/>
              <w:jc w:val="center"/>
              <w:suppressLineNumbers/>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Ceiling</w:t>
            </w:r>
          </w:p>
        </w:tc>
        <w:tc>
          <w:tcPr>
            <w:tcW w:type="dxa" w:w="1784"/>
          </w:tcPr>
          <w:p>
            <w:pPr>
              <w:pStyle w:val="Compact"/>
              <w:keepNext/>
              <w:spacing w:after="20" w:before="20" w:line="240" w:lineRule="auto"/>
              <w:jc w:val="center"/>
              <w:suppressLineNumbers/>
            </w:pPr>
            <w:r>
              <w:rPr>
                <w:rFonts w:ascii="Times New Roman" w:hAnsi="Times New Roman"/>
                <w:sz w:val="17"/>
              </w:rPr>
              <w:t xml:space="preserve">Intraday</w:t>
            </w:r>
          </w:p>
        </w:tc>
        <w:tc>
          <w:tcPr>
            <w:tcW w:type="dxa" w:w="1574"/>
          </w:tcPr>
          <w:p>
            <w:pPr>
              <w:pStyle w:val="Compact"/>
              <w:keepNext/>
              <w:spacing w:after="20" w:before="20" w:line="240" w:lineRule="auto"/>
              <w:jc w:val="center"/>
              <w:suppressLineNumbers/>
            </w:pPr>
            <w:r>
              <w:rPr>
                <w:rFonts w:ascii="Times New Roman" w:hAnsi="Times New Roman"/>
                <w:sz w:val="17"/>
              </w:rPr>
              <w:t xml:space="preserve">−0.77 (−2.0)</w:t>
            </w:r>
          </w:p>
        </w:tc>
        <w:tc>
          <w:tcPr>
            <w:tcW w:type="dxa" w:w="1574"/>
          </w:tcPr>
          <w:p>
            <w:pPr>
              <w:pStyle w:val="Compact"/>
              <w:keepNext/>
              <w:spacing w:after="20" w:before="20" w:line="240" w:lineRule="auto"/>
              <w:jc w:val="center"/>
              <w:suppressLineNumbers/>
            </w:pPr>
            <w:r>
              <w:rPr>
                <w:rFonts w:ascii="Times New Roman" w:hAnsi="Times New Roman"/>
                <w:sz w:val="17"/>
              </w:rPr>
              <w:t xml:space="preserve">−0.44 (−4.3)</w:t>
            </w:r>
          </w:p>
        </w:tc>
        <w:tc>
          <w:tcPr>
            <w:tcW w:type="dxa" w:w="1574"/>
          </w:tcPr>
          <w:p>
            <w:pPr>
              <w:pStyle w:val="Compact"/>
              <w:keepNext/>
              <w:spacing w:after="20" w:before="20" w:line="240" w:lineRule="auto"/>
              <w:jc w:val="center"/>
              <w:suppressLineNumbers/>
            </w:pPr>
            <w:r>
              <w:rPr>
                <w:rFonts w:ascii="Times New Roman" w:hAnsi="Times New Roman"/>
                <w:sz w:val="17"/>
              </w:rPr>
              <w:t xml:space="preserve">0.34 (0.8)</w:t>
            </w:r>
          </w:p>
        </w:tc>
        <w:tc>
          <w:tcPr>
            <w:tcW w:type="dxa" w:w="1049"/>
          </w:tcPr>
          <w:p>
            <w:pPr>
              <w:pStyle w:val="Compact"/>
              <w:keepNext/>
              <w:spacing w:after="20" w:before="20" w:line="240" w:lineRule="auto"/>
              <w:jc w:val="center"/>
              <w:suppressLineNumbers/>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Ceiling</w:t>
            </w:r>
          </w:p>
        </w:tc>
        <w:tc>
          <w:tcPr>
            <w:tcW w:type="dxa" w:w="1784"/>
          </w:tcPr>
          <w:p>
            <w:pPr>
              <w:pStyle w:val="Compact"/>
              <w:keepNext/>
              <w:spacing w:after="20" w:before="20" w:line="240" w:lineRule="auto"/>
              <w:jc w:val="center"/>
              <w:suppressLineNumbers/>
            </w:pPr>
            <w:r>
              <w:rPr>
                <w:rFonts w:ascii="Times New Roman" w:hAnsi="Times New Roman"/>
                <w:sz w:val="17"/>
              </w:rPr>
              <w:t xml:space="preserve">Close-to-close</w:t>
            </w:r>
          </w:p>
        </w:tc>
        <w:tc>
          <w:tcPr>
            <w:tcW w:type="dxa" w:w="1574"/>
          </w:tcPr>
          <w:p>
            <w:pPr>
              <w:pStyle w:val="Compact"/>
              <w:keepNext/>
              <w:spacing w:after="20" w:before="20" w:line="240" w:lineRule="auto"/>
              <w:jc w:val="center"/>
              <w:suppressLineNumbers/>
            </w:pPr>
            <w:r>
              <w:rPr>
                <w:rFonts w:ascii="Times New Roman" w:hAnsi="Times New Roman"/>
                <w:sz w:val="17"/>
              </w:rPr>
              <w:t xml:space="preserve">0.83 (1.0)</w:t>
            </w:r>
          </w:p>
        </w:tc>
        <w:tc>
          <w:tcPr>
            <w:tcW w:type="dxa" w:w="1574"/>
          </w:tcPr>
          <w:p>
            <w:pPr>
              <w:pStyle w:val="Compact"/>
              <w:keepNext/>
              <w:spacing w:after="20" w:before="20" w:line="240" w:lineRule="auto"/>
              <w:jc w:val="center"/>
              <w:suppressLineNumbers/>
            </w:pPr>
            <w:r>
              <w:rPr>
                <w:rFonts w:ascii="Times New Roman" w:hAnsi="Times New Roman"/>
                <w:sz w:val="17"/>
              </w:rPr>
              <w:t xml:space="preserve">2.01 (14.6)</w:t>
            </w:r>
          </w:p>
        </w:tc>
        <w:tc>
          <w:tcPr>
            <w:tcW w:type="dxa" w:w="1574"/>
          </w:tcPr>
          <w:p>
            <w:pPr>
              <w:pStyle w:val="Compact"/>
              <w:keepNext/>
              <w:spacing w:after="20" w:before="20" w:line="240" w:lineRule="auto"/>
              <w:jc w:val="center"/>
              <w:suppressLineNumbers/>
            </w:pPr>
            <w:r>
              <w:rPr>
                <w:rFonts w:ascii="Times New Roman" w:hAnsi="Times New Roman"/>
                <w:sz w:val="17"/>
              </w:rPr>
              <w:t xml:space="preserve">1.18 (1.3)</w:t>
            </w:r>
          </w:p>
        </w:tc>
        <w:tc>
          <w:tcPr>
            <w:tcW w:type="dxa" w:w="1049"/>
          </w:tcPr>
          <w:p>
            <w:pPr>
              <w:pStyle w:val="Compact"/>
              <w:keepNext/>
              <w:spacing w:after="20" w:before="20" w:line="240" w:lineRule="auto"/>
              <w:jc w:val="center"/>
              <w:suppressLineNumbers/>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Ceiling</w:t>
            </w:r>
          </w:p>
        </w:tc>
        <w:tc>
          <w:tcPr>
            <w:tcW w:type="dxa" w:w="1784"/>
          </w:tcPr>
          <w:p>
            <w:pPr>
              <w:pStyle w:val="Compact"/>
              <w:keepNext/>
              <w:spacing w:after="20" w:before="20" w:line="240" w:lineRule="auto"/>
              <w:jc w:val="center"/>
              <w:suppressLineNumbers/>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suppressLineNumbers/>
            </w:pPr>
            <w:r>
              <w:rPr>
                <w:rFonts w:ascii="Times New Roman" w:hAnsi="Times New Roman"/>
                <w:sz w:val="17"/>
              </w:rPr>
              <w:t xml:space="preserve">−0.71 (−1.3)</w:t>
            </w:r>
          </w:p>
        </w:tc>
        <w:tc>
          <w:tcPr>
            <w:tcW w:type="dxa" w:w="1574"/>
          </w:tcPr>
          <w:p>
            <w:pPr>
              <w:pStyle w:val="Compact"/>
              <w:keepNext/>
              <w:spacing w:after="20" w:before="20" w:line="240" w:lineRule="auto"/>
              <w:jc w:val="center"/>
              <w:suppressLineNumbers/>
            </w:pPr>
            <w:r>
              <w:rPr>
                <w:rFonts w:ascii="Times New Roman" w:hAnsi="Times New Roman"/>
                <w:sz w:val="17"/>
              </w:rPr>
              <w:t xml:space="preserve">−0.77 (−2.5)</w:t>
            </w:r>
          </w:p>
        </w:tc>
        <w:tc>
          <w:tcPr>
            <w:tcW w:type="dxa" w:w="1574"/>
          </w:tcPr>
          <w:p>
            <w:pPr>
              <w:pStyle w:val="Compact"/>
              <w:keepNext/>
              <w:spacing w:after="20" w:before="20" w:line="240" w:lineRule="auto"/>
              <w:jc w:val="center"/>
              <w:suppressLineNumbers/>
            </w:pPr>
            <w:r>
              <w:rPr>
                <w:rFonts w:ascii="Times New Roman" w:hAnsi="Times New Roman"/>
                <w:sz w:val="17"/>
              </w:rPr>
              <w:t xml:space="preserve">−0.06 (−0.1)</w:t>
            </w:r>
          </w:p>
        </w:tc>
        <w:tc>
          <w:tcPr>
            <w:tcW w:type="dxa" w:w="1049"/>
          </w:tcPr>
          <w:p>
            <w:pPr>
              <w:pStyle w:val="Compact"/>
              <w:keepNext/>
              <w:spacing w:after="20" w:before="20" w:line="240" w:lineRule="auto"/>
              <w:jc w:val="center"/>
              <w:suppressLineNumbers/>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Floor</w:t>
            </w:r>
          </w:p>
        </w:tc>
        <w:tc>
          <w:tcPr>
            <w:tcW w:type="dxa" w:w="1784"/>
          </w:tcPr>
          <w:p>
            <w:pPr>
              <w:pStyle w:val="Compact"/>
              <w:keepNext/>
              <w:spacing w:after="20" w:before="20" w:line="240" w:lineRule="auto"/>
              <w:jc w:val="center"/>
              <w:suppressLineNumbers/>
            </w:pPr>
            <w:r>
              <w:rPr>
                <w:rFonts w:ascii="Times New Roman" w:hAnsi="Times New Roman"/>
                <w:sz w:val="17"/>
              </w:rPr>
              <w:t xml:space="preserve">Overnight gap</w:t>
            </w:r>
          </w:p>
        </w:tc>
        <w:tc>
          <w:tcPr>
            <w:tcW w:type="dxa" w:w="1574"/>
          </w:tcPr>
          <w:p>
            <w:pPr>
              <w:pStyle w:val="Compact"/>
              <w:keepNext/>
              <w:spacing w:after="20" w:before="20" w:line="240" w:lineRule="auto"/>
              <w:jc w:val="center"/>
              <w:suppressLineNumbers/>
            </w:pPr>
            <w:r>
              <w:rPr>
                <w:rFonts w:ascii="Times New Roman" w:hAnsi="Times New Roman"/>
                <w:sz w:val="17"/>
              </w:rPr>
              <w:t xml:space="preserve">−0.42 (−1.9)</w:t>
            </w:r>
          </w:p>
        </w:tc>
        <w:tc>
          <w:tcPr>
            <w:tcW w:type="dxa" w:w="1574"/>
          </w:tcPr>
          <w:p>
            <w:pPr>
              <w:pStyle w:val="Compact"/>
              <w:keepNext/>
              <w:spacing w:after="20" w:before="20" w:line="240" w:lineRule="auto"/>
              <w:jc w:val="center"/>
              <w:suppressLineNumbers/>
            </w:pPr>
            <w:r>
              <w:rPr>
                <w:rFonts w:ascii="Times New Roman" w:hAnsi="Times New Roman"/>
                <w:sz w:val="17"/>
              </w:rPr>
              <w:t xml:space="preserve">−1.37 (−7.0)</w:t>
            </w:r>
          </w:p>
        </w:tc>
        <w:tc>
          <w:tcPr>
            <w:tcW w:type="dxa" w:w="1574"/>
          </w:tcPr>
          <w:p>
            <w:pPr>
              <w:pStyle w:val="Compact"/>
              <w:keepNext/>
              <w:spacing w:after="20" w:before="20" w:line="240" w:lineRule="auto"/>
              <w:jc w:val="center"/>
              <w:suppressLineNumbers/>
            </w:pPr>
            <w:r>
              <w:rPr>
                <w:rFonts w:ascii="Times New Roman" w:hAnsi="Times New Roman"/>
                <w:sz w:val="17"/>
              </w:rPr>
              <w:t xml:space="preserve">−0.95 (−3.2)</w:t>
            </w:r>
          </w:p>
        </w:tc>
        <w:tc>
          <w:tcPr>
            <w:tcW w:type="dxa" w:w="1049"/>
          </w:tcPr>
          <w:p>
            <w:pPr>
              <w:pStyle w:val="Compact"/>
              <w:keepNext/>
              <w:spacing w:after="20" w:before="20" w:line="240" w:lineRule="auto"/>
              <w:jc w:val="center"/>
              <w:suppressLineNumbers/>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Floor</w:t>
            </w:r>
          </w:p>
        </w:tc>
        <w:tc>
          <w:tcPr>
            <w:tcW w:type="dxa" w:w="1784"/>
          </w:tcPr>
          <w:p>
            <w:pPr>
              <w:pStyle w:val="Compact"/>
              <w:keepNext/>
              <w:spacing w:after="20" w:before="20" w:line="240" w:lineRule="auto"/>
              <w:jc w:val="center"/>
              <w:suppressLineNumbers/>
            </w:pPr>
            <w:r>
              <w:rPr>
                <w:rFonts w:ascii="Times New Roman" w:hAnsi="Times New Roman"/>
                <w:sz w:val="17"/>
              </w:rPr>
              <w:t xml:space="preserve">Intraday</w:t>
            </w:r>
          </w:p>
        </w:tc>
        <w:tc>
          <w:tcPr>
            <w:tcW w:type="dxa" w:w="1574"/>
          </w:tcPr>
          <w:p>
            <w:pPr>
              <w:pStyle w:val="Compact"/>
              <w:keepNext/>
              <w:spacing w:after="20" w:before="20" w:line="240" w:lineRule="auto"/>
              <w:jc w:val="center"/>
              <w:suppressLineNumbers/>
            </w:pPr>
            <w:r>
              <w:rPr>
                <w:rFonts w:ascii="Times New Roman" w:hAnsi="Times New Roman"/>
                <w:sz w:val="17"/>
              </w:rPr>
              <w:t xml:space="preserve">−0.15 (−0.4)</w:t>
            </w:r>
          </w:p>
        </w:tc>
        <w:tc>
          <w:tcPr>
            <w:tcW w:type="dxa" w:w="1574"/>
          </w:tcPr>
          <w:p>
            <w:pPr>
              <w:pStyle w:val="Compact"/>
              <w:keepNext/>
              <w:spacing w:after="20" w:before="20" w:line="240" w:lineRule="auto"/>
              <w:jc w:val="center"/>
              <w:suppressLineNumbers/>
            </w:pPr>
            <w:r>
              <w:rPr>
                <w:rFonts w:ascii="Times New Roman" w:hAnsi="Times New Roman"/>
                <w:sz w:val="17"/>
              </w:rPr>
              <w:t xml:space="preserve">0.64 (4.6)</w:t>
            </w:r>
          </w:p>
        </w:tc>
        <w:tc>
          <w:tcPr>
            <w:tcW w:type="dxa" w:w="1574"/>
          </w:tcPr>
          <w:p>
            <w:pPr>
              <w:pStyle w:val="Compact"/>
              <w:keepNext/>
              <w:spacing w:after="20" w:before="20" w:line="240" w:lineRule="auto"/>
              <w:jc w:val="center"/>
              <w:suppressLineNumbers/>
            </w:pPr>
            <w:r>
              <w:rPr>
                <w:rFonts w:ascii="Times New Roman" w:hAnsi="Times New Roman"/>
                <w:sz w:val="17"/>
              </w:rPr>
              <w:t xml:space="preserve">0.79 (2.0)</w:t>
            </w:r>
          </w:p>
        </w:tc>
        <w:tc>
          <w:tcPr>
            <w:tcW w:type="dxa" w:w="1049"/>
          </w:tcPr>
          <w:p>
            <w:pPr>
              <w:pStyle w:val="Compact"/>
              <w:keepNext/>
              <w:spacing w:after="20" w:before="20" w:line="240" w:lineRule="auto"/>
              <w:jc w:val="center"/>
              <w:suppressLineNumbers/>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suppressLineNumbers/>
            </w:pPr>
            <w:r>
              <w:rPr>
                <w:rFonts w:ascii="Times New Roman" w:hAnsi="Times New Roman"/>
                <w:sz w:val="17"/>
              </w:rPr>
              <w:t xml:space="preserve">Floor</w:t>
            </w:r>
          </w:p>
        </w:tc>
        <w:tc>
          <w:tcPr>
            <w:tcW w:type="dxa" w:w="1784"/>
          </w:tcPr>
          <w:p>
            <w:pPr>
              <w:pStyle w:val="Compact"/>
              <w:keepNext/>
              <w:spacing w:after="20" w:before="20" w:line="240" w:lineRule="auto"/>
              <w:jc w:val="center"/>
              <w:suppressLineNumbers/>
            </w:pPr>
            <w:r>
              <w:rPr>
                <w:rFonts w:ascii="Times New Roman" w:hAnsi="Times New Roman"/>
                <w:sz w:val="17"/>
              </w:rPr>
              <w:t xml:space="preserve">Close-to-close</w:t>
            </w:r>
          </w:p>
        </w:tc>
        <w:tc>
          <w:tcPr>
            <w:tcW w:type="dxa" w:w="1574"/>
          </w:tcPr>
          <w:p>
            <w:pPr>
              <w:pStyle w:val="Compact"/>
              <w:keepNext/>
              <w:spacing w:after="20" w:before="20" w:line="240" w:lineRule="auto"/>
              <w:jc w:val="center"/>
              <w:suppressLineNumbers/>
            </w:pPr>
            <w:r>
              <w:rPr>
                <w:rFonts w:ascii="Times New Roman" w:hAnsi="Times New Roman"/>
                <w:sz w:val="17"/>
              </w:rPr>
              <w:t xml:space="preserve">−0.57 (−2.3)</w:t>
            </w:r>
          </w:p>
        </w:tc>
        <w:tc>
          <w:tcPr>
            <w:tcW w:type="dxa" w:w="1574"/>
          </w:tcPr>
          <w:p>
            <w:pPr>
              <w:pStyle w:val="Compact"/>
              <w:keepNext/>
              <w:spacing w:after="20" w:before="20" w:line="240" w:lineRule="auto"/>
              <w:jc w:val="center"/>
              <w:suppressLineNumbers/>
            </w:pPr>
            <w:r>
              <w:rPr>
                <w:rFonts w:ascii="Times New Roman" w:hAnsi="Times New Roman"/>
                <w:sz w:val="17"/>
              </w:rPr>
              <w:t xml:space="preserve">−0.78 (−5.0)</w:t>
            </w:r>
          </w:p>
        </w:tc>
        <w:tc>
          <w:tcPr>
            <w:tcW w:type="dxa" w:w="1574"/>
          </w:tcPr>
          <w:p>
            <w:pPr>
              <w:pStyle w:val="Compact"/>
              <w:keepNext/>
              <w:spacing w:after="20" w:before="20" w:line="240" w:lineRule="auto"/>
              <w:jc w:val="center"/>
              <w:suppressLineNumbers/>
            </w:pPr>
            <w:r>
              <w:rPr>
                <w:rFonts w:ascii="Times New Roman" w:hAnsi="Times New Roman"/>
                <w:sz w:val="17"/>
              </w:rPr>
              <w:t xml:space="preserve">−0.21 (−0.7)</w:t>
            </w:r>
          </w:p>
        </w:tc>
        <w:tc>
          <w:tcPr>
            <w:tcW w:type="dxa" w:w="1049"/>
          </w:tcPr>
          <w:p>
            <w:pPr>
              <w:pStyle w:val="Compact"/>
              <w:keepNext/>
              <w:spacing w:after="20" w:before="20" w:line="240" w:lineRule="auto"/>
              <w:jc w:val="center"/>
              <w:suppressLineNumbers/>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891 / 1,217</w:t>
            </w:r>
          </w:p>
        </w:tc>
      </w:tr>
    </w:tbl>
    <w:p>
      <w:pPr>
        <w:pStyle w:val="BodyText"/>
        <w:spacing w:before="160" w:line="480" w:lineRule="auto"/>
      </w:pPr>
      <w:r>
        <w:rPr>
          <w:sz w:val="22"/>
        </w:rPr>
        <w:t xml:space="preserve">The split uses the date of the opening that defines the gap; the difference</w:t>
      </w:r>
      <w:r>
        <w:rPr>
          <w:sz w:val="22"/>
        </w:rPr>
        <w:t xml:space="preserve"> </w:t>
      </w:r>
      <w:r>
        <w:rPr>
          <w:iCs/>
          <w:i/>
          <w:sz w:val="22"/>
        </w:rPr>
        <w:t xml:space="preserve">t</w:t>
      </w:r>
      <w:r>
        <w:rPr>
          <w:sz w:val="22"/>
        </w:rPr>
        <w:t xml:space="preserve">-statistic treats the periods as independent.</w:t>
      </w:r>
    </w:p>
    <w:p>
      <w:pPr>
        <w:pStyle w:val="BodyText"/>
        <w:spacing w:line="480" w:lineRule="auto"/>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spacing w:line="480" w:lineRule="auto"/>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(table C31 in S1 File):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keepNext/>
        <w:spacing w:after="60" w:line="480" w:lineRule="auto"/>
      </w:pPr>
      <w:r>
        <w:rPr>
          <w:bCs/>
          <w:b/>
          <w:sz w:val="24"/>
        </w:rPr>
        <w:t xml:space="preserve">Table 5. Events and overnight gaps (percent, market-adjusted) by calendar quarter of the opening that defines the gap, with two-way-clustered</w:t>
      </w:r>
      <w:r>
        <w:rPr>
          <w:bCs/>
          <w:b/>
          <w:sz w:val="24"/>
        </w:rPr>
        <w:t xml:space="preserve"> </w:t>
      </w:r>
      <w:r>
        <w:rPr>
          <w:iCs/>
          <w:i/>
          <w:bCs/>
          <w:b/>
          <w:sz w:val="24"/>
        </w:rPr>
        <w:t xml:space="preserve">t</w:t>
      </w:r>
      <w:r>
        <w:rPr>
          <w:bCs/>
          <w:b/>
          <w:sz w:val="24"/>
        </w:rPr>
        <w:t xml:space="preserve">-statistics in parentheses.</w:t>
      </w:r>
    </w:p>
    <w:tbl>
      <w:tblPr>
        <w:tblStyle w:val="Table"/>
        <w:tblW w:type="dxa" w:w="9070"/>
        <w:tblLook w:firstRow="1" w:lastRow="0" w:firstColumn="0" w:lastColumn="0" w:noHBand="0" w:noVBand="0" w:val="0020"/>
        <w:jc w:val="start"/>
        <w:tblLayout w:type="fixed"/>
      </w:tblPr>
      <w:tblGrid>
        <w:gridCol w:w="2093"/>
        <w:gridCol w:w="1453"/>
        <w:gridCol w:w="2034"/>
        <w:gridCol w:w="1308"/>
        <w:gridCol w:w="2180"/>
      </w:tblGrid>
      <w:tr>
        <w:trPr>
          <w:tblHeader w:val="true"/>
          <w:tblHeader/>
          <w:cantSplit/>
        </w:trPr>
        <w:tc>
          <w:tcPr>
            <w:tcW w:type="dxa" w:w="2093"/>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Quarter</w:t>
            </w:r>
          </w:p>
        </w:tc>
        <w:tc>
          <w:tcPr>
            <w:tcW w:type="dxa" w:w="1453"/>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Ceiling events</w:t>
            </w:r>
          </w:p>
        </w:tc>
        <w:tc>
          <w:tcPr>
            <w:tcW w:type="dxa" w:w="2034"/>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Ceiling gap</w:t>
            </w:r>
          </w:p>
        </w:tc>
        <w:tc>
          <w:tcPr>
            <w:tcW w:type="dxa" w:w="1308"/>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Floor events</w:t>
            </w:r>
          </w:p>
        </w:tc>
        <w:tc>
          <w:tcPr>
            <w:tcW w:type="dxa" w:w="2180"/>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Floor gap</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2024-Q4</w:t>
            </w:r>
          </w:p>
        </w:tc>
        <w:tc>
          <w:tcPr>
            <w:tcW w:type="dxa" w:w="1453"/>
          </w:tcPr>
          <w:p>
            <w:pPr>
              <w:pStyle w:val="Compact"/>
              <w:keepNext/>
              <w:spacing w:after="20" w:before="20" w:line="240" w:lineRule="auto"/>
              <w:jc w:val="center"/>
              <w:suppressLineNumbers/>
            </w:pPr>
            <w:r>
              <w:rPr>
                <w:rFonts w:ascii="Times New Roman" w:hAnsi="Times New Roman"/>
                <w:sz w:val="17"/>
              </w:rPr>
              <w:t xml:space="preserve">177</w:t>
            </w:r>
          </w:p>
        </w:tc>
        <w:tc>
          <w:tcPr>
            <w:tcW w:type="dxa" w:w="2034"/>
          </w:tcPr>
          <w:p>
            <w:pPr>
              <w:pStyle w:val="Compact"/>
              <w:keepNext/>
              <w:spacing w:after="20" w:before="20" w:line="240" w:lineRule="auto"/>
              <w:jc w:val="center"/>
              <w:suppressLineNumbers/>
            </w:pPr>
            <w:r>
              <w:rPr>
                <w:rFonts w:ascii="Times New Roman" w:hAnsi="Times New Roman"/>
                <w:sz w:val="17"/>
              </w:rPr>
              <w:t xml:space="preserve">2.16 (5.6)</w:t>
            </w:r>
          </w:p>
        </w:tc>
        <w:tc>
          <w:tcPr>
            <w:tcW w:type="dxa" w:w="1308"/>
          </w:tcPr>
          <w:p>
            <w:pPr>
              <w:pStyle w:val="Compact"/>
              <w:keepNext/>
              <w:spacing w:after="20" w:before="20" w:line="240" w:lineRule="auto"/>
              <w:jc w:val="center"/>
              <w:suppressLineNumbers/>
            </w:pPr>
            <w:r>
              <w:rPr>
                <w:rFonts w:ascii="Times New Roman" w:hAnsi="Times New Roman"/>
                <w:sz w:val="17"/>
              </w:rPr>
              <w:t xml:space="preserve">48</w:t>
            </w:r>
          </w:p>
        </w:tc>
        <w:tc>
          <w:tcPr>
            <w:tcW w:type="dxa" w:w="2180"/>
          </w:tcPr>
          <w:p>
            <w:pPr>
              <w:pStyle w:val="Compact"/>
              <w:keepNext/>
              <w:spacing w:after="20" w:before="20" w:line="240" w:lineRule="auto"/>
              <w:jc w:val="center"/>
              <w:suppressLineNumbers/>
            </w:pPr>
            <w:r>
              <w:rPr>
                <w:rFonts w:ascii="Times New Roman" w:hAnsi="Times New Roman"/>
                <w:sz w:val="17"/>
              </w:rPr>
              <w:t xml:space="preserve">−1.50 (−2.5)</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2025-Q1</w:t>
            </w:r>
          </w:p>
        </w:tc>
        <w:tc>
          <w:tcPr>
            <w:tcW w:type="dxa" w:w="1453"/>
          </w:tcPr>
          <w:p>
            <w:pPr>
              <w:pStyle w:val="Compact"/>
              <w:keepNext/>
              <w:spacing w:after="20" w:before="20" w:line="240" w:lineRule="auto"/>
              <w:jc w:val="center"/>
              <w:suppressLineNumbers/>
            </w:pPr>
            <w:r>
              <w:rPr>
                <w:rFonts w:ascii="Times New Roman" w:hAnsi="Times New Roman"/>
                <w:sz w:val="17"/>
              </w:rPr>
              <w:t xml:space="preserve">295</w:t>
            </w:r>
          </w:p>
        </w:tc>
        <w:tc>
          <w:tcPr>
            <w:tcW w:type="dxa" w:w="2034"/>
          </w:tcPr>
          <w:p>
            <w:pPr>
              <w:pStyle w:val="Compact"/>
              <w:keepNext/>
              <w:spacing w:after="20" w:before="20" w:line="240" w:lineRule="auto"/>
              <w:jc w:val="center"/>
              <w:suppressLineNumbers/>
            </w:pPr>
            <w:r>
              <w:rPr>
                <w:rFonts w:ascii="Times New Roman" w:hAnsi="Times New Roman"/>
                <w:sz w:val="17"/>
              </w:rPr>
              <w:t xml:space="preserve">2.78 (9.1)</w:t>
            </w:r>
          </w:p>
        </w:tc>
        <w:tc>
          <w:tcPr>
            <w:tcW w:type="dxa" w:w="1308"/>
          </w:tcPr>
          <w:p>
            <w:pPr>
              <w:pStyle w:val="Compact"/>
              <w:keepNext/>
              <w:spacing w:after="20" w:before="20" w:line="240" w:lineRule="auto"/>
              <w:jc w:val="center"/>
              <w:suppressLineNumbers/>
            </w:pPr>
            <w:r>
              <w:rPr>
                <w:rFonts w:ascii="Times New Roman" w:hAnsi="Times New Roman"/>
                <w:sz w:val="17"/>
              </w:rPr>
              <w:t xml:space="preserve">79</w:t>
            </w:r>
          </w:p>
        </w:tc>
        <w:tc>
          <w:tcPr>
            <w:tcW w:type="dxa" w:w="2180"/>
          </w:tcPr>
          <w:p>
            <w:pPr>
              <w:pStyle w:val="Compact"/>
              <w:keepNext/>
              <w:spacing w:after="20" w:before="20" w:line="240" w:lineRule="auto"/>
              <w:jc w:val="center"/>
              <w:suppressLineNumbers/>
            </w:pPr>
            <w:r>
              <w:rPr>
                <w:rFonts w:ascii="Times New Roman" w:hAnsi="Times New Roman"/>
                <w:sz w:val="17"/>
              </w:rPr>
              <w:t xml:space="preserve">−1.70 (−3.9)</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2025-Q2</w:t>
            </w:r>
          </w:p>
        </w:tc>
        <w:tc>
          <w:tcPr>
            <w:tcW w:type="dxa" w:w="1453"/>
          </w:tcPr>
          <w:p>
            <w:pPr>
              <w:pStyle w:val="Compact"/>
              <w:keepNext/>
              <w:spacing w:after="20" w:before="20" w:line="240" w:lineRule="auto"/>
              <w:jc w:val="center"/>
              <w:suppressLineNumbers/>
            </w:pPr>
            <w:r>
              <w:rPr>
                <w:rFonts w:ascii="Times New Roman" w:hAnsi="Times New Roman"/>
                <w:sz w:val="17"/>
              </w:rPr>
              <w:t xml:space="preserve">686</w:t>
            </w:r>
          </w:p>
        </w:tc>
        <w:tc>
          <w:tcPr>
            <w:tcW w:type="dxa" w:w="2034"/>
          </w:tcPr>
          <w:p>
            <w:pPr>
              <w:pStyle w:val="Compact"/>
              <w:keepNext/>
              <w:spacing w:after="20" w:before="20" w:line="240" w:lineRule="auto"/>
              <w:jc w:val="center"/>
              <w:suppressLineNumbers/>
            </w:pPr>
            <w:r>
              <w:rPr>
                <w:rFonts w:ascii="Times New Roman" w:hAnsi="Times New Roman"/>
                <w:sz w:val="17"/>
              </w:rPr>
              <w:t xml:space="preserve">1.33 (2.5)</w:t>
            </w:r>
          </w:p>
        </w:tc>
        <w:tc>
          <w:tcPr>
            <w:tcW w:type="dxa" w:w="1308"/>
          </w:tcPr>
          <w:p>
            <w:pPr>
              <w:pStyle w:val="Compact"/>
              <w:keepNext/>
              <w:spacing w:after="20" w:before="20" w:line="240" w:lineRule="auto"/>
              <w:jc w:val="center"/>
              <w:suppressLineNumbers/>
            </w:pPr>
            <w:r>
              <w:rPr>
                <w:rFonts w:ascii="Times New Roman" w:hAnsi="Times New Roman"/>
                <w:sz w:val="17"/>
              </w:rPr>
              <w:t xml:space="preserve">802</w:t>
            </w:r>
          </w:p>
        </w:tc>
        <w:tc>
          <w:tcPr>
            <w:tcW w:type="dxa" w:w="2180"/>
          </w:tcPr>
          <w:p>
            <w:pPr>
              <w:pStyle w:val="Compact"/>
              <w:keepNext/>
              <w:spacing w:after="20" w:before="20" w:line="240" w:lineRule="auto"/>
              <w:jc w:val="center"/>
              <w:suppressLineNumbers/>
            </w:pPr>
            <w:r>
              <w:rPr>
                <w:rFonts w:ascii="Times New Roman" w:hAnsi="Times New Roman"/>
                <w:sz w:val="17"/>
              </w:rPr>
              <w:t xml:space="preserve">−0.34 (−1.5)</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2025-Q3</w:t>
            </w:r>
          </w:p>
        </w:tc>
        <w:tc>
          <w:tcPr>
            <w:tcW w:type="dxa" w:w="1453"/>
          </w:tcPr>
          <w:p>
            <w:pPr>
              <w:pStyle w:val="Compact"/>
              <w:keepNext/>
              <w:spacing w:after="20" w:before="20" w:line="240" w:lineRule="auto"/>
              <w:jc w:val="center"/>
              <w:suppressLineNumbers/>
            </w:pPr>
            <w:r>
              <w:rPr>
                <w:rFonts w:ascii="Times New Roman" w:hAnsi="Times New Roman"/>
                <w:sz w:val="17"/>
              </w:rPr>
              <w:t xml:space="preserve">624</w:t>
            </w:r>
          </w:p>
        </w:tc>
        <w:tc>
          <w:tcPr>
            <w:tcW w:type="dxa" w:w="2034"/>
          </w:tcPr>
          <w:p>
            <w:pPr>
              <w:pStyle w:val="Compact"/>
              <w:keepNext/>
              <w:spacing w:after="20" w:before="20" w:line="240" w:lineRule="auto"/>
              <w:jc w:val="center"/>
              <w:suppressLineNumbers/>
            </w:pPr>
            <w:r>
              <w:rPr>
                <w:rFonts w:ascii="Times New Roman" w:hAnsi="Times New Roman"/>
                <w:sz w:val="17"/>
              </w:rPr>
              <w:t xml:space="preserve">2.99 (16.8)</w:t>
            </w:r>
          </w:p>
        </w:tc>
        <w:tc>
          <w:tcPr>
            <w:tcW w:type="dxa" w:w="1308"/>
          </w:tcPr>
          <w:p>
            <w:pPr>
              <w:pStyle w:val="Compact"/>
              <w:keepNext/>
              <w:spacing w:after="20" w:before="20" w:line="240" w:lineRule="auto"/>
              <w:jc w:val="center"/>
              <w:suppressLineNumbers/>
            </w:pPr>
            <w:r>
              <w:rPr>
                <w:rFonts w:ascii="Times New Roman" w:hAnsi="Times New Roman"/>
                <w:sz w:val="17"/>
              </w:rPr>
              <w:t xml:space="preserve">195</w:t>
            </w:r>
          </w:p>
        </w:tc>
        <w:tc>
          <w:tcPr>
            <w:tcW w:type="dxa" w:w="2180"/>
          </w:tcPr>
          <w:p>
            <w:pPr>
              <w:pStyle w:val="Compact"/>
              <w:keepNext/>
              <w:spacing w:after="20" w:before="20" w:line="240" w:lineRule="auto"/>
              <w:jc w:val="center"/>
              <w:suppressLineNumbers/>
            </w:pPr>
            <w:r>
              <w:rPr>
                <w:rFonts w:ascii="Times New Roman" w:hAnsi="Times New Roman"/>
                <w:sz w:val="17"/>
              </w:rPr>
              <w:t xml:space="preserve">−0.86 (−4.1)</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2025-Q4</w:t>
            </w:r>
          </w:p>
        </w:tc>
        <w:tc>
          <w:tcPr>
            <w:tcW w:type="dxa" w:w="1453"/>
          </w:tcPr>
          <w:p>
            <w:pPr>
              <w:pStyle w:val="Compact"/>
              <w:keepNext/>
              <w:spacing w:after="20" w:before="20" w:line="240" w:lineRule="auto"/>
              <w:jc w:val="center"/>
              <w:suppressLineNumbers/>
            </w:pPr>
            <w:r>
              <w:rPr>
                <w:rFonts w:ascii="Times New Roman" w:hAnsi="Times New Roman"/>
                <w:sz w:val="17"/>
              </w:rPr>
              <w:t xml:space="preserve">426</w:t>
            </w:r>
          </w:p>
        </w:tc>
        <w:tc>
          <w:tcPr>
            <w:tcW w:type="dxa" w:w="2034"/>
          </w:tcPr>
          <w:p>
            <w:pPr>
              <w:pStyle w:val="Compact"/>
              <w:keepNext/>
              <w:spacing w:after="20" w:before="20" w:line="240" w:lineRule="auto"/>
              <w:jc w:val="center"/>
              <w:suppressLineNumbers/>
            </w:pPr>
            <w:r>
              <w:rPr>
                <w:rFonts w:ascii="Times New Roman" w:hAnsi="Times New Roman"/>
                <w:sz w:val="17"/>
              </w:rPr>
              <w:t xml:space="preserve">2.64 (7.4)</w:t>
            </w:r>
          </w:p>
        </w:tc>
        <w:tc>
          <w:tcPr>
            <w:tcW w:type="dxa" w:w="1308"/>
          </w:tcPr>
          <w:p>
            <w:pPr>
              <w:pStyle w:val="Compact"/>
              <w:keepNext/>
              <w:spacing w:after="20" w:before="20" w:line="240" w:lineRule="auto"/>
              <w:jc w:val="center"/>
              <w:suppressLineNumbers/>
            </w:pPr>
            <w:r>
              <w:rPr>
                <w:rFonts w:ascii="Times New Roman" w:hAnsi="Times New Roman"/>
                <w:sz w:val="17"/>
              </w:rPr>
              <w:t xml:space="preserve">280</w:t>
            </w:r>
          </w:p>
        </w:tc>
        <w:tc>
          <w:tcPr>
            <w:tcW w:type="dxa" w:w="2180"/>
          </w:tcPr>
          <w:p>
            <w:pPr>
              <w:pStyle w:val="Compact"/>
              <w:keepNext/>
              <w:spacing w:after="20" w:before="20" w:line="240" w:lineRule="auto"/>
              <w:jc w:val="center"/>
              <w:suppressLineNumbers/>
            </w:pPr>
            <w:r>
              <w:rPr>
                <w:rFonts w:ascii="Times New Roman" w:hAnsi="Times New Roman"/>
                <w:sz w:val="17"/>
              </w:rPr>
              <w:t xml:space="preserve">−1.39 (−2.4)</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2026-Q1</w:t>
            </w:r>
          </w:p>
        </w:tc>
        <w:tc>
          <w:tcPr>
            <w:tcW w:type="dxa" w:w="1453"/>
          </w:tcPr>
          <w:p>
            <w:pPr>
              <w:pStyle w:val="Compact"/>
              <w:keepNext/>
              <w:spacing w:after="20" w:before="20" w:line="240" w:lineRule="auto"/>
              <w:jc w:val="center"/>
              <w:suppressLineNumbers/>
            </w:pPr>
            <w:r>
              <w:rPr>
                <w:rFonts w:ascii="Times New Roman" w:hAnsi="Times New Roman"/>
                <w:sz w:val="17"/>
              </w:rPr>
              <w:t xml:space="preserve">455</w:t>
            </w:r>
          </w:p>
        </w:tc>
        <w:tc>
          <w:tcPr>
            <w:tcW w:type="dxa" w:w="2034"/>
          </w:tcPr>
          <w:p>
            <w:pPr>
              <w:pStyle w:val="Compact"/>
              <w:keepNext/>
              <w:spacing w:after="20" w:before="20" w:line="240" w:lineRule="auto"/>
              <w:jc w:val="center"/>
              <w:suppressLineNumbers/>
            </w:pPr>
            <w:r>
              <w:rPr>
                <w:rFonts w:ascii="Times New Roman" w:hAnsi="Times New Roman"/>
                <w:sz w:val="17"/>
              </w:rPr>
              <w:t xml:space="preserve">2.35 (10.4)</w:t>
            </w:r>
          </w:p>
        </w:tc>
        <w:tc>
          <w:tcPr>
            <w:tcW w:type="dxa" w:w="1308"/>
          </w:tcPr>
          <w:p>
            <w:pPr>
              <w:pStyle w:val="Compact"/>
              <w:keepNext/>
              <w:spacing w:after="20" w:before="20" w:line="240" w:lineRule="auto"/>
              <w:jc w:val="center"/>
              <w:suppressLineNumbers/>
            </w:pPr>
            <w:r>
              <w:rPr>
                <w:rFonts w:ascii="Times New Roman" w:hAnsi="Times New Roman"/>
                <w:sz w:val="17"/>
              </w:rPr>
              <w:t xml:space="preserve">433</w:t>
            </w:r>
          </w:p>
        </w:tc>
        <w:tc>
          <w:tcPr>
            <w:tcW w:type="dxa" w:w="2180"/>
          </w:tcPr>
          <w:p>
            <w:pPr>
              <w:pStyle w:val="Compact"/>
              <w:keepNext/>
              <w:spacing w:after="20" w:before="20" w:line="240" w:lineRule="auto"/>
              <w:jc w:val="center"/>
              <w:suppressLineNumbers/>
            </w:pPr>
            <w:r>
              <w:rPr>
                <w:rFonts w:ascii="Times New Roman" w:hAnsi="Times New Roman"/>
                <w:sz w:val="17"/>
              </w:rPr>
              <w:t xml:space="preserve">−1.39 (−7.8)</w:t>
            </w:r>
          </w:p>
        </w:tc>
      </w:tr>
      <w:tr>
        <w:trPr>
          <w:cantSplit/>
        </w:trPr>
        <w:tc>
          <w:tcPr>
            <w:tcW w:type="dxa" w:w="2093"/>
          </w:tcPr>
          <w:p>
            <w:pPr>
              <w:pStyle w:val="Compact"/>
              <w:keepNext/>
              <w:spacing w:after="20" w:before="20" w:line="240" w:lineRule="auto"/>
              <w:jc w:val="left"/>
              <w:suppressLineNumbers/>
            </w:pPr>
            <w:r>
              <w:rPr>
                <w:rFonts w:ascii="Times New Roman" w:hAnsi="Times New Roman"/>
                <w:sz w:val="17"/>
              </w:rPr>
              <w:t xml:space="preserve">2026-Q2</w:t>
            </w:r>
          </w:p>
        </w:tc>
        <w:tc>
          <w:tcPr>
            <w:tcW w:type="dxa" w:w="1453"/>
          </w:tcPr>
          <w:p>
            <w:pPr>
              <w:pStyle w:val="Compact"/>
              <w:keepNext/>
              <w:spacing w:after="20" w:before="20" w:line="240" w:lineRule="auto"/>
              <w:jc w:val="center"/>
              <w:suppressLineNumbers/>
            </w:pPr>
            <w:r>
              <w:rPr>
                <w:rFonts w:ascii="Times New Roman" w:hAnsi="Times New Roman"/>
                <w:sz w:val="17"/>
              </w:rPr>
              <w:t xml:space="preserve">297</w:t>
            </w:r>
          </w:p>
        </w:tc>
        <w:tc>
          <w:tcPr>
            <w:tcW w:type="dxa" w:w="2034"/>
          </w:tcPr>
          <w:p>
            <w:pPr>
              <w:pStyle w:val="Compact"/>
              <w:keepNext/>
              <w:spacing w:after="20" w:before="20" w:line="240" w:lineRule="auto"/>
              <w:jc w:val="center"/>
              <w:suppressLineNumbers/>
            </w:pPr>
            <w:r>
              <w:rPr>
                <w:rFonts w:ascii="Times New Roman" w:hAnsi="Times New Roman"/>
                <w:sz w:val="17"/>
              </w:rPr>
              <w:t xml:space="preserve">2.08 (7.0)</w:t>
            </w:r>
          </w:p>
        </w:tc>
        <w:tc>
          <w:tcPr>
            <w:tcW w:type="dxa" w:w="1308"/>
          </w:tcPr>
          <w:p>
            <w:pPr>
              <w:pStyle w:val="Compact"/>
              <w:keepNext/>
              <w:spacing w:after="20" w:before="20" w:line="240" w:lineRule="auto"/>
              <w:jc w:val="center"/>
              <w:suppressLineNumbers/>
            </w:pPr>
            <w:r>
              <w:rPr>
                <w:rFonts w:ascii="Times New Roman" w:hAnsi="Times New Roman"/>
                <w:sz w:val="17"/>
              </w:rPr>
              <w:t xml:space="preserve">99</w:t>
            </w:r>
          </w:p>
        </w:tc>
        <w:tc>
          <w:tcPr>
            <w:tcW w:type="dxa" w:w="2180"/>
          </w:tcPr>
          <w:p>
            <w:pPr>
              <w:pStyle w:val="Compact"/>
              <w:keepNext/>
              <w:spacing w:after="20" w:before="20" w:line="240" w:lineRule="auto"/>
              <w:jc w:val="center"/>
              <w:suppressLineNumbers/>
            </w:pPr>
            <w:r>
              <w:rPr>
                <w:rFonts w:ascii="Times New Roman" w:hAnsi="Times New Roman"/>
                <w:sz w:val="17"/>
              </w:rPr>
              <w:t xml:space="preserve">−1.46 (−3.3)</w:t>
            </w:r>
          </w:p>
        </w:tc>
      </w:tr>
      <w:tr>
        <w:trPr>
          <w:cantSplit/>
        </w:trPr>
        <w:tc>
          <w:tcPr>
            <w:tcW w:type="dxa" w:w="2093"/>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2026-Q3</w:t>
            </w:r>
          </w:p>
        </w:tc>
        <w:tc>
          <w:tcPr>
            <w:tcW w:type="dxa" w:w="1453"/>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239</w:t>
            </w:r>
          </w:p>
        </w:tc>
        <w:tc>
          <w:tcPr>
            <w:tcW w:type="dxa" w:w="2034"/>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1.61 (5.4)</w:t>
            </w:r>
          </w:p>
        </w:tc>
        <w:tc>
          <w:tcPr>
            <w:tcW w:type="dxa" w:w="1308"/>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175</w:t>
            </w:r>
          </w:p>
        </w:tc>
        <w:tc>
          <w:tcPr>
            <w:tcW w:type="dxa" w:w="2180"/>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−1.55 (−2.8)</w:t>
            </w:r>
          </w:p>
        </w:tc>
      </w:tr>
    </w:tbl>
    <w:p>
      <w:pPr>
        <w:pStyle w:val="BodyText"/>
        <w:spacing w:before="160" w:line="480" w:lineRule="auto"/>
      </w:pPr>
      <w:r>
        <w:rPr>
          <w:sz w:val="22"/>
        </w:rPr>
        <w:t xml:space="preserve">Counts are events with a day-</w:t>
      </w:r>
      <w:r>
        <w:rPr>
          <w:iCs/>
          <w:i/>
          <w:sz w:val="22"/>
        </w:rPr>
        <w:t xml:space="preserve">d</w:t>
      </w:r>
      <w:r>
        <w:rPr>
          <w:sz w:val="22"/>
        </w:rPr>
        <w:t xml:space="preserve">+1 open. The first and last quarters are partial. The KRX platform change falls in 2025-Q2.</w:t>
      </w:r>
    </w:p>
    <w:p>
      <w:pPr>
        <w:pStyle w:val="BodyText"/>
        <w:spacing w:line="480" w:lineRule="auto"/>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spacing w:line="480" w:lineRule="auto"/>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w:t>
      </w:r>
      <w:r>
        <w:t xml:space="preserve"> </w:t>
      </w:r>
      <w:r>
        <w:rPr>
          <w:iCs/>
          <w:i/>
        </w:rPr>
        <w:t xml:space="preserve">m</w:t>
      </w:r>
      <w:r>
        <w:rPr>
          <w:vertAlign w:val="subscript"/>
        </w:rPr>
        <w:t xml:space="preserve">max</w:t>
      </w:r>
      <w:r>
        <w:t xml:space="preserve"> </w:t>
      </w:r>
      <w:r>
        <w:t xml:space="preserve">= ⌊ 0.05 /</w:t>
      </w:r>
      <w:r>
        <w:t xml:space="preserve"> </w:t>
      </w:r>
      <w:r>
        <w:rPr>
          <w:iCs/>
          <w:i/>
        </w:rPr>
        <w:t xml:space="preserve">p</w:t>
      </w:r>
      <w:r>
        <w:rPr>
          <w:vertAlign w:val="subscript"/>
        </w:rPr>
        <w:t xml:space="preserve">max</w:t>
      </w:r>
      <w:r>
        <w:t xml:space="preserve"> </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(table C32 in S1 File).</w:t>
      </w:r>
    </w:p>
    <w:p>
      <w:pPr>
        <w:pStyle w:val="BodyText"/>
        <w:spacing w:line="480" w:lineRule="auto"/>
      </w:pPr>
      <w:r>
        <w:t xml:space="preserve">Event definitions that do not depend on the tick grid give the same picture (table C28 in S1 File).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spacing w:line="480" w:lineRule="auto"/>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1"/>
    <w:bookmarkStart w:id="33" w:name="discussion"/>
    <w:p>
      <w:pPr>
        <w:pStyle w:val="Heading1"/>
        <w:keepNext/>
        <w:spacing w:line="480" w:lineRule="auto"/>
      </w:pPr>
      <w:r>
        <w:t xml:space="preserve">Discussion</w:t>
      </w:r>
    </w:p>
    <w:p>
      <w:pPr>
        <w:pStyle w:val="FirstParagraph"/>
        <w:spacing w:line="480" w:lineRule="auto"/>
      </w:pPr>
      <w:r>
        <w:t xml:space="preserve">Our decomposition adds timing to the evidence of Kim and Rhee [13]: on HOSE the continuation after ceiling closes arrives at the next opening and ends after the first day, and the intraday giveback is a one-day analogue of the cross-period reversal in Lou et al. [28]. A pure attention reading must explain the contrast with stocks that moved almost as far, including those that also closed at their high, and a gap-only reading cannot explain the pre-change post-open drift after floor closes.</w:t>
      </w:r>
    </w:p>
    <w:p>
      <w:pPr>
        <w:pStyle w:val="BodyText"/>
        <w:spacing w:line="480" w:lineRule="auto"/>
      </w:pPr>
      <w:r>
        <w:t xml:space="preserve">None of the studies identified by our search (S1 Appendix) reports the next-day abnormal return, overnight gap, or intraday return after a limit close in a form that matches ours, so Table 6 compares signs, timing, and mechanism.</w:t>
      </w:r>
    </w:p>
    <w:p>
      <w:pPr>
        <w:pStyle w:val="BodyText"/>
        <w:keepNext/>
        <w:spacing w:after="60" w:line="480" w:lineRule="auto"/>
      </w:pPr>
      <w:r>
        <w:rPr>
          <w:bCs/>
          <w:b/>
          <w:sz w:val="24"/>
        </w:rPr>
        <w:t xml:space="preserve">Table 6. Comparison with earlier studies.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suppressLineNumbers/>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suppressLineNumbers/>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Kim and Rhee [13]</w:t>
            </w:r>
          </w:p>
        </w:tc>
        <w:tc>
          <w:tcPr>
            <w:tcW w:type="dxa" w:w="1460"/>
          </w:tcPr>
          <w:p>
            <w:pPr>
              <w:pStyle w:val="Compact"/>
              <w:keepNext/>
              <w:spacing w:after="20" w:before="20" w:line="240" w:lineRule="auto"/>
              <w:jc w:val="center"/>
              <w:suppressLineNumbers/>
            </w:pPr>
            <w:r>
              <w:rPr>
                <w:rFonts w:ascii="Times New Roman" w:hAnsi="Times New Roman"/>
                <w:sz w:val="17"/>
              </w:rPr>
              <w:t xml:space="preserve">Tokyo; limit hits</w:t>
            </w:r>
          </w:p>
        </w:tc>
        <w:tc>
          <w:tcPr>
            <w:tcW w:type="dxa" w:w="2793"/>
          </w:tcPr>
          <w:p>
            <w:pPr>
              <w:pStyle w:val="Compact"/>
              <w:keepNext/>
              <w:spacing w:after="20" w:before="20" w:line="240" w:lineRule="auto"/>
              <w:jc w:val="left"/>
              <w:suppressLineNumbers/>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suppressLineNumbers/>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Berkman and Lee [16]</w:t>
            </w:r>
          </w:p>
        </w:tc>
        <w:tc>
          <w:tcPr>
            <w:tcW w:type="dxa" w:w="1460"/>
          </w:tcPr>
          <w:p>
            <w:pPr>
              <w:pStyle w:val="Compact"/>
              <w:keepNext/>
              <w:spacing w:after="20" w:before="20" w:line="240" w:lineRule="auto"/>
              <w:jc w:val="center"/>
              <w:suppressLineNumbers/>
            </w:pPr>
            <w:r>
              <w:rPr>
                <w:rFonts w:ascii="Times New Roman" w:hAnsi="Times New Roman"/>
                <w:sz w:val="17"/>
              </w:rPr>
              <w:t xml:space="preserve">Korea; limit revision</w:t>
            </w:r>
          </w:p>
        </w:tc>
        <w:tc>
          <w:tcPr>
            <w:tcW w:type="dxa" w:w="2793"/>
          </w:tcPr>
          <w:p>
            <w:pPr>
              <w:pStyle w:val="Compact"/>
              <w:keepNext/>
              <w:spacing w:after="20" w:before="20" w:line="240" w:lineRule="auto"/>
              <w:jc w:val="left"/>
              <w:suppressLineNumbers/>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suppressLineNumbers/>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Huang et al. [5]</w:t>
            </w:r>
          </w:p>
        </w:tc>
        <w:tc>
          <w:tcPr>
            <w:tcW w:type="dxa" w:w="1460"/>
          </w:tcPr>
          <w:p>
            <w:pPr>
              <w:pStyle w:val="Compact"/>
              <w:keepNext/>
              <w:spacing w:after="20" w:before="20" w:line="240" w:lineRule="auto"/>
              <w:jc w:val="center"/>
              <w:suppressLineNumbers/>
            </w:pPr>
            <w:r>
              <w:rPr>
                <w:rFonts w:ascii="Times New Roman" w:hAnsi="Times New Roman"/>
                <w:sz w:val="17"/>
              </w:rPr>
              <w:t xml:space="preserve">Taiwan; limit hits</w:t>
            </w:r>
          </w:p>
        </w:tc>
        <w:tc>
          <w:tcPr>
            <w:tcW w:type="dxa" w:w="2793"/>
          </w:tcPr>
          <w:p>
            <w:pPr>
              <w:pStyle w:val="Compact"/>
              <w:keepNext/>
              <w:spacing w:after="20" w:before="20" w:line="240" w:lineRule="auto"/>
              <w:jc w:val="left"/>
              <w:suppressLineNumbers/>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suppressLineNumbers/>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Cho et al. [17]</w:t>
            </w:r>
          </w:p>
        </w:tc>
        <w:tc>
          <w:tcPr>
            <w:tcW w:type="dxa" w:w="1460"/>
          </w:tcPr>
          <w:p>
            <w:pPr>
              <w:pStyle w:val="Compact"/>
              <w:keepNext/>
              <w:spacing w:after="20" w:before="20" w:line="240" w:lineRule="auto"/>
              <w:jc w:val="center"/>
              <w:suppressLineNumbers/>
            </w:pPr>
            <w:r>
              <w:rPr>
                <w:rFonts w:ascii="Times New Roman" w:hAnsi="Times New Roman"/>
                <w:sz w:val="17"/>
              </w:rPr>
              <w:t xml:space="preserve">Taiwan; five-minute data</w:t>
            </w:r>
          </w:p>
        </w:tc>
        <w:tc>
          <w:tcPr>
            <w:tcW w:type="dxa" w:w="2793"/>
          </w:tcPr>
          <w:p>
            <w:pPr>
              <w:pStyle w:val="Compact"/>
              <w:keepNext/>
              <w:spacing w:after="20" w:before="20" w:line="240" w:lineRule="auto"/>
              <w:jc w:val="left"/>
              <w:suppressLineNumbers/>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suppressLineNumbers/>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Chen et al. [4]</w:t>
            </w:r>
          </w:p>
        </w:tc>
        <w:tc>
          <w:tcPr>
            <w:tcW w:type="dxa" w:w="1460"/>
          </w:tcPr>
          <w:p>
            <w:pPr>
              <w:pStyle w:val="Compact"/>
              <w:keepNext/>
              <w:spacing w:after="20" w:before="20" w:line="240" w:lineRule="auto"/>
              <w:jc w:val="center"/>
              <w:suppressLineNumbers/>
            </w:pPr>
            <w:r>
              <w:rPr>
                <w:rFonts w:ascii="Times New Roman" w:hAnsi="Times New Roman"/>
                <w:sz w:val="17"/>
              </w:rPr>
              <w:t xml:space="preserve">Shenzhen; accounts</w:t>
            </w:r>
          </w:p>
        </w:tc>
        <w:tc>
          <w:tcPr>
            <w:tcW w:type="dxa" w:w="2793"/>
          </w:tcPr>
          <w:p>
            <w:pPr>
              <w:pStyle w:val="Compact"/>
              <w:keepNext/>
              <w:spacing w:after="20" w:before="20" w:line="240" w:lineRule="auto"/>
              <w:jc w:val="left"/>
              <w:suppressLineNumbers/>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suppressLineNumbers/>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Qi [3]</w:t>
            </w:r>
          </w:p>
        </w:tc>
        <w:tc>
          <w:tcPr>
            <w:tcW w:type="dxa" w:w="1460"/>
          </w:tcPr>
          <w:p>
            <w:pPr>
              <w:pStyle w:val="Compact"/>
              <w:keepNext/>
              <w:spacing w:after="20" w:before="20" w:line="240" w:lineRule="auto"/>
              <w:jc w:val="center"/>
              <w:suppressLineNumbers/>
            </w:pPr>
            <w:r>
              <w:rPr>
                <w:rFonts w:ascii="Times New Roman" w:hAnsi="Times New Roman"/>
                <w:sz w:val="17"/>
              </w:rPr>
              <w:t xml:space="preserve">ChiNext; band 10% to 20%</w:t>
            </w:r>
          </w:p>
        </w:tc>
        <w:tc>
          <w:tcPr>
            <w:tcW w:type="dxa" w:w="2793"/>
          </w:tcPr>
          <w:p>
            <w:pPr>
              <w:pStyle w:val="Compact"/>
              <w:keepNext/>
              <w:spacing w:after="20" w:before="20" w:line="240" w:lineRule="auto"/>
              <w:jc w:val="left"/>
              <w:suppressLineNumbers/>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suppressLineNumbers/>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Lin et al. [22]; Zeng et al. [23]</w:t>
            </w:r>
          </w:p>
        </w:tc>
        <w:tc>
          <w:tcPr>
            <w:tcW w:type="dxa" w:w="1460"/>
          </w:tcPr>
          <w:p>
            <w:pPr>
              <w:pStyle w:val="Compact"/>
              <w:keepNext/>
              <w:spacing w:after="20" w:before="20" w:line="240" w:lineRule="auto"/>
              <w:jc w:val="center"/>
              <w:suppressLineNumbers/>
            </w:pPr>
            <w:r>
              <w:rPr>
                <w:rFonts w:ascii="Times New Roman" w:hAnsi="Times New Roman"/>
                <w:sz w:val="17"/>
              </w:rPr>
              <w:t xml:space="preserve">China; cross-section</w:t>
            </w:r>
          </w:p>
        </w:tc>
        <w:tc>
          <w:tcPr>
            <w:tcW w:type="dxa" w:w="2793"/>
          </w:tcPr>
          <w:p>
            <w:pPr>
              <w:pStyle w:val="Compact"/>
              <w:keepNext/>
              <w:spacing w:after="20" w:before="20" w:line="240" w:lineRule="auto"/>
              <w:jc w:val="left"/>
              <w:suppressLineNumbers/>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suppressLineNumbers/>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Berkman et al. [26]</w:t>
            </w:r>
          </w:p>
        </w:tc>
        <w:tc>
          <w:tcPr>
            <w:tcW w:type="dxa" w:w="1460"/>
          </w:tcPr>
          <w:p>
            <w:pPr>
              <w:pStyle w:val="Compact"/>
              <w:keepNext/>
              <w:spacing w:after="20" w:before="20" w:line="240" w:lineRule="auto"/>
              <w:jc w:val="center"/>
              <w:suppressLineNumbers/>
            </w:pPr>
            <w:r>
              <w:rPr>
                <w:rFonts w:ascii="Times New Roman" w:hAnsi="Times New Roman"/>
                <w:sz w:val="17"/>
              </w:rPr>
              <w:t xml:space="preserve">U.S.; intraday data</w:t>
            </w:r>
          </w:p>
        </w:tc>
        <w:tc>
          <w:tcPr>
            <w:tcW w:type="dxa" w:w="2793"/>
          </w:tcPr>
          <w:p>
            <w:pPr>
              <w:pStyle w:val="Compact"/>
              <w:keepNext/>
              <w:spacing w:after="20" w:before="20" w:line="240" w:lineRule="auto"/>
              <w:jc w:val="left"/>
              <w:suppressLineNumbers/>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suppressLineNumbers/>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Lou et al. [28]</w:t>
            </w:r>
          </w:p>
        </w:tc>
        <w:tc>
          <w:tcPr>
            <w:tcW w:type="dxa" w:w="1460"/>
          </w:tcPr>
          <w:p>
            <w:pPr>
              <w:pStyle w:val="Compact"/>
              <w:keepNext/>
              <w:spacing w:after="20" w:before="20" w:line="240" w:lineRule="auto"/>
              <w:jc w:val="center"/>
              <w:suppressLineNumbers/>
            </w:pPr>
            <w:r>
              <w:rPr>
                <w:rFonts w:ascii="Times New Roman" w:hAnsi="Times New Roman"/>
                <w:sz w:val="17"/>
              </w:rPr>
              <w:t xml:space="preserve">U.S.; stock returns</w:t>
            </w:r>
          </w:p>
        </w:tc>
        <w:tc>
          <w:tcPr>
            <w:tcW w:type="dxa" w:w="2793"/>
          </w:tcPr>
          <w:p>
            <w:pPr>
              <w:pStyle w:val="Compact"/>
              <w:keepNext/>
              <w:spacing w:after="20" w:before="20" w:line="240" w:lineRule="auto"/>
              <w:jc w:val="left"/>
              <w:suppressLineNumbers/>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suppressLineNumbers/>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suppressLineNumbers/>
            </w:pPr>
            <w:r>
              <w:rPr>
                <w:rFonts w:ascii="Times New Roman" w:hAnsi="Times New Roman"/>
                <w:sz w:val="17"/>
              </w:rPr>
              <w:t xml:space="preserve">Qiao and Dam [32]</w:t>
            </w:r>
          </w:p>
        </w:tc>
        <w:tc>
          <w:tcPr>
            <w:tcW w:type="dxa" w:w="1460"/>
          </w:tcPr>
          <w:p>
            <w:pPr>
              <w:pStyle w:val="Compact"/>
              <w:keepNext/>
              <w:spacing w:after="20" w:before="20" w:line="240" w:lineRule="auto"/>
              <w:jc w:val="center"/>
              <w:suppressLineNumbers/>
            </w:pPr>
            <w:r>
              <w:rPr>
                <w:rFonts w:ascii="Times New Roman" w:hAnsi="Times New Roman"/>
                <w:sz w:val="17"/>
              </w:rPr>
              <w:t xml:space="preserve">China A-shares</w:t>
            </w:r>
          </w:p>
        </w:tc>
        <w:tc>
          <w:tcPr>
            <w:tcW w:type="dxa" w:w="2793"/>
          </w:tcPr>
          <w:p>
            <w:pPr>
              <w:pStyle w:val="Compact"/>
              <w:keepNext/>
              <w:spacing w:after="20" w:before="20" w:line="240" w:lineRule="auto"/>
              <w:jc w:val="left"/>
              <w:suppressLineNumbers/>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suppressLineNumbers/>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Hou et al. [38]; Harvey et al. [7]</w:t>
            </w:r>
          </w:p>
        </w:tc>
        <w:tc>
          <w:tcPr>
            <w:tcW w:type="dxa" w:w="1460"/>
            <w:tcBorders>
              <w:bottom w:val="single" w:sz="8" w:color="000000" w:space="0"/>
            </w:tcBorders>
          </w:tcPr>
          <w:p>
            <w:pPr>
              <w:pStyle w:val="Compact"/>
              <w:spacing w:after="20" w:before="20" w:line="240" w:lineRule="auto"/>
              <w:jc w:val="center"/>
              <w:suppressLineNumbers/>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suppressLineNumbers/>
            </w:pPr>
            <w:r>
              <w:rPr>
                <w:rFonts w:ascii="Times New Roman" w:hAnsi="Times New Roman"/>
                <w:sz w:val="17"/>
              </w:rPr>
              <w:t xml:space="preserve">None of our 22 characteristics reaches 1.96 in the full sample</w:t>
            </w:r>
          </w:p>
        </w:tc>
      </w:tr>
    </w:tbl>
    <w:p>
      <w:pPr>
        <w:pStyle w:val="BodyText"/>
        <w:spacing w:before="160" w:line="480" w:lineRule="auto"/>
      </w:pPr>
      <w:r>
        <w:rPr>
          <w:sz w:val="22"/>
        </w:rPr>
        <w:t xml:space="preserve">Findings are as reported in each source’s abstract or in the records we could access.</w:t>
      </w:r>
    </w:p>
    <w:p>
      <w:pPr>
        <w:pStyle w:val="BodyText"/>
        <w:spacing w:line="480" w:lineRule="auto"/>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[3] studies, would give a natural experiment.</w:t>
      </w:r>
    </w:p>
    <w:p>
      <w:pPr>
        <w:pStyle w:val="BodyText"/>
        <w:spacing w:line="480" w:lineRule="auto"/>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[29,31], a limit would add a visible, rule-based trigger to an attention mechanism that operates without limits.</w:t>
      </w:r>
    </w:p>
    <w:p>
      <w:pPr>
        <w:pStyle w:val="BodyText"/>
        <w:spacing w:line="480" w:lineRule="auto"/>
      </w:pPr>
      <w:r>
        <w:t xml:space="preserve">Ceiling closes cover about 2.0% of stock-days in the event window, and the low-powered characteristic null says little about the cross-section, so we make no claim that limit closes explain the cross-section of returns.</w:t>
      </w:r>
    </w:p>
    <w:p>
      <w:pPr>
        <w:pStyle w:val="BodyText"/>
        <w:spacing w:line="480" w:lineRule="auto"/>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32" w:name="limitations"/>
    <w:p>
      <w:pPr>
        <w:pStyle w:val="Heading2"/>
        <w:keepNext/>
        <w:spacing w:line="480" w:lineRule="auto"/>
      </w:pPr>
      <w:r>
        <w:t xml:space="preserve">Limitations</w:t>
      </w:r>
    </w:p>
    <w:p>
      <w:pPr>
        <w:numPr>
          <w:ilvl w:val="0"/>
          <w:numId w:val="1001"/>
        </w:numPr>
        <w:pStyle w:val="Compact"/>
        <w:spacing w:line="480" w:lineRule="auto"/>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End w:id="33"/>
    <w:bookmarkStart w:id="34" w:name="conclusions"/>
    <w:p>
      <w:pPr>
        <w:pStyle w:val="Heading1"/>
        <w:keepNext/>
        <w:spacing w:line="480" w:lineRule="auto"/>
      </w:pPr>
      <w:r>
        <w:t xml:space="preserve">Conclusions</w:t>
      </w:r>
    </w:p>
    <w:p>
      <w:pPr>
        <w:pStyle w:val="FirstParagraph"/>
        <w:spacing w:line="480" w:lineRule="auto"/>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4"/>
    <w:bookmarkStart w:id="35" w:name="acknowledgments"/>
    <w:p>
      <w:pPr>
        <w:pStyle w:val="Heading1"/>
        <w:keepNext/>
        <w:spacing w:line="480" w:lineRule="auto"/>
      </w:pPr>
      <w:r>
        <w:t xml:space="preserve">Acknowledgments</w:t>
      </w:r>
    </w:p>
    <w:p>
      <w:pPr>
        <w:pStyle w:val="FirstParagraph"/>
        <w:spacing w:line="480" w:lineRule="auto"/>
      </w:pPr>
      <w:r>
        <w:t xml:space="preserve">The authors used Claude (Anthropic), a generative AI assistant, to run the literature searches (S1 Appendix), write analysis code, draft text, and check numbers against output files. The authors reviewed all AI-assisted output and are responsible for the content. References and the institutional facts on the Ho Chi Minh Stock Exchange were checked by web search; exchange circulars were not consulted.</w:t>
      </w:r>
    </w:p>
    <w:bookmarkEnd w:id="35"/>
    <w:bookmarkStart w:id="38" w:name="references"/>
    <w:p>
      <w:pPr>
        <w:pStyle w:val="Heading1"/>
        <w:keepNext/>
        <w:spacing w:line="480" w:lineRule="auto"/>
      </w:pPr>
      <w:r>
        <w:t xml:space="preserve">References</w:t>
      </w:r>
    </w:p>
    <w:p>
      <w:pPr>
        <w:numPr>
          <w:ilvl w:val="0"/>
          <w:numId w:val="1002"/>
        </w:numPr>
        <w:spacing w:line="480" w:lineRule="auto"/>
      </w:pPr>
      <w:r>
        <w:t xml:space="preserve">Jia S, An Y, Yang L, Zhou F. Price limit relaxation and stock price crash risk: Evidence from China. Finance Research Letters. 2024;59: 104715. doi: 10.1016/j.frl.2023.104715</w:t>
      </w:r>
    </w:p>
    <w:p>
      <w:pPr>
        <w:numPr>
          <w:ilvl w:val="0"/>
          <w:numId w:val="1002"/>
        </w:numPr>
        <w:spacing w:line="480" w:lineRule="auto"/>
      </w:pPr>
      <w:r>
        <w:t xml:space="preserve">Lien D, Hung PH, Zhu JD, Chen YH. Price limit changes and market quality in the Taiwan Stock Exchange. Pacific-Basin Finance Journal. 2019;55: 239–258.</w:t>
      </w:r>
    </w:p>
    <w:p>
      <w:pPr>
        <w:numPr>
          <w:ilvl w:val="0"/>
          <w:numId w:val="1002"/>
        </w:numPr>
        <w:spacing w:line="480" w:lineRule="auto"/>
      </w:pPr>
      <w:r>
        <w:t xml:space="preserve">Qi B. Effectiveness of price limits: Evidence from China’s ChiNext market. PLOS ONE. 2023;18(6): e0287548. doi: 10.1371/journal.pone.0287548</w:t>
      </w:r>
    </w:p>
    <w:p>
      <w:pPr>
        <w:numPr>
          <w:ilvl w:val="0"/>
          <w:numId w:val="1002"/>
        </w:numPr>
        <w:spacing w:line="480" w:lineRule="auto"/>
      </w:pPr>
      <w:r>
        <w:t xml:space="preserve">Chen T, Gao Z, He J, Jiang W, Xiong W. Daily price limits and destructive market behavior. Journal of Econometrics. 2019;208(1): 249–264. doi: 10.1016/j.jeconom.2018.09.014</w:t>
      </w:r>
    </w:p>
    <w:p>
      <w:pPr>
        <w:numPr>
          <w:ilvl w:val="0"/>
          <w:numId w:val="1002"/>
        </w:numPr>
        <w:spacing w:line="480" w:lineRule="auto"/>
      </w:pPr>
      <w:r>
        <w:t xml:space="preserve">Huang YS, Fu TW, Ke MC. Daily price limits and stock price behavior: Evidence from the Taiwan Stock Exchange. International Review of Economics &amp; Finance. 2001;10(3): 263–288.</w:t>
      </w:r>
    </w:p>
    <w:p>
      <w:pPr>
        <w:numPr>
          <w:ilvl w:val="0"/>
          <w:numId w:val="1002"/>
        </w:numPr>
        <w:spacing w:line="480" w:lineRule="auto"/>
      </w:pPr>
      <w:r>
        <w:t xml:space="preserve">Benjamini Y, Hochberg Y. Controlling the false discovery rate: A practical and powerful approach to multiple testing. Journal of the Royal Statistical Society: Series B. 1995;57(1): 289–300. doi: 10.1111/j.2517-6161.1995.tb02031.x</w:t>
      </w:r>
    </w:p>
    <w:p>
      <w:pPr>
        <w:numPr>
          <w:ilvl w:val="0"/>
          <w:numId w:val="1002"/>
        </w:numPr>
        <w:spacing w:line="480" w:lineRule="auto"/>
      </w:pPr>
      <w:r>
        <w:t xml:space="preserve">Harvey CR, Liu Y, Zhu H. …and the cross-section of expected returns. Review of Financial Studies. 2016;29(1): 5–68. doi: 10.1093/rfs/hhv059</w:t>
      </w:r>
    </w:p>
    <w:p>
      <w:pPr>
        <w:numPr>
          <w:ilvl w:val="0"/>
          <w:numId w:val="1002"/>
        </w:numPr>
        <w:spacing w:line="480" w:lineRule="auto"/>
      </w:pPr>
      <w:r>
        <w:t xml:space="preserve">Brennan MJ. A theory of price limits in futures markets. Journal of Financial Economics. 1986;16(2): 213–233. doi: 10.1016/0304-405X(86)90061-9</w:t>
      </w:r>
    </w:p>
    <w:p>
      <w:pPr>
        <w:numPr>
          <w:ilvl w:val="0"/>
          <w:numId w:val="1002"/>
        </w:numPr>
        <w:spacing w:line="480" w:lineRule="auto"/>
      </w:pPr>
      <w:r>
        <w:t xml:space="preserve">Kodres LE, O’Brien DP. The existence of Pareto-superior price limits. American Economic Review. 1994;84(4): 919–932.</w:t>
      </w:r>
    </w:p>
    <w:p>
      <w:pPr>
        <w:numPr>
          <w:ilvl w:val="0"/>
          <w:numId w:val="1002"/>
        </w:numPr>
        <w:spacing w:line="480" w:lineRule="auto"/>
      </w:pPr>
      <w:r>
        <w:t xml:space="preserve">Greenwald BC, Stein JC. Transactional risk, market crashes, and the role of circuit breakers. Journal of Business. 1991;64(4): 443–462.</w:t>
      </w:r>
    </w:p>
    <w:p>
      <w:pPr>
        <w:numPr>
          <w:ilvl w:val="0"/>
          <w:numId w:val="1002"/>
        </w:numPr>
        <w:spacing w:line="480" w:lineRule="auto"/>
      </w:pPr>
      <w:r>
        <w:t xml:space="preserve">Subrahmanyam A. Circuit breakers and market volatility: A theoretical perspective. Journal of Finance. 1994;49(1): 237–254. doi: 10.1111/j.1540-6261.1994.tb04427.x</w:t>
      </w:r>
    </w:p>
    <w:p>
      <w:pPr>
        <w:numPr>
          <w:ilvl w:val="0"/>
          <w:numId w:val="1002"/>
        </w:numPr>
        <w:spacing w:line="480" w:lineRule="auto"/>
      </w:pPr>
      <w:r>
        <w:t xml:space="preserve">Chen H, Petukhov A, Wang J, Xing H. The dark side of circuit breakers. Journal of Finance. 2024;79(2): 1405–1455. doi: 10.1111/jofi.13310</w:t>
      </w:r>
    </w:p>
    <w:p>
      <w:pPr>
        <w:numPr>
          <w:ilvl w:val="0"/>
          <w:numId w:val="1002"/>
        </w:numPr>
        <w:spacing w:line="480" w:lineRule="auto"/>
      </w:pPr>
      <w:r>
        <w:t xml:space="preserve">Kim KA, Rhee SG. Price limit performance: Evidence from the Tokyo Stock Exchange. Journal of Finance. 1997;52(2): 885–901. doi: 10.1111/j.1540-6261.1997.tb04827.x</w:t>
      </w:r>
    </w:p>
    <w:p>
      <w:pPr>
        <w:numPr>
          <w:ilvl w:val="0"/>
          <w:numId w:val="1002"/>
        </w:numPr>
        <w:spacing w:line="480" w:lineRule="auto"/>
      </w:pPr>
      <w:r>
        <w:t xml:space="preserve">Bildik R, Gülay G. Are price limits effective? Evidence from the Istanbul Stock Exchange. Journal of Financial Research. 2006;29(3): 383–403. doi: 10.1111/j.1475-6803.2006.00185.x</w:t>
      </w:r>
    </w:p>
    <w:p>
      <w:pPr>
        <w:numPr>
          <w:ilvl w:val="0"/>
          <w:numId w:val="1002"/>
        </w:numPr>
        <w:spacing w:line="480" w:lineRule="auto"/>
      </w:pPr>
      <w:r>
        <w:t xml:space="preserve">Chen YM. Price limits and stock market volatility in Taiwan. Pacific-Basin Finance Journal. 1993;1(2): 139–153. doi: 10.1016/0927-538X(93)90005-3</w:t>
      </w:r>
    </w:p>
    <w:p>
      <w:pPr>
        <w:numPr>
          <w:ilvl w:val="0"/>
          <w:numId w:val="1002"/>
        </w:numPr>
        <w:spacing w:line="480" w:lineRule="auto"/>
      </w:pPr>
      <w:r>
        <w:t xml:space="preserve">Berkman H, Lee JBT. The effectiveness of price limits in an emerging market: Evidence from the Korean Stock Exchange. Pacific-Basin Finance Journal. 2002;10(5): 517–530. doi: 10.1016/S0927-538X(02)00040-9</w:t>
      </w:r>
    </w:p>
    <w:p>
      <w:pPr>
        <w:numPr>
          <w:ilvl w:val="0"/>
          <w:numId w:val="1002"/>
        </w:numPr>
        <w:spacing w:line="480" w:lineRule="auto"/>
      </w:pPr>
      <w:r>
        <w:t xml:space="preserve">Cho DD, Russell J, Tiao GC, Tsay RS. The magnet effect of price limits: Evidence from high-frequency data on Taiwan Stock Exchange. Journal of Empirical Finance. 2003;10(1–2): 133–168. doi: 10.1016/S0927-5398(02)00024-5</w:t>
      </w:r>
    </w:p>
    <w:p>
      <w:pPr>
        <w:numPr>
          <w:ilvl w:val="0"/>
          <w:numId w:val="1002"/>
        </w:numPr>
        <w:spacing w:line="480" w:lineRule="auto"/>
      </w:pPr>
      <w:r>
        <w:t xml:space="preserve">Kim KA, Limpaphayom P. Characteristics of stocks that frequently hit price limits: Empirical evidence from Taiwan and Thailand. Journal of Financial Markets. 2000;3(3): 315–332.</w:t>
      </w:r>
    </w:p>
    <w:p>
      <w:pPr>
        <w:numPr>
          <w:ilvl w:val="0"/>
          <w:numId w:val="1002"/>
        </w:numPr>
        <w:spacing w:line="480" w:lineRule="auto"/>
      </w:pPr>
      <w:r>
        <w:t xml:space="preserve">Deb SS, Kalev PS, Marisetty VB. Flexible price limits: The case of Tokyo Stock Exchange. Journal of International Financial Markets, Institutions and Money. 2013;24: 66–84.</w:t>
      </w:r>
    </w:p>
    <w:p>
      <w:pPr>
        <w:numPr>
          <w:ilvl w:val="0"/>
          <w:numId w:val="1002"/>
        </w:numPr>
        <w:spacing w:line="480" w:lineRule="auto"/>
      </w:pPr>
      <w:r>
        <w:t xml:space="preserve">Zhang X, Wang Z, Hao J, He F. Price limit and stock market quality: Evidence from a quasi-natural experiment in the Chinese stock market. Pacific-Basin Finance Journal. 2022;74: 101778.</w:t>
      </w:r>
    </w:p>
    <w:p>
      <w:pPr>
        <w:numPr>
          <w:ilvl w:val="0"/>
          <w:numId w:val="1002"/>
        </w:numPr>
        <w:spacing w:line="480" w:lineRule="auto"/>
      </w:pPr>
      <w:r>
        <w:t xml:space="preserve">Kim W, Jun S. Effects of a price limit change on market stability at the intraday horizon in the Korean stock market. Applied Economics Letters. 2019;26(7): 582–586.</w:t>
      </w:r>
    </w:p>
    <w:p>
      <w:pPr>
        <w:numPr>
          <w:ilvl w:val="0"/>
          <w:numId w:val="1002"/>
        </w:numPr>
        <w:spacing w:line="480" w:lineRule="auto"/>
      </w:pPr>
      <w:r>
        <w:t xml:space="preserve">Lin F, Qiu Z, Zheng W. Cranes among chickens: The general-attention-grabbing effect of daily price limits in China’s stock market. Journal of Banking &amp; Finance. 2023;150: 106818. doi: 10.1016/j.jbankfin.2023.106818</w:t>
      </w:r>
    </w:p>
    <w:p>
      <w:pPr>
        <w:numPr>
          <w:ilvl w:val="0"/>
          <w:numId w:val="1002"/>
        </w:numPr>
        <w:spacing w:line="480" w:lineRule="auto"/>
      </w:pPr>
      <w:r>
        <w:t xml:space="preserve">Zeng Z, Wang G, Tang G. Price limits hitting effect and cross-sectional stock returns: Evidence from China. Finance Research Letters. 2024;60: 104803. doi: 10.1016/j.frl.2023.104803</w:t>
      </w:r>
    </w:p>
    <w:p>
      <w:pPr>
        <w:numPr>
          <w:ilvl w:val="0"/>
          <w:numId w:val="1002"/>
        </w:numPr>
        <w:spacing w:line="480" w:lineRule="auto"/>
      </w:pPr>
      <w:r>
        <w:t xml:space="preserve">Liang H, Hu Y. Stock price limit and its predictability in the Chinese stock market. Journal of Forecasting. 2025;44: 297–319. doi: 10.1002/for.3197</w:t>
      </w:r>
    </w:p>
    <w:p>
      <w:pPr>
        <w:numPr>
          <w:ilvl w:val="0"/>
          <w:numId w:val="1002"/>
        </w:numPr>
        <w:spacing w:line="480" w:lineRule="auto"/>
      </w:pPr>
      <w:r>
        <w:t xml:space="preserve">Kelly MA, Clark SP. Returns in trading versus non-trading hours: The difference is day and night. Journal of Asset Management. 2011;12: 132–145. doi: 10.1057/jam.2011.2</w:t>
      </w:r>
    </w:p>
    <w:p>
      <w:pPr>
        <w:numPr>
          <w:ilvl w:val="0"/>
          <w:numId w:val="1002"/>
        </w:numPr>
        <w:spacing w:line="480" w:lineRule="auto"/>
      </w:pPr>
      <w:r>
        <w:t xml:space="preserve">Berkman H, Koch PD, Tuttle L, Zhang YJ. Paying attention: Overnight returns and the hidden cost of buying at the open. Journal of Financial and Quantitative Analysis. 2012;47(4): 715–741. doi: 10.1017/S0022109012000270</w:t>
      </w:r>
    </w:p>
    <w:p>
      <w:pPr>
        <w:numPr>
          <w:ilvl w:val="0"/>
          <w:numId w:val="1002"/>
        </w:numPr>
        <w:spacing w:line="480" w:lineRule="auto"/>
      </w:pPr>
      <w:r>
        <w:t xml:space="preserve">Aboody D, Even-Tov O, Lehavy R, Trueman B. Overnight returns and firm-specific investor sentiment. Journal of Financial and Quantitative Analysis. 2018;53(2): 485–505.</w:t>
      </w:r>
    </w:p>
    <w:p>
      <w:pPr>
        <w:numPr>
          <w:ilvl w:val="0"/>
          <w:numId w:val="1002"/>
        </w:numPr>
        <w:spacing w:line="480" w:lineRule="auto"/>
      </w:pPr>
      <w:r>
        <w:t xml:space="preserve">Lou D, Polk C, Skouras S. A tug of war: Overnight versus intraday expected returns. Journal of Financial Economics. 2019;134(1): 192–213. doi: 10.1016/j.jfineco.2019.03.011</w:t>
      </w:r>
    </w:p>
    <w:p>
      <w:pPr>
        <w:numPr>
          <w:ilvl w:val="0"/>
          <w:numId w:val="1002"/>
        </w:numPr>
        <w:spacing w:line="480" w:lineRule="auto"/>
      </w:pPr>
      <w:r>
        <w:t xml:space="preserve">Akbas F, Boehmer E, Jiang C, Koch PD. Overnight returns, daytime reversals, and future stock returns. Journal of Financial Economics. 2022;145(3): 850–875. doi: 10.1016/j.jfineco.2021.09.019</w:t>
      </w:r>
    </w:p>
    <w:p>
      <w:pPr>
        <w:numPr>
          <w:ilvl w:val="0"/>
          <w:numId w:val="1002"/>
        </w:numPr>
        <w:spacing w:line="480" w:lineRule="auto"/>
      </w:pPr>
      <w:r>
        <w:t xml:space="preserve">Bogousslavsky V. The cross-section of intraday and overnight returns. Journal of Financial Economics. 2021;141(1): 172–194.</w:t>
      </w:r>
    </w:p>
    <w:p>
      <w:pPr>
        <w:numPr>
          <w:ilvl w:val="0"/>
          <w:numId w:val="1002"/>
        </w:numPr>
        <w:spacing w:line="480" w:lineRule="auto"/>
      </w:pPr>
      <w:r>
        <w:t xml:space="preserve">Lu Z, Malliaris SG, Qin Z. Heterogeneous liquidity providers and night-minus-day return predictability. Journal of Financial Economics. 2023;148(3): 175–200.</w:t>
      </w:r>
    </w:p>
    <w:p>
      <w:pPr>
        <w:numPr>
          <w:ilvl w:val="0"/>
          <w:numId w:val="1002"/>
        </w:numPr>
        <w:spacing w:line="480" w:lineRule="auto"/>
      </w:pPr>
      <w:r>
        <w:t xml:space="preserve">Qiao K, Dam L. The overnight return puzzle and the</w:t>
      </w:r>
      <w:r>
        <w:t xml:space="preserve"> </w:t>
      </w:r>
      <w:r>
        <w:t xml:space="preserve">“</w:t>
      </w:r>
      <w:r>
        <w:t xml:space="preserve">T+1</w:t>
      </w:r>
      <w:r>
        <w:t xml:space="preserve">”</w:t>
      </w:r>
      <w:r>
        <w:t xml:space="preserve"> </w:t>
      </w:r>
      <w:r>
        <w:t xml:space="preserve">trading rule in Chinese stock markets. Journal of Financial Markets. 2020;50: 100534.</w:t>
      </w:r>
    </w:p>
    <w:p>
      <w:pPr>
        <w:numPr>
          <w:ilvl w:val="0"/>
          <w:numId w:val="1002"/>
        </w:numPr>
        <w:spacing w:line="480" w:lineRule="auto"/>
      </w:pPr>
      <w:r>
        <w:t xml:space="preserve">Gu M, Hu Y, Xiong Z. Dissecting the lottery-like anomaly: Evidence from China. Accounting &amp; Finance. 2025;65(1): 883–911. doi: 10.1111/acfi.13354</w:t>
      </w:r>
    </w:p>
    <w:p>
      <w:pPr>
        <w:numPr>
          <w:ilvl w:val="0"/>
          <w:numId w:val="1002"/>
        </w:numPr>
        <w:spacing w:line="480" w:lineRule="auto"/>
      </w:pPr>
      <w:r>
        <w:t xml:space="preserve">Qiu J, Huang W, Jiang Y. Day-night anomaly returns in China: The role of institutions. Research in International Business and Finance. 2025;75: 102776.</w:t>
      </w:r>
    </w:p>
    <w:p>
      <w:pPr>
        <w:numPr>
          <w:ilvl w:val="0"/>
          <w:numId w:val="1002"/>
        </w:numPr>
        <w:spacing w:line="480" w:lineRule="auto"/>
      </w:pPr>
      <w:r>
        <w:t xml:space="preserve">Jones CM, Shi D, Zhang X, Zhang X. Retail trading and return predictability in China. Journal of Financial and Quantitative Analysis. 2025;60(1): 68–104.</w:t>
      </w:r>
    </w:p>
    <w:p>
      <w:pPr>
        <w:numPr>
          <w:ilvl w:val="0"/>
          <w:numId w:val="1002"/>
        </w:numPr>
        <w:spacing w:line="480" w:lineRule="auto"/>
      </w:pPr>
      <w:r>
        <w:t xml:space="preserve">Harvey CR, Liu Y. False (and missed) discoveries in financial economics. Journal of Finance. 2020;75(5): 2503–2553. doi: 10.1111/jofi.12951</w:t>
      </w:r>
    </w:p>
    <w:p>
      <w:pPr>
        <w:numPr>
          <w:ilvl w:val="0"/>
          <w:numId w:val="1002"/>
        </w:numPr>
        <w:spacing w:line="480" w:lineRule="auto"/>
      </w:pPr>
      <w:r>
        <w:t xml:space="preserve">Chordia T, Goyal A, Saretto A. Anomalies and false rejections. Review of Financial Studies. 2020;33(5): 2134–2179.</w:t>
      </w:r>
    </w:p>
    <w:p>
      <w:pPr>
        <w:numPr>
          <w:ilvl w:val="0"/>
          <w:numId w:val="1002"/>
        </w:numPr>
        <w:spacing w:line="480" w:lineRule="auto"/>
      </w:pPr>
      <w:r>
        <w:t xml:space="preserve">Hou K, Xue C, Zhang L. Replicating anomalies. Review of Financial Studies. 2020;33(5): 2019–2133.</w:t>
      </w:r>
    </w:p>
    <w:p>
      <w:pPr>
        <w:numPr>
          <w:ilvl w:val="0"/>
          <w:numId w:val="1002"/>
        </w:numPr>
        <w:spacing w:line="480" w:lineRule="auto"/>
      </w:pPr>
      <w:r>
        <w:t xml:space="preserve">Petersen MA. Estimating standard errors in finance panel data sets: Comparing approaches. Review of Financial Studies. 2009;22(1): 435–480.</w:t>
      </w:r>
    </w:p>
    <w:p>
      <w:pPr>
        <w:numPr>
          <w:ilvl w:val="0"/>
          <w:numId w:val="1002"/>
        </w:numPr>
        <w:spacing w:line="480" w:lineRule="auto"/>
      </w:pPr>
      <w:r>
        <w:t xml:space="preserve">Gutierrez RC Jr, Kelley EK. The long-lasting momentum in weekly returns. Journal of Finance. 2008;63(1): 415–447. doi: 10.1111/j.1540-6261.2008.01320.x</w:t>
      </w:r>
    </w:p>
    <w:p>
      <w:pPr>
        <w:numPr>
          <w:ilvl w:val="0"/>
          <w:numId w:val="1002"/>
        </w:numPr>
        <w:spacing w:line="480" w:lineRule="auto"/>
      </w:pPr>
      <w:r>
        <w:t xml:space="preserve">Huang X, Liu C, Shu T. Factors and anomalies in the Vietnamese stock market. Pacific-Basin Finance Journal. 2023;82: 102176.</w:t>
      </w:r>
    </w:p>
    <w:p>
      <w:pPr>
        <w:numPr>
          <w:ilvl w:val="0"/>
          <w:numId w:val="1002"/>
        </w:numPr>
        <w:spacing w:line="480" w:lineRule="auto"/>
      </w:pPr>
      <w:r>
        <w:t xml:space="preserve">Ho Chi Minh City Securities Corporation. Important changes of new trading system [Internet]. Ho Chi Minh City: Ho Chi Minh City Securities Corporation; 2025 [cited 2026 Oct 5]. Available from:</w:t>
      </w:r>
      <w:r>
        <w:t xml:space="preserve"> </w:t>
      </w:r>
      <w:hyperlink r:id="rId36">
        <w:r>
          <w:rPr>
            <w:rStyle w:val="Hyperlink"/>
          </w:rPr>
          <w:t xml:space="preserve">https://www.hsc.com.vn/en/important-changes-of-new-trading-system</w:t>
        </w:r>
      </w:hyperlink>
    </w:p>
    <w:p>
      <w:pPr>
        <w:numPr>
          <w:ilvl w:val="0"/>
          <w:numId w:val="1002"/>
        </w:numPr>
        <w:spacing w:line="480" w:lineRule="auto"/>
      </w:pPr>
      <w:r>
        <w:t xml:space="preserve">Viet Nam News. KRX system officially goes live. Viet Nam News. 2025 [cited 2026 Oct 5]. Available from:</w:t>
      </w:r>
      <w:r>
        <w:t xml:space="preserve"> </w:t>
      </w:r>
      <w:hyperlink r:id="rId37">
        <w:r>
          <w:rPr>
            <w:rStyle w:val="Hyperlink"/>
          </w:rPr>
          <w:t xml:space="preserve">https://vietnamnews.vn/economy/1717047/krx-system-officially-goes-live.html</w:t>
        </w:r>
      </w:hyperlink>
    </w:p>
    <w:p>
      <w:pPr>
        <w:numPr>
          <w:ilvl w:val="0"/>
          <w:numId w:val="1002"/>
        </w:numPr>
        <w:spacing w:line="480" w:lineRule="auto"/>
      </w:pPr>
      <w:r>
        <w:t xml:space="preserve">Cameron AC, Gelbach JB, Miller DL. Robust inference with multiway clustering. Journal of Business &amp; Economic Statistics. 2011;29(2): 238–249. doi: 10.1198/jbes.2010.07136</w:t>
      </w:r>
    </w:p>
    <w:p>
      <w:pPr>
        <w:numPr>
          <w:ilvl w:val="0"/>
          <w:numId w:val="1002"/>
        </w:numPr>
        <w:spacing w:line="480" w:lineRule="auto"/>
      </w:pPr>
      <w:r>
        <w:t xml:space="preserve">Fama EF, MacBeth JD. Risk, return, and equilibrium: Empirical tests. Journal of Political Economy. 1973;81(3): 607–636. doi: 10.1086/260061</w:t>
      </w:r>
    </w:p>
    <w:p>
      <w:pPr>
        <w:numPr>
          <w:ilvl w:val="0"/>
          <w:numId w:val="1002"/>
        </w:numPr>
        <w:spacing w:line="480" w:lineRule="auto"/>
      </w:pPr>
      <w:r>
        <w:t xml:space="preserve">Newey WK, West KD. A simple, positive semi-definite, heteroskedasticity and autocorrelation consistent covariance matrix. Econometrica. 1987;55(3): 703–708. doi: 10.2307/1913610</w:t>
      </w:r>
    </w:p>
    <w:p>
      <w:pPr>
        <w:numPr>
          <w:ilvl w:val="0"/>
          <w:numId w:val="1002"/>
        </w:numPr>
        <w:spacing w:line="480" w:lineRule="auto"/>
      </w:pPr>
      <w:r>
        <w:t xml:space="preserve">Holm S. A simple sequentially rejective multiple test procedure. Scandinavian Journal of Statistics. 1979;6(2): 65–70.</w:t>
      </w:r>
    </w:p>
    <w:bookmarkEnd w:id="38"/>
    <w:bookmarkStart w:id="39" w:name="supporting-information"/>
    <w:p>
      <w:pPr>
        <w:pStyle w:val="Heading1"/>
        <w:keepNext/>
        <w:spacing w:line="480" w:lineRule="auto"/>
      </w:pPr>
      <w:r>
        <w:t xml:space="preserve">Supporting information</w:t>
      </w:r>
    </w:p>
    <w:p>
      <w:pPr>
        <w:pStyle w:val="FirstParagraph"/>
        <w:spacing w:line="480" w:lineRule="auto"/>
      </w:pPr>
      <w:r>
        <w:rPr>
          <w:bCs/>
          <w:b/>
        </w:rPr>
        <w:t xml:space="preserve">S1 Appendix. Characteristic definitions and literature search.</w:t>
      </w:r>
      <w:r>
        <w:t xml:space="preserve"> </w:t>
      </w:r>
      <w:r>
        <w:t xml:space="preserve">Definitions of the 22 price- and volume-based characteristics and the literature search strategy.</w:t>
      </w:r>
    </w:p>
    <w:p>
      <w:pPr>
        <w:pStyle w:val="BodyText"/>
        <w:spacing w:line="480" w:lineRule="auto"/>
      </w:pPr>
      <w:r>
        <w:rPr>
          <w:bCs/>
          <w:b/>
        </w:rPr>
        <w:t xml:space="preserve">S1 File. Output tables.</w:t>
      </w:r>
      <w:r>
        <w:t xml:space="preserve"> </w:t>
      </w:r>
      <w:r>
        <w:t xml:space="preserve">The C-series tables written by the R code (comma-separated files), including the full regression and family-control results behind every number in the article.</w:t>
      </w:r>
    </w:p>
    <w:bookmarkEnd w:id="39"/>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480" w:lineRule="auto"/>
    </w:pPr>
    <w:rPr>
      <w:rFonts w:ascii="Times New Roman" w:hAnsi="Times New Roman"/>
      <w:sz w:val="24"/>
      <w:szCs w:val="20"/>
    </w:rPr>
  </w:style>
  <w:style w:styleId="Bibliography" w:type="paragraph">
    <w:name w:val="Bibliography"/>
    <w:basedOn w:val="Normal"/>
    <w:next w:val="Bibliography"/>
    <w:qFormat/>
    <w:pPr>
      <w:spacing w:after="0" w:before="0" w:line="480" w:lineRule="auto"/>
    </w:pPr>
    <w:rPr>
      <w:rFonts w:ascii="Times New Roman" w:hAnsi="Times New Roman"/>
      <w:sz w:val="24"/>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s://github.com/trungcandygit/black_litterman_2" TargetMode="External"/><Relationship Id="rId37" Type="http://schemas.openxmlformats.org/officeDocument/2006/relationships/hyperlink" Target="https://vietnamnews.vn/economy/1717047/krx-system-officially-goes-live.html" TargetMode="External"/><Relationship Id="rId36" Type="http://schemas.openxmlformats.org/officeDocument/2006/relationships/hyperlink" Target="https://www.hsc.com.vn/en/important-changes-of-new-trading-system" TargetMode="External"/><Relationship Id="rId23" Type="http://schemas.openxmlformats.org/officeDocument/2006/relationships/hyperlink" Target="mailto:diepnb@apd.edu.vn" TargetMode="External"/><Relationship Id="rId22" Type="http://schemas.openxmlformats.org/officeDocument/2006/relationships/hyperlink" Target="mailto:hanhhh@neu.edu.vn" TargetMode="External"/><Relationship Id="rId20" Type="http://schemas.openxmlformats.org/officeDocument/2006/relationships/hyperlink" Target="mailto:kontrungcany@gmail.com" TargetMode="External"/><Relationship Id="rId21" Type="http://schemas.openxmlformats.org/officeDocument/2006/relationships/hyperlink" Target="mailto:nguyenthanhbinhapd@apd.edu.v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8" Type="http://schemas.openxmlformats.org/officeDocument/2006/relationships/hyperlink" Target="https://github.com/trungcandygit/black_litterman_2" TargetMode="External"/><Relationship Id="rId37" Type="http://schemas.openxmlformats.org/officeDocument/2006/relationships/hyperlink" Target="https://vietnamnews.vn/economy/1717047/krx-system-officially-goes-live.html" TargetMode="External"/><Relationship Id="rId36" Type="http://schemas.openxmlformats.org/officeDocument/2006/relationships/hyperlink" Target="https://www.hsc.com.vn/en/important-changes-of-new-trading-system" TargetMode="External"/><Relationship Id="rId23" Type="http://schemas.openxmlformats.org/officeDocument/2006/relationships/hyperlink" Target="mailto:diepnb@apd.edu.vn" TargetMode="External"/><Relationship Id="rId22" Type="http://schemas.openxmlformats.org/officeDocument/2006/relationships/hyperlink" Target="mailto:hanhhh@neu.edu.vn" TargetMode="External"/><Relationship Id="rId20" Type="http://schemas.openxmlformats.org/officeDocument/2006/relationships/hyperlink" Target="mailto:kontrungcany@gmail.com" TargetMode="External"/><Relationship Id="rId21" Type="http://schemas.openxmlformats.org/officeDocument/2006/relationships/hyperlink" Target="mailto:nguyenthanhbinhapd@apd.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2026-10-06T02:32:20Z</dcterms:created>
  <dcterms:modified xsi:type="dcterms:W3CDTF">2026-10-06T02:32:20Z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