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672e987b7b89f1b9846f5fc9496b777bef1343"/>
    <w:p>
      <w:pPr>
        <w:pStyle w:val="Heading1"/>
        <w:jc w:val="left"/>
      </w:pPr>
      <w:r>
        <w:t xml:space="preserve">Who gains from a market upgrade? Stock liquidity and prices around Vietnam’s FTSE Russell reclassification</w:t>
      </w:r>
    </w:p>
    <w:bookmarkStart w:id="20" w:name="abstract"/>
    <w:p>
      <w:pPr>
        <w:pStyle w:val="Heading2"/>
        <w:jc w:val="left"/>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liquidity and price responses came with FTSE’s disclosures, before index funds had to buy.</w:t>
      </w:r>
    </w:p>
    <w:p>
      <w:pPr>
        <w:pStyle w:val="BodyText"/>
      </w:pPr>
      <w:r>
        <w:rPr>
          <w:b/>
          <w:bCs/>
        </w:rPr>
        <w:t xml:space="preserve">Keywords</w:t>
      </w:r>
      <w:r>
        <w:t xml:space="preserve">: market reclassification; index effect; stock liquidity; frontier markets; intention to treat; Vietnam</w:t>
      </w:r>
    </w:p>
    <w:p>
      <w:pPr>
        <w:pStyle w:val="BodyText"/>
      </w:pPr>
      <w:r>
        <w:rPr>
          <w:b/>
          <w:bCs/>
        </w:rPr>
        <w:t xml:space="preserve">JEL classification</w:t>
      </w:r>
      <w:r>
        <w:t xml:space="preserve">: G12; G14; G15</w:t>
      </w:r>
    </w:p>
    <w:bookmarkEnd w:id="20"/>
    <w:bookmarkStart w:id="21" w:name="introduction"/>
    <w:p>
      <w:pPr>
        <w:pStyle w:val="Heading2"/>
        <w:jc w:val="left"/>
      </w:pPr>
      <w:r>
        <w:t xml:space="preserve">1. Introduction</w:t>
      </w:r>
    </w:p>
    <w:p>
      <w:pPr>
        <w:pStyle w:val="FirstParagraph"/>
      </w:pPr>
      <w:r>
        <w:t xml:space="preserve">The liquidity of likely index stocks improved from the announcement of Vietnam’s market upgrade onward,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For the final constituents, the declines were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Biktimirov and Afego (2026) attribute the gains to institutional demand. Studies of market reclassification mostly use aggregate indices or country-level flows (e.g., Burnham et al., 2018; Raddatz et al., 2017), which pool all stocks and so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FTSE also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therefore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We test CARs at the portfolio level to account for the common event dates (Brown &amp; Warner, 1985) and call them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the illiquidity of the ITT group fell by 0.27, 0.55 and 0.81 log points across the three windows, about two thirds of the constituent declines; for constituents, the confirmation brought a discrete step beyond a gradual post-announcement drift, and the constituent list did not (Section 4.1). Second, prices rose reliably in the announcement week and at the confirmation, and the confirmation gain persisted under three of four benchmarks (Section 4.2). Third, trading value surged by 0.79 log points at the rebalancing close, rising with FTSE size segment, with no surge for named-but-excluded stocks (Sections 4.3 and 4.4). Fourth, FTSE’s eligibility lists partly followed rising liquidity (Section 5.2),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1"/>
    <w:bookmarkStart w:id="26" w:name="setting-literature-and-hypotheses"/>
    <w:p>
      <w:pPr>
        <w:pStyle w:val="Heading2"/>
        <w:jc w:val="left"/>
      </w:pPr>
      <w:r>
        <w:t xml:space="preserve">2. Setting, literature and hypotheses</w:t>
      </w:r>
    </w:p>
    <w:bookmarkStart w:id="22" w:name="X6f3be4994b6f010c59c6d2c2f4b077e168202ba"/>
    <w:p>
      <w:pPr>
        <w:pStyle w:val="Heading3"/>
        <w:jc w:val="left"/>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 applies liquidity, minimum-size and foreign-headroom screens, and in the liquidity test it uses the investability weight of each security, which reflects its free float and foreign-ownership limits (FTSE Russell, 2026). The same weight scales the index weight of a security, and each tranche applies a fraction of it. A security with a 49% investability weight thus enters at 4.9% after the first tranche (10% of 49%) and at 49% after the last, so index weight and passive demand rise with free-float market capitalization. Appendix Table A.1 lists the stocks.</w:t>
      </w:r>
    </w:p>
    <w:bookmarkEnd w:id="22"/>
    <w:bookmarkStart w:id="23" w:name="index-inclusion-and-liquidity"/>
    <w:p>
      <w:pPr>
        <w:pStyle w:val="Heading3"/>
        <w:jc w:val="left"/>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attribute the persistent liquidity gains of S&amp;P 500 additions mainly to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23"/>
    <w:bookmarkStart w:id="24" w:name="X58c81944038358bcfc25798ed6558a49acd92a0"/>
    <w:p>
      <w:pPr>
        <w:pStyle w:val="Heading3"/>
        <w:jc w:val="left"/>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in the direction implied by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beyond that study, we did not locate a stock-level study of liquidity around the China A-share inclusion. Frontier-market evidence is thinner. Biktimirov and Afego (2026) study changes to the FTSE Frontier 50 Index from 2008 to 2025; they find persistent price gains for additions and returns and trading volume that respond differently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Stereńczak et al. (2020) ask whether frontier-market investors demand compensation for illiquidity. A liquidity gain for some stocks could therefore shift their cost of capital, although we do not measure that shift. Vietnamese evidence from before the upgrade concerns market-wide shocks such as the COVID-19 outbreak (Nguyen et al., 2021), not classification events.</w:t>
      </w:r>
    </w:p>
    <w:bookmarkEnd w:id="24"/>
    <w:bookmarkStart w:id="25" w:name="hypotheses"/>
    <w:p>
      <w:pPr>
        <w:pStyle w:val="Heading3"/>
        <w:jc w:val="left"/>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w:t>
      </w:r>
      <w:r>
        <w:rPr>
          <w:vertAlign w:val="subscript"/>
        </w:rPr>
        <w:t xml:space="preserve">1</w:t>
      </w:r>
      <w:r>
        <w:t xml:space="preserve">. After the reclassification announcement, stocks likely to enter the index become less illiquid than other HOSE stocks.</w:t>
      </w:r>
    </w:p>
    <w:p>
      <w:pPr>
        <w:pStyle w:val="BodyText"/>
      </w:pPr>
      <w:r>
        <w:t xml:space="preserve">H</w:t>
      </w:r>
      <w:r>
        <w:rPr>
          <w:vertAlign w:val="subscript"/>
        </w:rPr>
        <w:t xml:space="preserve">2</w:t>
      </w:r>
      <w:r>
        <w:t xml:space="preserve">. The liquidity gap widens at each later disclosure that resolves uncertainty about the upgrade and its constituents.</w:t>
      </w:r>
    </w:p>
    <w:p>
      <w:pPr>
        <w:pStyle w:val="BodyText"/>
      </w:pPr>
      <w:r>
        <w:t xml:space="preserve">H</w:t>
      </w:r>
      <w:r>
        <w:rPr>
          <w:vertAlign w:val="subscript"/>
        </w:rPr>
        <w:t xml:space="preserve">3</w:t>
      </w:r>
      <w:r>
        <w:t xml:space="preserve">. Likely constituents earn abnormal returns at the disclosures, and the first index tranche adds no further price effect.</w:t>
      </w:r>
    </w:p>
    <w:p>
      <w:pPr>
        <w:pStyle w:val="BodyText"/>
      </w:pPr>
      <w:r>
        <w:t xml:space="preserve">H</w:t>
      </w:r>
      <w:r>
        <w:rPr>
          <w:vertAlign w:val="subscript"/>
        </w:rPr>
        <w:t xml:space="preserve">4</w:t>
      </w:r>
      <w:r>
        <w:t xml:space="preserve">. The rebalancing session produces a trading-value surge for constituents, and not for excluded stocks, that scales with index weight.</w:t>
      </w:r>
    </w:p>
    <w:bookmarkEnd w:id="25"/>
    <w:bookmarkEnd w:id="26"/>
    <w:bookmarkStart w:id="31" w:name="data-and-empirical-design"/>
    <w:p>
      <w:pPr>
        <w:pStyle w:val="Heading2"/>
        <w:jc w:val="left"/>
      </w:pPr>
      <w:r>
        <w:t xml:space="preserve">3. Data and empirical design</w:t>
      </w:r>
    </w:p>
    <w:bookmarkStart w:id="27" w:name="sample-and-groups"/>
    <w:p>
      <w:pPr>
        <w:pStyle w:val="Heading3"/>
        <w:jc w:val="left"/>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A.1).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keepNext/>
      </w:pPr>
      <w:r>
        <w:rPr>
          <w:b/>
          <w:bCs/>
        </w:rPr>
        <w:t xml:space="preserve">Table 1. Pre-announcement characteristics by group, October 2024 to 6 October 2025</w:t>
      </w:r>
    </w:p>
    <w:tbl>
      <w:tblPr>
        <w:tblStyle w:val="Table"/>
        <w:tblW w:type="dxa" w:w="9000"/>
        <w:jc w:val="start"/>
        <w:tblLayout w:type="fixed"/>
        <w:tblLook w:firstRow="1" w:lastRow="0" w:firstColumn="0" w:lastColumn="0" w:noHBand="0" w:noVBand="0" w:val="0020"/>
      </w:tblPr>
      <w:tblGrid>
        <w:gridCol w:w="1788"/>
        <w:gridCol w:w="840"/>
        <w:gridCol w:w="1365"/>
        <w:gridCol w:w="945"/>
        <w:gridCol w:w="1399"/>
        <w:gridCol w:w="1158"/>
        <w:gridCol w:w="1504"/>
      </w:tblGrid>
      <w:tr>
        <w:trPr>
          <w:tblHeader w:val="true"/>
        </w:trPr>
        <w:tc>
          <w:tcPr>
            <w:tcW w:type="dxa" w:w="1788"/>
          </w:tcPr>
          <w:p>
            <w:pPr>
              <w:pStyle w:val="Compact"/>
              <w:jc w:val="left"/>
            </w:pPr>
            <w:r>
              <w:t xml:space="preserve">Group</w:t>
            </w:r>
          </w:p>
        </w:tc>
        <w:tc>
          <w:tcPr>
            <w:tcW w:type="dxa" w:w="840"/>
          </w:tcPr>
          <w:p>
            <w:pPr>
              <w:pStyle w:val="Compact"/>
              <w:jc w:val="center"/>
            </w:pPr>
            <w:r>
              <w:t xml:space="preserve">Stocks</w:t>
            </w:r>
          </w:p>
        </w:tc>
        <w:tc>
          <w:tcPr>
            <w:tcW w:type="dxa" w:w="1365"/>
          </w:tcPr>
          <w:p>
            <w:pPr>
              <w:pStyle w:val="Compact"/>
              <w:jc w:val="center"/>
            </w:pPr>
            <w:r>
              <w:t xml:space="preserve">Stock-weeks</w:t>
            </w:r>
          </w:p>
        </w:tc>
        <w:tc>
          <w:tcPr>
            <w:tcW w:type="dxa" w:w="945"/>
          </w:tcPr>
          <w:p>
            <w:pPr>
              <w:pStyle w:val="Compact"/>
              <w:jc w:val="center"/>
            </w:pPr>
            <w:r>
              <w:t xml:space="preserve">Amihud</w:t>
            </w:r>
          </w:p>
        </w:tc>
        <w:tc>
          <w:tcPr>
            <w:tcW w:type="dxa" w:w="1399"/>
          </w:tcPr>
          <w:p>
            <w:pPr>
              <w:pStyle w:val="Compact"/>
              <w:jc w:val="center"/>
            </w:pPr>
            <w:r>
              <w:t xml:space="preserve">log trading value</w:t>
            </w:r>
          </w:p>
        </w:tc>
        <w:tc>
          <w:tcPr>
            <w:tcW w:type="dxa" w:w="1158"/>
          </w:tcPr>
          <w:p>
            <w:pPr>
              <w:pStyle w:val="Compact"/>
              <w:jc w:val="center"/>
            </w:pPr>
            <w:r>
              <w:t xml:space="preserve">CS spread (%)</w:t>
            </w:r>
          </w:p>
        </w:tc>
        <w:tc>
          <w:tcPr>
            <w:tcW w:type="dxa" w:w="1504"/>
          </w:tcPr>
          <w:p>
            <w:pPr>
              <w:pStyle w:val="Compact"/>
              <w:jc w:val="center"/>
            </w:pPr>
            <w:r>
              <w:t xml:space="preserve">Absolute return (%)</w:t>
            </w:r>
          </w:p>
        </w:tc>
      </w:tr>
      <w:tr>
        <w:tc>
          <w:tcPr>
            <w:tcW w:type="dxa" w:w="1788"/>
          </w:tcPr>
          <w:p>
            <w:pPr>
              <w:pStyle w:val="Compact"/>
              <w:jc w:val="left"/>
            </w:pPr>
            <w:r>
              <w:t xml:space="preserve">Constituents</w:t>
            </w:r>
          </w:p>
        </w:tc>
        <w:tc>
          <w:tcPr>
            <w:tcW w:type="dxa" w:w="840"/>
          </w:tcPr>
          <w:p>
            <w:pPr>
              <w:pStyle w:val="Compact"/>
              <w:jc w:val="center"/>
            </w:pPr>
            <w:r>
              <w:t xml:space="preserve">24</w:t>
            </w:r>
          </w:p>
        </w:tc>
        <w:tc>
          <w:tcPr>
            <w:tcW w:type="dxa" w:w="1365"/>
          </w:tcPr>
          <w:p>
            <w:pPr>
              <w:pStyle w:val="Compact"/>
              <w:jc w:val="center"/>
            </w:pPr>
            <w:r>
              <w:t xml:space="preserve">1,248</w:t>
            </w:r>
          </w:p>
        </w:tc>
        <w:tc>
          <w:tcPr>
            <w:tcW w:type="dxa" w:w="945"/>
          </w:tcPr>
          <w:p>
            <w:pPr>
              <w:pStyle w:val="Compact"/>
              <w:jc w:val="center"/>
            </w:pPr>
            <w:r>
              <w:t xml:space="preserve">0.00017</w:t>
            </w:r>
          </w:p>
        </w:tc>
        <w:tc>
          <w:tcPr>
            <w:tcW w:type="dxa" w:w="1399"/>
          </w:tcPr>
          <w:p>
            <w:pPr>
              <w:pStyle w:val="Compact"/>
              <w:jc w:val="center"/>
            </w:pPr>
            <w:r>
              <w:t xml:space="preserve">6.82</w:t>
            </w:r>
          </w:p>
        </w:tc>
        <w:tc>
          <w:tcPr>
            <w:tcW w:type="dxa" w:w="1158"/>
          </w:tcPr>
          <w:p>
            <w:pPr>
              <w:pStyle w:val="Compact"/>
              <w:jc w:val="center"/>
            </w:pPr>
            <w:r>
              <w:t xml:space="preserve">0.57</w:t>
            </w:r>
          </w:p>
        </w:tc>
        <w:tc>
          <w:tcPr>
            <w:tcW w:type="dxa" w:w="1504"/>
          </w:tcPr>
          <w:p>
            <w:pPr>
              <w:pStyle w:val="Compact"/>
              <w:jc w:val="center"/>
            </w:pPr>
            <w:r>
              <w:t xml:space="preserve">1.40</w:t>
            </w:r>
          </w:p>
        </w:tc>
      </w:tr>
      <w:tr>
        <w:tc>
          <w:tcPr>
            <w:tcW w:type="dxa" w:w="1788"/>
          </w:tcPr>
          <w:p>
            <w:pPr>
              <w:pStyle w:val="Compact"/>
              <w:jc w:val="left"/>
            </w:pPr>
            <w:r>
              <w:t xml:space="preserve">Named, not included</w:t>
            </w:r>
          </w:p>
        </w:tc>
        <w:tc>
          <w:tcPr>
            <w:tcW w:type="dxa" w:w="840"/>
          </w:tcPr>
          <w:p>
            <w:pPr>
              <w:pStyle w:val="Compact"/>
              <w:jc w:val="center"/>
            </w:pPr>
            <w:r>
              <w:t xml:space="preserve">14</w:t>
            </w:r>
          </w:p>
        </w:tc>
        <w:tc>
          <w:tcPr>
            <w:tcW w:type="dxa" w:w="1365"/>
          </w:tcPr>
          <w:p>
            <w:pPr>
              <w:pStyle w:val="Compact"/>
              <w:jc w:val="center"/>
            </w:pPr>
            <w:r>
              <w:t xml:space="preserve">726</w:t>
            </w:r>
          </w:p>
        </w:tc>
        <w:tc>
          <w:tcPr>
            <w:tcW w:type="dxa" w:w="945"/>
          </w:tcPr>
          <w:p>
            <w:pPr>
              <w:pStyle w:val="Compact"/>
              <w:jc w:val="center"/>
            </w:pPr>
            <w:r>
              <w:t xml:space="preserve">0.0033</w:t>
            </w:r>
          </w:p>
        </w:tc>
        <w:tc>
          <w:tcPr>
            <w:tcW w:type="dxa" w:w="1399"/>
          </w:tcPr>
          <w:p>
            <w:pPr>
              <w:pStyle w:val="Compact"/>
              <w:jc w:val="center"/>
            </w:pPr>
            <w:r>
              <w:t xml:space="preserve">5.96</w:t>
            </w:r>
          </w:p>
        </w:tc>
        <w:tc>
          <w:tcPr>
            <w:tcW w:type="dxa" w:w="1158"/>
          </w:tcPr>
          <w:p>
            <w:pPr>
              <w:pStyle w:val="Compact"/>
              <w:jc w:val="center"/>
            </w:pPr>
            <w:r>
              <w:t xml:space="preserve">0.61</w:t>
            </w:r>
          </w:p>
        </w:tc>
        <w:tc>
          <w:tcPr>
            <w:tcW w:type="dxa" w:w="1504"/>
          </w:tcPr>
          <w:p>
            <w:pPr>
              <w:pStyle w:val="Compact"/>
              <w:jc w:val="center"/>
            </w:pPr>
            <w:r>
              <w:t xml:space="preserve">1.49</w:t>
            </w:r>
          </w:p>
        </w:tc>
      </w:tr>
      <w:tr>
        <w:tc>
          <w:tcPr>
            <w:tcW w:type="dxa" w:w="1788"/>
          </w:tcPr>
          <w:p>
            <w:pPr>
              <w:pStyle w:val="Compact"/>
              <w:jc w:val="left"/>
            </w:pPr>
            <w:r>
              <w:t xml:space="preserve">Never-named</w:t>
            </w:r>
          </w:p>
        </w:tc>
        <w:tc>
          <w:tcPr>
            <w:tcW w:type="dxa" w:w="840"/>
          </w:tcPr>
          <w:p>
            <w:pPr>
              <w:pStyle w:val="Compact"/>
              <w:jc w:val="center"/>
            </w:pPr>
            <w:r>
              <w:t xml:space="preserve">328</w:t>
            </w:r>
          </w:p>
        </w:tc>
        <w:tc>
          <w:tcPr>
            <w:tcW w:type="dxa" w:w="1365"/>
          </w:tcPr>
          <w:p>
            <w:pPr>
              <w:pStyle w:val="Compact"/>
              <w:jc w:val="center"/>
            </w:pPr>
            <w:r>
              <w:t xml:space="preserve">16,915</w:t>
            </w:r>
          </w:p>
        </w:tc>
        <w:tc>
          <w:tcPr>
            <w:tcW w:type="dxa" w:w="945"/>
          </w:tcPr>
          <w:p>
            <w:pPr>
              <w:pStyle w:val="Compact"/>
              <w:jc w:val="center"/>
            </w:pPr>
            <w:r>
              <w:t xml:space="preserve">0.195</w:t>
            </w:r>
          </w:p>
        </w:tc>
        <w:tc>
          <w:tcPr>
            <w:tcW w:type="dxa" w:w="1399"/>
          </w:tcPr>
          <w:p>
            <w:pPr>
              <w:pStyle w:val="Compact"/>
              <w:jc w:val="center"/>
            </w:pPr>
            <w:r>
              <w:t xml:space="preserve">2.19</w:t>
            </w:r>
          </w:p>
        </w:tc>
        <w:tc>
          <w:tcPr>
            <w:tcW w:type="dxa" w:w="1158"/>
          </w:tcPr>
          <w:p>
            <w:pPr>
              <w:pStyle w:val="Compact"/>
              <w:jc w:val="center"/>
            </w:pPr>
            <w:r>
              <w:t xml:space="preserve">0.61</w:t>
            </w:r>
          </w:p>
        </w:tc>
        <w:tc>
          <w:tcPr>
            <w:tcW w:type="dxa" w:w="1504"/>
          </w:tcPr>
          <w:p>
            <w:pPr>
              <w:pStyle w:val="Compact"/>
              <w:jc w:val="center"/>
            </w:pPr>
            <w:r>
              <w:t xml:space="preserve">1.37</w:t>
            </w:r>
          </w:p>
        </w:tc>
      </w:tr>
    </w:tbl>
    <w:p>
      <w:pPr>
        <w:pStyle w:val="BodyText"/>
      </w:pPr>
      <w:r>
        <w:rPr>
          <w:i/>
          <w:iCs/>
        </w:rPr>
        <w:t xml:space="preserve">Notes</w:t>
      </w:r>
      <w:r>
        <w:t xml:space="preserve">: Weekly means, with Amihud from Eq. (1) and the Corwin–Schultz (CS) spread from Eqs. (2)–(3). Source: Authors’ calculations.</w:t>
      </w:r>
    </w:p>
    <w:bookmarkEnd w:id="27"/>
    <w:bookmarkStart w:id="28" w:name="liquidity-and-return-measures"/>
    <w:p>
      <w:pPr>
        <w:pStyle w:val="Heading3"/>
        <w:jc w:val="left"/>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sepChr m:val=""/>
                  <m:end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sepChr m:val=""/>
              <m:end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
            <m:e>
              <m:r>
                <m:t>ϕ</m:t>
              </m:r>
            </m:e>
            <m:sub>
              <m:r>
                <m:t>i</m:t>
              </m:r>
              <m:r>
                <m:t>t</m:t>
              </m:r>
            </m:sub>
          </m:sSub>
          <m:r>
            <m:rPr>
              <m:sty m:val="p"/>
            </m:rPr>
            <m:t>=</m:t>
          </m:r>
          <m:sSup>
            <m:e>
              <m:d>
                <m:dPr>
                  <m:begChr m:val="["/>
                  <m:sepChr m:val=""/>
                  <m:end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sepChr m:val=""/>
                  <m:end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
            <m:e>
              <m:r>
                <m:t>ψ</m:t>
              </m:r>
            </m:e>
            <m:sub>
              <m:r>
                <m:t>i</m:t>
              </m:r>
              <m:r>
                <m:t>t</m:t>
              </m:r>
            </m:sub>
          </m:sSub>
          <m:r>
            <m:rPr>
              <m:sty m:val="p"/>
            </m:rPr>
            <m:t>=</m:t>
          </m:r>
          <m:sSup>
            <m:e>
              <m:d>
                <m:dPr>
                  <m:begChr m:val="["/>
                  <m:sepChr m:val=""/>
                  <m:endChr m:val="]"/>
                  <m:grow/>
                </m:dPr>
                <m:e>
                  <m:r>
                    <m:rPr>
                      <m:sty m:val="p"/>
                    </m:rPr>
                    <m:t>ln</m:t>
                  </m:r>
                  <m:f>
                    <m:fPr>
                      <m:type m:val="bar"/>
                    </m:fPr>
                    <m:num>
                      <m:r>
                        <m:rPr>
                          <m:sty m:val="p"/>
                        </m:rPr>
                        <m:t>max</m:t>
                      </m:r>
                      <m:d>
                        <m:dPr>
                          <m:begChr m:val="("/>
                          <m:sepChr m:val=""/>
                          <m:end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sepChr m:val=""/>
                          <m:end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sepChr m:val=""/>
              <m:endChr m:val=")"/>
              <m:grow/>
            </m:dPr>
            <m:e>
              <m:r>
                <m:t>2</m:t>
              </m:r>
            </m:e>
          </m:d>
        </m:oMath>
      </m:oMathPara>
    </w:p>
    <w:p>
      <w:pPr>
        <w:pStyle w:val="FirstParagraph"/>
      </w:pPr>
      <m:oMathPara>
        <m:oMathParaPr>
          <m:jc m:val="center"/>
        </m:oMathParaPr>
        <m:oMath>
          <m:sSub>
            <m:e>
              <m:r>
                <m:t>η</m:t>
              </m:r>
            </m:e>
            <m:sub>
              <m:r>
                <m:t>i</m:t>
              </m:r>
              <m:r>
                <m:t>t</m:t>
              </m:r>
            </m:sub>
          </m:sSub>
          <m:r>
            <m:rPr>
              <m:sty m:val="p"/>
            </m:rPr>
            <m:t>=</m:t>
          </m:r>
          <m:f>
            <m:fPr>
              <m:type m:val="bar"/>
            </m:fPr>
            <m:num>
              <m:rad>
                <m:radPr>
                  <m:degHide m:val="on"/>
                </m:radPr>
                <m:deg/>
                <m:e>
                  <m:r>
                    <m:t>2</m:t>
                  </m:r>
                  <m:sSub>
                    <m:e>
                      <m:r>
                        <m:t>ϕ</m:t>
                      </m:r>
                    </m:e>
                    <m:sub>
                      <m:r>
                        <m:t>i</m:t>
                      </m:r>
                      <m:r>
                        <m:t>t</m:t>
                      </m:r>
                    </m:sub>
                  </m:sSub>
                </m:e>
              </m:rad>
              <m:r>
                <m:rPr>
                  <m:sty m:val="p"/>
                </m:rPr>
                <m:t>−</m:t>
              </m:r>
              <m:rad>
                <m:radPr>
                  <m:degHide m:val="on"/>
                </m:radPr>
                <m:deg/>
                <m:e>
                  <m:sSub>
                    <m:e>
                      <m:r>
                        <m:t>ϕ</m:t>
                      </m:r>
                    </m:e>
                    <m:sub>
                      <m:r>
                        <m:t>i</m:t>
                      </m:r>
                      <m:r>
                        <m:t>t</m:t>
                      </m:r>
                    </m:sub>
                  </m:sSub>
                </m:e>
              </m:rad>
            </m:num>
            <m:den>
              <m:r>
                <m:t>3</m:t>
              </m:r>
              <m:r>
                <m:rPr>
                  <m:sty m:val="p"/>
                </m:rPr>
                <m:t>−</m:t>
              </m:r>
              <m:r>
                <m:t>2</m:t>
              </m:r>
              <m:rad>
                <m:radPr>
                  <m:degHide m:val="on"/>
                </m:radPr>
                <m:deg/>
                <m:e>
                  <m:r>
                    <m:t>2</m:t>
                  </m:r>
                </m:e>
              </m:rad>
            </m:den>
          </m:f>
          <m:r>
            <m:rPr>
              <m:sty m:val="p"/>
            </m:rPr>
            <m:t>−</m:t>
          </m:r>
          <m:rad>
            <m:radPr>
              <m:degHide m:val="on"/>
            </m:radPr>
            <m:deg/>
            <m:e>
              <m:f>
                <m:fPr>
                  <m:type m:val="bar"/>
                </m:fPr>
                <m:num>
                  <m:sSub>
                    <m:e>
                      <m:r>
                        <m:t>ψ</m:t>
                      </m:r>
                    </m:e>
                    <m:sub>
                      <m:r>
                        <m:t>i</m:t>
                      </m:r>
                      <m:r>
                        <m:t>t</m:t>
                      </m:r>
                    </m:sub>
                  </m:sSub>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sepChr m:val=""/>
              <m:endChr m:val="}"/>
              <m:grow/>
            </m:dPr>
            <m:e>
              <m:r>
                <m:t>0</m:t>
              </m:r>
              <m:r>
                <m:rPr>
                  <m:sty m:val="p"/>
                </m:rPr>
                <m:t>,</m:t>
              </m:r>
              <m:r>
                <m:t> </m:t>
              </m:r>
              <m:f>
                <m:fPr>
                  <m:type m:val="bar"/>
                </m:fPr>
                <m:num>
                  <m:r>
                    <m:t>2</m:t>
                  </m:r>
                  <m:d>
                    <m:dPr>
                      <m:begChr m:val="("/>
                      <m:sepChr m:val=""/>
                      <m:endChr m:val=")"/>
                      <m:grow/>
                    </m:dPr>
                    <m:e>
                      <m:sSup>
                        <m:e>
                          <m:r>
                            <m:t>e</m:t>
                          </m:r>
                        </m:e>
                        <m:sup>
                          <m:sSub>
                            <m:e>
                              <m:r>
                                <m:t>η</m:t>
                              </m:r>
                            </m:e>
                            <m:sub>
                              <m:r>
                                <m:t>i</m:t>
                              </m:r>
                              <m:r>
                                <m:t>t</m:t>
                              </m:r>
                            </m:sub>
                          </m:sSub>
                        </m:sup>
                      </m:sSup>
                      <m:r>
                        <m:rPr>
                          <m:sty m:val="p"/>
                        </m:rPr>
                        <m:t>−</m:t>
                      </m:r>
                      <m:r>
                        <m:t>1</m:t>
                      </m:r>
                    </m:e>
                  </m:d>
                </m:num>
                <m:den>
                  <m:r>
                    <m:t>1</m:t>
                  </m:r>
                  <m:r>
                    <m:rPr>
                      <m:sty m:val="p"/>
                    </m:rPr>
                    <m:t>+</m:t>
                  </m:r>
                  <m:sSup>
                    <m:e>
                      <m:r>
                        <m:t>e</m:t>
                      </m:r>
                    </m:e>
                    <m:sup>
                      <m:sSub>
                        <m:e>
                          <m:r>
                            <m:t>η</m:t>
                          </m:r>
                        </m:e>
                        <m:sub>
                          <m:r>
                            <m:t>i</m:t>
                          </m:r>
                          <m:r>
                            <m:t>t</m:t>
                          </m:r>
                        </m:sub>
                      </m:sSub>
                    </m:sup>
                  </m:sSup>
                </m:den>
              </m:f>
            </m:e>
          </m:d>
          <m:r>
            <m:rPr>
              <m:sty m:val="p"/>
            </m:rPr>
            <m:t>,</m:t>
          </m:r>
          <m:r>
            <m:t>  </m:t>
          </m:r>
          <m:d>
            <m:dPr>
              <m:begChr m:val="("/>
              <m:sepChr m:val=""/>
              <m:endChr m:val=")"/>
              <m:grow/>
            </m:dPr>
            <m:e>
              <m:r>
                <m:t>3</m:t>
              </m:r>
            </m:e>
          </m:d>
        </m:oMath>
      </m:oMathPara>
    </w:p>
    <w:p>
      <w:pPr>
        <w:pStyle w:val="FirstParagraph"/>
      </w:pPr>
      <w:r>
        <w:t xml:space="preserve">where</w:t>
      </w:r>
      <w:r>
        <w:t xml:space="preserve"> </w:t>
      </w:r>
      <m:oMath>
        <m:sSub>
          <m:e>
            <m:r>
              <m:t>ϕ</m:t>
            </m:r>
          </m:e>
          <m:sub>
            <m:r>
              <m:t>i</m:t>
            </m:r>
            <m:r>
              <m:t>t</m:t>
            </m:r>
          </m:sub>
        </m:sSub>
      </m:oMath>
      <w:r>
        <w:t xml:space="preserve"> </w:t>
      </w:r>
      <w:r>
        <w:t xml:space="preserve">sums the squared log high-low ranges of days</w:t>
      </w:r>
      <w:r>
        <w:t xml:space="preserve"> </w:t>
      </w:r>
      <m:oMath>
        <m:r>
          <m:t>t</m:t>
        </m:r>
        <m:r>
          <m:rPr>
            <m:sty m:val="p"/>
          </m:rPr>
          <m:t>−</m:t>
        </m:r>
        <m:r>
          <m:t>1</m:t>
        </m:r>
      </m:oMath>
      <w:r>
        <w:t xml:space="preserve"> </w:t>
      </w:r>
      <w:r>
        <w:t xml:space="preserve">and</w:t>
      </w:r>
      <w:r>
        <w:t xml:space="preserve"> </w:t>
      </w:r>
      <m:oMath>
        <m:r>
          <m:t>t</m:t>
        </m:r>
      </m:oMath>
      <w:r>
        <w:t xml:space="preserve">,</w:t>
      </w:r>
      <w:r>
        <w:t xml:space="preserve"> </w:t>
      </w:r>
      <m:oMath>
        <m:sSub>
          <m:e>
            <m:r>
              <m:t>ψ</m:t>
            </m:r>
          </m:e>
          <m:sub>
            <m:r>
              <m:t>i</m:t>
            </m:r>
            <m:r>
              <m:t>t</m:t>
            </m:r>
          </m:sub>
        </m:sSub>
      </m:oMath>
      <w:r>
        <w:t xml:space="preserve"> </w:t>
      </w:r>
      <w:r>
        <w:t xml:space="preserve">is the squared log range over the two days combined, and</w:t>
      </w:r>
      <w:r>
        <w:t xml:space="preserve"> </w:t>
      </w:r>
      <m:oMath>
        <m:sSub>
          <m:e>
            <m:r>
              <m:t>S</m:t>
            </m:r>
          </m:e>
          <m:sub>
            <m:r>
              <m:t>i</m:t>
            </m:r>
            <m:r>
              <m:t>t</m:t>
            </m:r>
          </m:sub>
        </m:sSub>
      </m:oMath>
      <w:r>
        <w:t xml:space="preserve"> </w:t>
      </w:r>
      <w:r>
        <w:t xml:space="preserve">is the resulting spread estimate, set to zero when negative. 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sSub>
            <m:e>
              <m:r>
                <m:rPr>
                  <m:sty m:val="p"/>
                </m:rPr>
                <m:t>A</m:t>
              </m:r>
              <m:r>
                <m:rPr>
                  <m:sty m:val="p"/>
                </m:rPr>
                <m:t>m</m:t>
              </m:r>
              <m:r>
                <m:rPr>
                  <m:sty m:val="p"/>
                </m:rPr>
                <m:t>i</m:t>
              </m:r>
              <m:r>
                <m:rPr>
                  <m:sty m:val="p"/>
                </m:rPr>
                <m:t>h</m:t>
              </m:r>
              <m:r>
                <m:rPr>
                  <m:sty m:val="p"/>
                </m:rPr>
                <m:t>u</m:t>
              </m:r>
              <m:r>
                <m:rPr>
                  <m:sty m:val="p"/>
                </m:rPr>
                <m:t>d</m:t>
              </m:r>
            </m:e>
            <m:sub>
              <m:r>
                <m:t>i</m:t>
              </m:r>
              <m:r>
                <m:t>w</m:t>
              </m:r>
            </m:sub>
          </m:sSub>
          <m:r>
            <m:rPr>
              <m:sty m:val="p"/>
            </m:rPr>
            <m:t>=</m:t>
          </m:r>
          <m:r>
            <m:rPr>
              <m:sty m:val="p"/>
            </m:rPr>
            <m:t>ln</m:t>
          </m:r>
          <m:d>
            <m:dPr>
              <m:begChr m:val="("/>
              <m:sepChr m:val=""/>
              <m:end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oMath>
      </m:oMathPara>
    </w:p>
    <w:p>
      <w:pPr>
        <w:pStyle w:val="FirstParagraph"/>
      </w:pPr>
      <m:oMathPara>
        <m:oMathParaPr>
          <m:jc m:val="center"/>
        </m:oMathParaPr>
        <m:oMath>
          <m:sSub>
            <m:e>
              <m:r>
                <m:rPr>
                  <m:sty m:val="p"/>
                </m:rPr>
                <m:t>T</m:t>
              </m:r>
              <m:r>
                <m:rPr>
                  <m:sty m:val="p"/>
                </m:rPr>
                <m:t>V</m:t>
              </m:r>
            </m:e>
            <m:sub>
              <m:r>
                <m:t>i</m:t>
              </m:r>
              <m:r>
                <m:t>w</m:t>
              </m:r>
            </m:sub>
          </m:sSub>
          <m:r>
            <m:rPr>
              <m:sty m:val="p"/>
            </m:rPr>
            <m:t>=</m:t>
          </m:r>
          <m:r>
            <m:rPr>
              <m:sty m:val="p"/>
            </m:rPr>
            <m:t>ln</m:t>
          </m:r>
          <m:d>
            <m:dPr>
              <m:begChr m:val="("/>
              <m:sepChr m:val=""/>
              <m:endChr m:val=")"/>
              <m:grow/>
            </m:dPr>
            <m:e>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sSup>
                <m:e>
                  <m:r>
                    <m:t>10</m:t>
                  </m:r>
                </m:e>
                <m:sup>
                  <m:r>
                    <m:rPr>
                      <m:sty m:val="p"/>
                    </m:rPr>
                    <m:t>−</m:t>
                  </m:r>
                  <m:r>
                    <m:t>6</m:t>
                  </m:r>
                </m:sup>
              </m:sSup>
            </m:e>
          </m:d>
          <m:r>
            <m:rPr>
              <m:sty m:val="p"/>
            </m:rPr>
            <m:t>,</m:t>
          </m:r>
          <m:r>
            <m:t>  </m:t>
          </m:r>
          <m:d>
            <m:dPr>
              <m:begChr m:val="("/>
              <m:sepChr m:val=""/>
              <m:endChr m:val=")"/>
              <m:grow/>
            </m:dPr>
            <m:e>
              <m:r>
                <m:t>4</m:t>
              </m:r>
            </m:e>
          </m:d>
        </m:oMath>
      </m:oMathPara>
    </w:p>
    <w:p>
      <w:pPr>
        <w:pStyle w:val="FirstParagraph"/>
      </w:pPr>
      <m:oMathPara>
        <m:oMathParaPr>
          <m:jc m:val="center"/>
        </m:oMathParaPr>
        <m:oMath>
          <m:sSub>
            <m:e>
              <m:r>
                <m:rPr>
                  <m:sty m:val="p"/>
                </m:rPr>
                <m:t>V</m:t>
              </m:r>
              <m:r>
                <m:rPr>
                  <m:sty m:val="p"/>
                </m:rPr>
                <m:t>o</m:t>
              </m:r>
              <m:r>
                <m:rPr>
                  <m:sty m:val="p"/>
                </m:rPr>
                <m:t>l</m:t>
              </m:r>
            </m:e>
            <m:sub>
              <m:r>
                <m:t>i</m:t>
              </m:r>
              <m:r>
                <m:t>w</m:t>
              </m:r>
            </m:sub>
          </m:sSub>
          <m:r>
            <m:rPr>
              <m:sty m:val="p"/>
            </m:rPr>
            <m:t>=</m:t>
          </m:r>
          <m:r>
            <m:rPr>
              <m:sty m:val="p"/>
            </m:rPr>
            <m:t>ln</m:t>
          </m:r>
          <m:d>
            <m:dPr>
              <m:begChr m:val="("/>
              <m:sepChr m:val=""/>
              <m:end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sepChr m:val=""/>
                      <m:endChr m:val="|"/>
                      <m:grow/>
                    </m:dPr>
                    <m:e>
                      <m:sSub>
                        <m:e>
                          <m:r>
                            <m:t>R</m:t>
                          </m:r>
                        </m:e>
                        <m:sub>
                          <m:r>
                            <m:t>i</m:t>
                          </m:r>
                          <m:r>
                            <m:t>t</m:t>
                          </m:r>
                        </m:sub>
                      </m:sSub>
                    </m:e>
                  </m:d>
                </m:e>
              </m:nary>
            </m:e>
          </m:d>
          <m:r>
            <m:rPr>
              <m:sty m:val="p"/>
            </m:rPr>
            <m:t>,</m:t>
          </m:r>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sepChr m:val=""/>
              <m:end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sepChr m:val=""/>
              <m:end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among never-named stocks,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w:t>
      </w:r>
      <w:r>
        <w:t xml:space="preserve"> </w:t>
      </w:r>
      <m:oMath>
        <m:r>
          <m:t>p</m:t>
        </m:r>
      </m:oMath>
      <w:r>
        <w:t xml:space="preserve"> </w:t>
      </w:r>
      <w:r>
        <w:t xml:space="preserve">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 With trading days indexed by</w:t>
      </w:r>
      <w:r>
        <w:t xml:space="preserve"> </w:t>
      </w:r>
      <m:oMath>
        <m:r>
          <m:t>s</m:t>
        </m:r>
      </m:oMath>
      <w:r>
        <w:t xml:space="preserve"> </w:t>
      </w:r>
      <w:r>
        <w:t xml:space="preserve">relative to the disclosure date (</w:t>
      </w:r>
      <m:oMath>
        <m:r>
          <m:t>s</m:t>
        </m:r>
        <m:r>
          <m:rPr>
            <m:sty m:val="p"/>
          </m:rPr>
          <m:t>=</m:t>
        </m:r>
        <m:r>
          <m:t>0</m:t>
        </m:r>
      </m:oMath>
      <w:r>
        <w:t xml:space="preserve">),</w:t>
      </w:r>
    </w:p>
    <w:p>
      <w:pPr>
        <w:pStyle w:val="BodyText"/>
      </w:pPr>
      <m:oMathPara>
        <m:oMathParaPr>
          <m:jc m:val="center"/>
        </m:oMathParaPr>
        <m:oMath>
          <m:sSub>
            <m:e>
              <m:r>
                <m:rPr>
                  <m:sty m:val="p"/>
                </m:rPr>
                <m:t>A</m:t>
              </m:r>
              <m:r>
                <m:rPr>
                  <m:sty m:val="p"/>
                </m:rPr>
                <m:t>R</m:t>
              </m:r>
            </m:e>
            <m:sub>
              <m:r>
                <m:t>p</m:t>
              </m:r>
              <m:r>
                <m:t>s</m:t>
              </m:r>
            </m:sub>
          </m:sSub>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s</m:t>
                  </m:r>
                </m:sub>
              </m:sSub>
            </m:e>
          </m:nary>
          <m:r>
            <m:rPr>
              <m:sty m:val="p"/>
            </m:rPr>
            <m:t>,</m:t>
          </m:r>
          <m:r>
            <m:t>  </m:t>
          </m:r>
          <m:sSub>
            <m:e>
              <m:r>
                <m:rPr>
                  <m:sty m:val="p"/>
                </m:rPr>
                <m:t>C</m:t>
              </m:r>
              <m:r>
                <m:rPr>
                  <m:sty m:val="p"/>
                </m:rPr>
                <m:t>A</m:t>
              </m:r>
              <m:r>
                <m:rPr>
                  <m:sty m:val="p"/>
                </m:rPr>
                <m:t>R</m:t>
              </m:r>
            </m:e>
            <m:sub>
              <m:r>
                <m:t>p</m:t>
              </m:r>
            </m:sub>
          </m:sSub>
          <m:d>
            <m:dPr>
              <m:begChr m:val="("/>
              <m:sepChr m:val=""/>
              <m:end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s</m:t>
              </m:r>
              <m:r>
                <m:rPr>
                  <m:sty m:val="p"/>
                </m:rPr>
                <m:t>=</m:t>
              </m:r>
              <m:sSub>
                <m:e>
                  <m:r>
                    <m:t>τ</m:t>
                  </m:r>
                </m:e>
                <m:sub>
                  <m:r>
                    <m:t>1</m:t>
                  </m:r>
                </m:sub>
              </m:sSub>
            </m:sub>
            <m:sup>
              <m:sSub>
                <m:e>
                  <m:r>
                    <m:t>τ</m:t>
                  </m:r>
                </m:e>
                <m:sub>
                  <m:r>
                    <m:t>2</m:t>
                  </m:r>
                </m:sub>
              </m:sSub>
            </m:sup>
            <m:e>
              <m:sSub>
                <m:e>
                  <m:r>
                    <m:rPr>
                      <m:sty m:val="p"/>
                    </m:rPr>
                    <m:t>A</m:t>
                  </m:r>
                  <m:r>
                    <m:rPr>
                      <m:sty m:val="p"/>
                    </m:rPr>
                    <m:t>R</m:t>
                  </m:r>
                </m:e>
                <m:sub>
                  <m:r>
                    <m:t>p</m:t>
                  </m:r>
                  <m:r>
                    <m:t>s</m:t>
                  </m:r>
                </m:sub>
              </m:sSub>
            </m:e>
          </m:nary>
          <m:r>
            <m:rPr>
              <m:sty m:val="p"/>
            </m:rPr>
            <m:t>,</m:t>
          </m:r>
          <m:r>
            <m:t>  </m:t>
          </m:r>
          <m:d>
            <m:dPr>
              <m:begChr m:val="("/>
              <m:sepChr m:val=""/>
              <m:endChr m:val=")"/>
              <m:grow/>
            </m:dPr>
            <m:e>
              <m:r>
                <m:t>6</m:t>
              </m:r>
            </m:e>
          </m:d>
        </m:oMath>
      </m:oMathPara>
    </w:p>
    <w:p>
      <w:pPr>
        <w:pStyle w:val="FirstParagraph"/>
      </w:pPr>
      <m:oMathPara>
        <m:oMathParaPr>
          <m:jc m:val="center"/>
        </m:oMathParaPr>
        <m:oMath>
          <m:sSub>
            <m:e>
              <m:r>
                <m:t>t</m:t>
              </m:r>
            </m:e>
            <m:sub>
              <m:r>
                <m:rPr>
                  <m:sty m:val="p"/>
                </m:rPr>
                <m:t>C</m:t>
              </m:r>
              <m:r>
                <m:rPr>
                  <m:sty m:val="p"/>
                </m:rPr>
                <m:t>A</m:t>
              </m:r>
              <m:r>
                <m:rPr>
                  <m:sty m:val="p"/>
                </m:rPr>
                <m:t>R</m:t>
              </m:r>
            </m:sub>
          </m:sSub>
          <m:r>
            <m:rPr>
              <m:sty m:val="p"/>
            </m:rPr>
            <m:t>=</m:t>
          </m:r>
          <m:f>
            <m:fPr>
              <m:type m:val="bar"/>
            </m:fPr>
            <m:num>
              <m:sSub>
                <m:e>
                  <m:r>
                    <m:rPr>
                      <m:sty m:val="p"/>
                    </m:rPr>
                    <m:t>C</m:t>
                  </m:r>
                  <m:r>
                    <m:rPr>
                      <m:sty m:val="p"/>
                    </m:rPr>
                    <m:t>A</m:t>
                  </m:r>
                  <m:r>
                    <m:rPr>
                      <m:sty m:val="p"/>
                    </m:rPr>
                    <m:t>R</m:t>
                  </m:r>
                </m:e>
                <m:sub>
                  <m:r>
                    <m:t>p</m:t>
                  </m:r>
                </m:sub>
              </m:sSub>
              <m:d>
                <m:dPr>
                  <m:begChr m:val="("/>
                  <m:sepChr m:val=""/>
                  <m:end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oMath>
      </m:oMathPara>
    </w:p>
    <w:p>
      <w:pPr>
        <w:pStyle w:val="FirstParagraph"/>
      </w:pPr>
      <w:r>
        <w:t xml:space="preserve">where</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t>
      </w:r>
      <w:r>
        <w:t xml:space="preserve">are the first and last days of the event window,</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s</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the statistic assumes independent daily abnormal returns. The estimation window runs from day −130 to day −11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28"/>
    <w:bookmarkStart w:id="29" w:name="estimation"/>
    <w:p>
      <w:pPr>
        <w:pStyle w:val="Heading3"/>
        <w:jc w:val="left"/>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sepChr m:val=""/>
              <m:end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 group, the</w:t>
      </w:r>
      <w:r>
        <w:t xml:space="preserve"> </w:t>
      </w:r>
      <w:r>
        <w:t xml:space="preserve">“</w:t>
      </w:r>
      <w:r>
        <w:t xml:space="preserve">predicted constituents</w:t>
      </w:r>
      <w:r>
        <w:t xml:space="preserve">”</w:t>
      </w:r>
      <w:r>
        <w:t xml:space="preserve">, consists of the 27 stocks with the highest pre-announcement trading value, 16 of which became constituents. For timing, we estimate a monthly event study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sepChr m:val=""/>
              <m:end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starts in month</w:t>
      </w:r>
      <w:r>
        <w:t xml:space="preserve"> </w:t>
      </w:r>
      <m:oMath>
        <m:r>
          <m:t>m</m:t>
        </m:r>
      </m:oMath>
      <w:r>
        <w:t xml:space="preserve">, counted from October 2025 (</w:t>
      </w:r>
      <m:oMath>
        <m:r>
          <m:t>m</m:t>
        </m:r>
        <m:r>
          <m:rPr>
            <m:sty m:val="p"/>
          </m:rPr>
          <m:t>=</m:t>
        </m:r>
        <m:r>
          <m:t>0</m:t>
        </m:r>
      </m:oMath>
      <w:r>
        <w:t xml:space="preserve">), with</w:t>
      </w:r>
      <w:r>
        <w:t xml:space="preserve"> </w:t>
      </w:r>
      <m:oMath>
        <m:r>
          <m:t>m</m:t>
        </m:r>
      </m:oMath>
      <w:r>
        <w:t xml:space="preserve"> </w:t>
      </w:r>
      <w:r>
        <w:t xml:space="preserve">running from −13 (the week of 30 September 2024) to 11 and September 2025 (</w:t>
      </w:r>
      <m:oMath>
        <m:r>
          <m:t>m</m:t>
        </m:r>
        <m:r>
          <m:rPr>
            <m:sty m:val="p"/>
          </m:rPr>
          <m:t>=</m:t>
        </m:r>
        <m:r>
          <m:rPr>
            <m:sty m:val="p"/>
          </m:rPr>
          <m:t>−</m:t>
        </m:r>
        <m:r>
          <m:t>1</m:t>
        </m:r>
      </m:oMath>
      <w:r>
        <w:t xml:space="preserve">) as the omitted month. To separate a discrete step at each disclosure from gradual change, a drift variant adds</w:t>
      </w:r>
      <w:r>
        <w:t xml:space="preserve"> </w:t>
      </w:r>
      <m:oMath>
        <m:r>
          <m:t>κ</m:t>
        </m:r>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A.2). A further check replaces week fixed effects with size-tercile-by-week fixed effects. For inference with 24 treated stocks, we report a wild cluster bootstrap with restricted residuals, Rademacher weights and 999 draws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r>
            <m:rPr>
              <m:sty m:val="p"/>
            </m:rPr>
            <m:t>ln</m:t>
          </m:r>
          <m:d>
            <m:dPr>
              <m:begChr m:val="("/>
              <m:sepChr m:val=""/>
              <m:endChr m:val=")"/>
              <m:grow/>
            </m:dPr>
            <m:e>
              <m:sSub>
                <m:e>
                  <m:r>
                    <m:rPr>
                      <m:sty m:val="p"/>
                    </m:rPr>
                    <m:t>V</m:t>
                  </m:r>
                  <m:r>
                    <m:rPr>
                      <m:sty m:val="p"/>
                    </m:rPr>
                    <m:t>A</m:t>
                  </m:r>
                  <m:r>
                    <m:rPr>
                      <m:sty m:val="p"/>
                    </m:rPr>
                    <m:t>L</m:t>
                  </m:r>
                </m:e>
                <m:sub>
                  <m:r>
                    <m:t>i</m:t>
                  </m:r>
                  <m:r>
                    <m:t>t</m:t>
                  </m:r>
                </m:sub>
              </m:sSub>
              <m:r>
                <m:rPr>
                  <m:sty m:val="p"/>
                </m:rPr>
                <m:t>+</m:t>
              </m:r>
              <m:sSup>
                <m:e>
                  <m:r>
                    <m:t>10</m:t>
                  </m:r>
                </m:e>
                <m:sup>
                  <m:r>
                    <m:rPr>
                      <m:sty m:val="p"/>
                    </m:rPr>
                    <m:t>−</m:t>
                  </m:r>
                  <m:r>
                    <m:t>6</m:t>
                  </m:r>
                </m:sup>
              </m:sSup>
            </m:e>
          </m:d>
          <m:r>
            <m:rPr>
              <m:sty m:val="p"/>
            </m:rPr>
            <m:t>=</m:t>
          </m:r>
          <m:sSub>
            <m:e>
              <m:r>
                <m:t>α</m:t>
              </m:r>
            </m:e>
            <m:sub>
              <m:r>
                <m:t>i</m:t>
              </m:r>
            </m:sub>
          </m:sSub>
          <m:r>
            <m:rPr>
              <m:sty m:val="p"/>
            </m:rPr>
            <m:t>+</m:t>
          </m:r>
          <m:sSub>
            <m:e>
              <m:r>
                <m:t>λ</m:t>
              </m:r>
            </m:e>
            <m:sub>
              <m:r>
                <m:t>t</m:t>
              </m:r>
            </m:sub>
          </m:sSub>
          <m:r>
            <m:rPr>
              <m:sty m:val="p"/>
            </m:rPr>
            <m:t>+</m:t>
          </m:r>
          <m:sSub>
            <m:e>
              <m:r>
                <m:t>θ</m:t>
              </m:r>
            </m:e>
            <m:sub>
              <m:r>
                <m:t>1</m:t>
              </m:r>
            </m:sub>
          </m:sSub>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t</m:t>
                  </m:r>
                </m:sub>
              </m:sSub>
            </m:e>
          </m:d>
        </m:oMath>
      </m:oMathPara>
    </w:p>
    <w:p>
      <w:pPr>
        <w:pStyle w:val="FirstParagraph"/>
      </w:pPr>
      <m:oMathPara>
        <m:oMathParaPr>
          <m:jc m:val="center"/>
        </m:oMathParaPr>
        <m:oMath>
          <m:r>
            <m:t>  </m:t>
          </m:r>
          <m:r>
            <m:rPr>
              <m:sty m:val="p"/>
            </m:rPr>
            <m:t>+</m:t>
          </m:r>
          <m:sSub>
            <m:e>
              <m:r>
                <m:t>θ</m:t>
              </m:r>
            </m:e>
            <m:sub>
              <m:r>
                <m:t>2</m:t>
              </m:r>
            </m:sub>
          </m:sSub>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t</m:t>
                  </m:r>
                </m:sub>
              </m:sSub>
            </m:e>
          </m:d>
          <m:r>
            <m:rPr>
              <m:sty m:val="p"/>
            </m:rPr>
            <m:t>+</m:t>
          </m:r>
          <m:sSub>
            <m:e>
              <m:r>
                <m:t>u</m:t>
              </m:r>
            </m:e>
            <m:sub>
              <m:r>
                <m:t>i</m:t>
              </m:r>
              <m:r>
                <m:t>t</m:t>
              </m:r>
            </m:sub>
          </m:sSub>
          <m:r>
            <m:rPr>
              <m:sty m:val="p"/>
            </m:rPr>
            <m:t>,</m:t>
          </m:r>
          <m:r>
            <m:t>  </m:t>
          </m:r>
          <m:d>
            <m:dPr>
              <m:begChr m:val="("/>
              <m:sepChr m:val=""/>
              <m:endChr m:val=")"/>
              <m:grow/>
            </m:dPr>
            <m:e>
              <m:r>
                <m:t>9</m:t>
              </m:r>
            </m:e>
          </m:d>
        </m:oMath>
      </m:oMathPara>
    </w:p>
    <w:p>
      <w:pPr>
        <w:pStyle w:val="FirstParagraph"/>
      </w:pPr>
      <w:r>
        <w:t xml:space="preserve">where</w:t>
      </w:r>
      <w:r>
        <w:t xml:space="preserve"> </w:t>
      </w:r>
      <m:oMath>
        <m:sSub>
          <m:e>
            <m:r>
              <m:t>λ</m:t>
            </m:r>
          </m:e>
          <m:sub>
            <m:r>
              <m:t>t</m:t>
            </m:r>
          </m:sub>
        </m:sSub>
      </m:oMath>
      <w:r>
        <w:t xml:space="preserve"> </w:t>
      </w:r>
      <w:r>
        <w:t xml:space="preserve">are date fixed effects,</w:t>
      </w:r>
      <w:r>
        <w:t xml:space="preserve"> </w:t>
      </w:r>
      <m:oMath>
        <m:sSub>
          <m:e>
            <m:r>
              <m:rPr>
                <m:sty m:val="p"/>
              </m:rPr>
              <m:t>R</m:t>
            </m:r>
            <m:r>
              <m:rPr>
                <m:sty m:val="p"/>
              </m:rPr>
              <m:t>e</m:t>
            </m:r>
            <m:r>
              <m:rPr>
                <m:sty m:val="p"/>
              </m:rPr>
              <m:t>b</m:t>
            </m:r>
          </m:e>
          <m:sub>
            <m:r>
              <m:t>t</m:t>
            </m:r>
          </m:sub>
        </m:sSub>
      </m:oMath>
      <w:r>
        <w:t xml:space="preserve"> </w:t>
      </w:r>
      <w:r>
        <w:t xml:space="preserve">and</w:t>
      </w:r>
      <w:r>
        <w:t xml:space="preserve"> </w:t>
      </w:r>
      <m:oMath>
        <m:sSub>
          <m:e>
            <m:r>
              <m:rPr>
                <m:sty m:val="p"/>
              </m:rPr>
              <m:t>E</m:t>
            </m:r>
            <m:r>
              <m:rPr>
                <m:sty m:val="p"/>
              </m:rPr>
              <m:t>f</m:t>
            </m:r>
            <m:r>
              <m:rPr>
                <m:sty m:val="p"/>
              </m:rPr>
              <m:t>f</m:t>
            </m:r>
          </m:e>
          <m:sub>
            <m:r>
              <m:t>t</m:t>
            </m:r>
          </m:sub>
        </m:sSub>
      </m:oMath>
      <w:r>
        <w:t xml:space="preserve"> </w:t>
      </w:r>
      <w:r>
        <w:t xml:space="preserve">indicate 18 September (the rebalancing session) and 21 September (the effective date), and</w:t>
      </w:r>
      <w:r>
        <w:t xml:space="preserve"> </w:t>
      </w:r>
      <m:oMath>
        <m:sSub>
          <m:e>
            <m:r>
              <m:t>u</m:t>
            </m:r>
          </m:e>
          <m:sub>
            <m:r>
              <m:t>i</m:t>
            </m:r>
            <m:r>
              <m:t>t</m:t>
            </m:r>
          </m:sub>
        </m:sSub>
      </m:oMath>
      <w:r>
        <w:t xml:space="preserve"> </w:t>
      </w:r>
      <w:r>
        <w:t xml:space="preserve">is the error term.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29"/>
    <w:bookmarkStart w:id="30" w:name="identification-assumptions"/>
    <w:p>
      <w:pPr>
        <w:pStyle w:val="Heading3"/>
        <w:jc w:val="left"/>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Excluding named-but-excluded stocks removes the most likely channel, trading in near-substitutes. Fourth, no selection on post-treatment outcomes: this fails for the final constituents, which FTSE selected on data as of 30 June 2026. The ITT group, screened on 2024 data, avoids it and measures the average effect on likely constituents, including the 12 stocks on the preliminary list that FTSE did not include.</w:t>
      </w:r>
    </w:p>
    <w:bookmarkEnd w:id="30"/>
    <w:bookmarkEnd w:id="31"/>
    <w:bookmarkStart w:id="43" w:name="results"/>
    <w:p>
      <w:pPr>
        <w:pStyle w:val="Heading2"/>
        <w:jc w:val="left"/>
      </w:pPr>
      <w:r>
        <w:t xml:space="preserve">4. Results</w:t>
      </w:r>
    </w:p>
    <w:bookmarkStart w:id="38" w:name="Xe5b5969a0617d2689c33cdcd9670d9cb806bb3c"/>
    <w:p>
      <w:pPr>
        <w:pStyle w:val="Heading3"/>
        <w:jc w:val="left"/>
      </w:pPr>
      <w:r>
        <w:t xml:space="preserve">4.1 Likely constituents became less illiquid from the announcement onward</w:t>
      </w:r>
    </w:p>
    <w:p>
      <w:pPr>
        <w:pStyle w:val="FirstParagraph"/>
      </w:pPr>
      <w:r>
        <w:t xml:space="preserve">In Table 2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
          <w:iCs/>
        </w:rPr>
        <w:t xml:space="preserve">p</w:t>
      </w:r>
      <w:r>
        <w:t xml:space="preserve"> </w:t>
      </w:r>
      <w:r>
        <w:t xml:space="preserve">= 0.002), the confirmation coefficient still exceeds the announcement coefficient by 0.21 log points (standard error 0.10,</w:t>
      </w:r>
      <w:r>
        <w:t xml:space="preserve"> </w:t>
      </w:r>
      <w:r>
        <w:rPr>
          <w:i/>
          <w:iCs/>
        </w:rPr>
        <w:t xml:space="preserve">p</w:t>
      </w:r>
      <w:r>
        <w:t xml:space="preserve"> </w:t>
      </w:r>
      <w:r>
        <w:t xml:space="preserve">= 0.035), while the additional step at the constituent list is 0.10 (standard error 0.11,</w:t>
      </w:r>
      <w:r>
        <w:t xml:space="preserve"> </w:t>
      </w:r>
      <w:r>
        <w:rPr>
          <w:i/>
          <w:iCs/>
        </w:rPr>
        <w:t xml:space="preserve">p</w:t>
      </w:r>
      <w:r>
        <w:t xml:space="preserve"> </w:t>
      </w:r>
      <w:r>
        <w:t xml:space="preserve">= 0.40). H</w:t>
      </w:r>
      <w:r>
        <w:rPr>
          <w:vertAlign w:val="subscript"/>
        </w:rPr>
        <w:t xml:space="preserve">2</w:t>
      </w:r>
      <w:r>
        <w:t xml:space="preserve"> </w:t>
      </w:r>
      <w:r>
        <w:t xml:space="preserve">therefore holds for the confirmation, after which liquidity improved gradually. The gain resembles the sustained liquidity increase that Hegde and McDermott (2003) document after S&amp;P 500 additions, but most of it appeared at the announcement and the confirmation, months before the 18 September rebalancing.</w:t>
      </w:r>
    </w:p>
    <w:p>
      <w:pPr>
        <w:pStyle w:val="BodyText"/>
        <w:keepNext/>
      </w:pPr>
      <w:r>
        <w:rPr>
          <w:b/>
          <w:bCs/>
        </w:rPr>
        <w:t xml:space="preserve">Table 2. Constituent liquidity relative to never-named stocks, by disclosure window</w:t>
      </w:r>
    </w:p>
    <w:tbl>
      <w:tblPr>
        <w:tblStyle w:val="Table"/>
        <w:tblW w:type="dxa" w:w="9000"/>
        <w:jc w:val="start"/>
        <w:tblLayout w:type="fixed"/>
        <w:tblLook w:firstRow="1" w:lastRow="0" w:firstColumn="0" w:lastColumn="0" w:noHBand="0" w:noVBand="0" w:val="0020"/>
      </w:tblPr>
      <w:tblGrid>
        <w:gridCol w:w="2043"/>
        <w:gridCol w:w="1728"/>
        <w:gridCol w:w="1695"/>
        <w:gridCol w:w="1766"/>
        <w:gridCol w:w="1766"/>
      </w:tblGrid>
      <w:tr>
        <w:trPr>
          <w:tblHeader w:val="true"/>
        </w:trPr>
        <w:tc>
          <w:tcPr>
            <w:tcW w:type="dxa" w:w="2043"/>
          </w:tcPr>
          <w:p>
            <w:pPr>
              <w:pStyle w:val="Compact"/>
              <w:jc w:val="left"/>
            </w:pPr>
            <w:r>
              <w:t xml:space="preserve">Window</w:t>
            </w:r>
          </w:p>
        </w:tc>
        <w:tc>
          <w:tcPr>
            <w:tcW w:type="dxa" w:w="1728"/>
          </w:tcPr>
          <w:p>
            <w:pPr>
              <w:pStyle w:val="Compact"/>
              <w:jc w:val="center"/>
            </w:pPr>
            <w:r>
              <w:t xml:space="preserve">(1) Amihud</w:t>
            </w:r>
          </w:p>
        </w:tc>
        <w:tc>
          <w:tcPr>
            <w:tcW w:type="dxa" w:w="1695"/>
          </w:tcPr>
          <w:p>
            <w:pPr>
              <w:pStyle w:val="Compact"/>
              <w:jc w:val="center"/>
            </w:pPr>
            <w:r>
              <w:t xml:space="preserve">(2) Trading value</w:t>
            </w:r>
          </w:p>
        </w:tc>
        <w:tc>
          <w:tcPr>
            <w:tcW w:type="dxa" w:w="1766"/>
          </w:tcPr>
          <w:p>
            <w:pPr>
              <w:pStyle w:val="Compact"/>
              <w:jc w:val="center"/>
            </w:pPr>
            <w:r>
              <w:t xml:space="preserve">(3) Amihud, matched</w:t>
            </w:r>
          </w:p>
        </w:tc>
        <w:tc>
          <w:tcPr>
            <w:tcW w:type="dxa" w:w="1766"/>
          </w:tcPr>
          <w:p>
            <w:pPr>
              <w:pStyle w:val="Compact"/>
              <w:jc w:val="center"/>
            </w:pPr>
            <w:r>
              <w:t xml:space="preserve">(4) Trading value, matched</w:t>
            </w:r>
          </w:p>
        </w:tc>
      </w:tr>
      <w:tr>
        <w:tc>
          <w:tcPr>
            <w:tcW w:type="dxa" w:w="2043"/>
          </w:tcPr>
          <w:p>
            <w:pPr>
              <w:pStyle w:val="Compact"/>
              <w:jc w:val="left"/>
            </w:pPr>
            <w:r>
              <w:t xml:space="preserve">Announcement</w:t>
            </w:r>
          </w:p>
        </w:tc>
        <w:tc>
          <w:tcPr>
            <w:tcW w:type="dxa" w:w="1728"/>
          </w:tcPr>
          <w:p>
            <w:pPr>
              <w:pStyle w:val="Compact"/>
              <w:jc w:val="center"/>
            </w:pPr>
            <w:r>
              <w:t xml:space="preserve">−0.392*** (0.098)</w:t>
            </w:r>
          </w:p>
        </w:tc>
        <w:tc>
          <w:tcPr>
            <w:tcW w:type="dxa" w:w="1695"/>
          </w:tcPr>
          <w:p>
            <w:pPr>
              <w:pStyle w:val="Compact"/>
              <w:jc w:val="center"/>
            </w:pPr>
            <w:r>
              <w:t xml:space="preserve">0.678*** (0.108)</w:t>
            </w:r>
          </w:p>
        </w:tc>
        <w:tc>
          <w:tcPr>
            <w:tcW w:type="dxa" w:w="1766"/>
          </w:tcPr>
          <w:p>
            <w:pPr>
              <w:pStyle w:val="Compact"/>
              <w:jc w:val="center"/>
            </w:pPr>
            <w:r>
              <w:t xml:space="preserve">−0.233 (0.159)</w:t>
            </w:r>
          </w:p>
        </w:tc>
        <w:tc>
          <w:tcPr>
            <w:tcW w:type="dxa" w:w="1766"/>
          </w:tcPr>
          <w:p>
            <w:pPr>
              <w:pStyle w:val="Compact"/>
              <w:jc w:val="center"/>
            </w:pPr>
            <w:r>
              <w:t xml:space="preserve">0.387* (0.166)</w:t>
            </w:r>
          </w:p>
        </w:tc>
      </w:tr>
      <w:tr>
        <w:tc>
          <w:tcPr>
            <w:tcW w:type="dxa" w:w="2043"/>
          </w:tcPr>
          <w:p>
            <w:pPr>
              <w:pStyle w:val="Compact"/>
              <w:jc w:val="left"/>
            </w:pPr>
            <w:r>
              <w:t xml:space="preserve">Confirmation</w:t>
            </w:r>
          </w:p>
        </w:tc>
        <w:tc>
          <w:tcPr>
            <w:tcW w:type="dxa" w:w="1728"/>
          </w:tcPr>
          <w:p>
            <w:pPr>
              <w:pStyle w:val="Compact"/>
              <w:jc w:val="center"/>
            </w:pPr>
            <w:r>
              <w:t xml:space="preserve">−0.888*** (0.124)</w:t>
            </w:r>
          </w:p>
        </w:tc>
        <w:tc>
          <w:tcPr>
            <w:tcW w:type="dxa" w:w="1695"/>
          </w:tcPr>
          <w:p>
            <w:pPr>
              <w:pStyle w:val="Compact"/>
              <w:jc w:val="center"/>
            </w:pPr>
            <w:r>
              <w:t xml:space="preserve">1.030*** (0.125)</w:t>
            </w:r>
          </w:p>
        </w:tc>
        <w:tc>
          <w:tcPr>
            <w:tcW w:type="dxa" w:w="1766"/>
          </w:tcPr>
          <w:p>
            <w:pPr>
              <w:pStyle w:val="Compact"/>
              <w:jc w:val="center"/>
            </w:pPr>
            <w:r>
              <w:t xml:space="preserve">−0.471** (0.167)</w:t>
            </w:r>
          </w:p>
        </w:tc>
        <w:tc>
          <w:tcPr>
            <w:tcW w:type="dxa" w:w="1766"/>
          </w:tcPr>
          <w:p>
            <w:pPr>
              <w:pStyle w:val="Compact"/>
              <w:jc w:val="center"/>
            </w:pPr>
            <w:r>
              <w:t xml:space="preserve">0.642*** (0.177)</w:t>
            </w:r>
          </w:p>
        </w:tc>
      </w:tr>
      <w:tr>
        <w:tc>
          <w:tcPr>
            <w:tcW w:type="dxa" w:w="2043"/>
          </w:tcPr>
          <w:p>
            <w:pPr>
              <w:pStyle w:val="Compact"/>
              <w:jc w:val="left"/>
            </w:pPr>
            <w:r>
              <w:t xml:space="preserve">List and rebalancing</w:t>
            </w:r>
          </w:p>
        </w:tc>
        <w:tc>
          <w:tcPr>
            <w:tcW w:type="dxa" w:w="1728"/>
          </w:tcPr>
          <w:p>
            <w:pPr>
              <w:pStyle w:val="Compact"/>
              <w:jc w:val="center"/>
            </w:pPr>
            <w:r>
              <w:t xml:space="preserve">−1.129*** (0.178)</w:t>
            </w:r>
          </w:p>
        </w:tc>
        <w:tc>
          <w:tcPr>
            <w:tcW w:type="dxa" w:w="1695"/>
          </w:tcPr>
          <w:p>
            <w:pPr>
              <w:pStyle w:val="Compact"/>
              <w:jc w:val="center"/>
            </w:pPr>
            <w:r>
              <w:t xml:space="preserve">1.189*** (0.168)</w:t>
            </w:r>
          </w:p>
        </w:tc>
        <w:tc>
          <w:tcPr>
            <w:tcW w:type="dxa" w:w="1766"/>
          </w:tcPr>
          <w:p>
            <w:pPr>
              <w:pStyle w:val="Compact"/>
              <w:jc w:val="center"/>
            </w:pPr>
            <w:r>
              <w:t xml:space="preserve">−0.691** (0.232)</w:t>
            </w:r>
          </w:p>
        </w:tc>
        <w:tc>
          <w:tcPr>
            <w:tcW w:type="dxa" w:w="1766"/>
          </w:tcPr>
          <w:p>
            <w:pPr>
              <w:pStyle w:val="Compact"/>
              <w:jc w:val="center"/>
            </w:pPr>
            <w:r>
              <w:t xml:space="preserve">0.845** (0.245)</w:t>
            </w:r>
          </w:p>
        </w:tc>
      </w:tr>
      <w:tr>
        <w:tc>
          <w:tcPr>
            <w:tcW w:type="dxa" w:w="2043"/>
          </w:tcPr>
          <w:p>
            <w:pPr>
              <w:pStyle w:val="Compact"/>
              <w:jc w:val="left"/>
            </w:pPr>
            <w:r>
              <w:t xml:space="preserve">Observations</w:t>
            </w:r>
          </w:p>
        </w:tc>
        <w:tc>
          <w:tcPr>
            <w:tcW w:type="dxa" w:w="1728"/>
          </w:tcPr>
          <w:p>
            <w:pPr>
              <w:pStyle w:val="Compact"/>
              <w:jc w:val="center"/>
            </w:pPr>
            <w:r>
              <w:t xml:space="preserve">34,369</w:t>
            </w:r>
          </w:p>
        </w:tc>
        <w:tc>
          <w:tcPr>
            <w:tcW w:type="dxa" w:w="1695"/>
          </w:tcPr>
          <w:p>
            <w:pPr>
              <w:pStyle w:val="Compact"/>
              <w:jc w:val="center"/>
            </w:pPr>
            <w:r>
              <w:t xml:space="preserve">34,369</w:t>
            </w:r>
          </w:p>
        </w:tc>
        <w:tc>
          <w:tcPr>
            <w:tcW w:type="dxa" w:w="1766"/>
          </w:tcPr>
          <w:p>
            <w:pPr>
              <w:pStyle w:val="Compact"/>
              <w:jc w:val="center"/>
            </w:pPr>
            <w:r>
              <w:t xml:space="preserve">4,751</w:t>
            </w:r>
          </w:p>
        </w:tc>
        <w:tc>
          <w:tcPr>
            <w:tcW w:type="dxa" w:w="1766"/>
          </w:tcPr>
          <w:p>
            <w:pPr>
              <w:pStyle w:val="Compact"/>
              <w:jc w:val="center"/>
            </w:pPr>
            <w:r>
              <w:t xml:space="preserve">4,751</w:t>
            </w:r>
          </w:p>
        </w:tc>
      </w:tr>
    </w:tbl>
    <w:p>
      <w:pPr>
        <w:pStyle w:val="BodyText"/>
      </w:pPr>
      <w:r>
        <w:rPr>
          <w:i/>
          <w:iCs/>
        </w:rPr>
        <w:t xml:space="preserve">Notes</w:t>
      </w:r>
      <w:r>
        <w:t xml:space="preserve">: Eq. (7) with stock and week fixed effects, standard errors clustered by stock in parentheses and matching weights in columns 3–4; *, **, *** denote significance at 5%, 1% and 0.1%. Source: Authors’ calculations.</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stocks on the preliminary list were never included: those that later entered the index became less illiquid by 0.43, 0.87 and 1.12 log points, the others by 0.11, 0.25 and 0.53. The 27 predicted constituents, chosen on pre-period trading value alone, became less illiquid by 0.25, 0.59 and 0.74 log points. These estimates support H</w:t>
      </w:r>
      <w:r>
        <w:rPr>
          <w:vertAlign w:val="subscript"/>
        </w:rPr>
        <w:t xml:space="preserve">1</w:t>
      </w:r>
      <w:r>
        <w:t xml:space="preserve">.</w:t>
      </w:r>
    </w:p>
    <w:p>
      <w:pPr>
        <w:pStyle w:val="BodyText"/>
        <w:keepNext/>
      </w:pPr>
      <w:r>
        <w:rPr>
          <w:b/>
          <w:bCs/>
        </w:rPr>
        <w:t xml:space="preserve">Table 3. Intention-to-treat (ITT) and predicted-constituent estimates</w:t>
      </w:r>
    </w:p>
    <w:tbl>
      <w:tblPr>
        <w:tblStyle w:val="Table"/>
        <w:tblW w:type="dxa" w:w="9000"/>
        <w:jc w:val="start"/>
        <w:tblLayout w:type="fixed"/>
        <w:tblLook w:firstRow="1" w:lastRow="0" w:firstColumn="0" w:lastColumn="0" w:noHBand="0" w:noVBand="0" w:val="0020"/>
      </w:tblPr>
      <w:tblGrid>
        <w:gridCol w:w="2233"/>
        <w:gridCol w:w="1759"/>
        <w:gridCol w:w="1759"/>
        <w:gridCol w:w="1618"/>
        <w:gridCol w:w="1629"/>
      </w:tblGrid>
      <w:tr>
        <w:trPr>
          <w:tblHeader w:val="true"/>
        </w:trPr>
        <w:tc>
          <w:tcPr>
            <w:tcW w:type="dxa" w:w="2233"/>
          </w:tcPr>
          <w:p>
            <w:pPr>
              <w:pStyle w:val="Compact"/>
              <w:jc w:val="left"/>
            </w:pPr>
            <w:r>
              <w:t xml:space="preserve">Treatment group</w:t>
            </w:r>
          </w:p>
        </w:tc>
        <w:tc>
          <w:tcPr>
            <w:tcW w:type="dxa" w:w="1759"/>
          </w:tcPr>
          <w:p>
            <w:pPr>
              <w:pStyle w:val="Compact"/>
              <w:jc w:val="center"/>
            </w:pPr>
            <w:r>
              <w:t xml:space="preserve">Announcement</w:t>
            </w:r>
          </w:p>
        </w:tc>
        <w:tc>
          <w:tcPr>
            <w:tcW w:type="dxa" w:w="1759"/>
          </w:tcPr>
          <w:p>
            <w:pPr>
              <w:pStyle w:val="Compact"/>
              <w:jc w:val="center"/>
            </w:pPr>
            <w:r>
              <w:t xml:space="preserve">Confirmation</w:t>
            </w:r>
          </w:p>
        </w:tc>
        <w:tc>
          <w:tcPr>
            <w:tcW w:type="dxa" w:w="1618"/>
          </w:tcPr>
          <w:p>
            <w:pPr>
              <w:pStyle w:val="Compact"/>
              <w:jc w:val="center"/>
            </w:pPr>
            <w:r>
              <w:t xml:space="preserve">List</w:t>
            </w:r>
          </w:p>
        </w:tc>
        <w:tc>
          <w:tcPr>
            <w:tcW w:type="dxa" w:w="1629"/>
          </w:tcPr>
          <w:p>
            <w:pPr>
              <w:pStyle w:val="Compact"/>
              <w:jc w:val="center"/>
            </w:pPr>
            <w:r>
              <w:t xml:space="preserve">Trading value, list</w:t>
            </w:r>
          </w:p>
        </w:tc>
      </w:tr>
      <w:tr>
        <w:tc>
          <w:tcPr>
            <w:tcW w:type="dxa" w:w="2233"/>
          </w:tcPr>
          <w:p>
            <w:pPr>
              <w:pStyle w:val="Compact"/>
              <w:jc w:val="left"/>
            </w:pPr>
            <w:r>
              <w:t xml:space="preserve">ITT (27), all controls</w:t>
            </w:r>
          </w:p>
        </w:tc>
        <w:tc>
          <w:tcPr>
            <w:tcW w:type="dxa" w:w="1759"/>
          </w:tcPr>
          <w:p>
            <w:pPr>
              <w:pStyle w:val="Compact"/>
              <w:jc w:val="center"/>
            </w:pPr>
            <w:r>
              <w:t xml:space="preserve">−0.268** (0.083)</w:t>
            </w:r>
          </w:p>
        </w:tc>
        <w:tc>
          <w:tcPr>
            <w:tcW w:type="dxa" w:w="1759"/>
          </w:tcPr>
          <w:p>
            <w:pPr>
              <w:pStyle w:val="Compact"/>
              <w:jc w:val="center"/>
            </w:pPr>
            <w:r>
              <w:t xml:space="preserve">−0.554*** (0.129)</w:t>
            </w:r>
          </w:p>
        </w:tc>
        <w:tc>
          <w:tcPr>
            <w:tcW w:type="dxa" w:w="1618"/>
          </w:tcPr>
          <w:p>
            <w:pPr>
              <w:pStyle w:val="Compact"/>
              <w:jc w:val="center"/>
            </w:pPr>
            <w:r>
              <w:t xml:space="preserve">−0.811*** (0.167)</w:t>
            </w:r>
          </w:p>
        </w:tc>
        <w:tc>
          <w:tcPr>
            <w:tcW w:type="dxa" w:w="1629"/>
          </w:tcPr>
          <w:p>
            <w:pPr>
              <w:pStyle w:val="Compact"/>
              <w:jc w:val="center"/>
            </w:pPr>
            <w:r>
              <w:t xml:space="preserve">0.724*** (0.194)</w:t>
            </w:r>
          </w:p>
        </w:tc>
      </w:tr>
      <w:tr>
        <w:tc>
          <w:tcPr>
            <w:tcW w:type="dxa" w:w="2233"/>
          </w:tcPr>
          <w:p>
            <w:pPr>
              <w:pStyle w:val="Compact"/>
              <w:jc w:val="left"/>
            </w:pPr>
            <w:r>
              <w:t xml:space="preserve">ITT (27), never-named controls</w:t>
            </w:r>
          </w:p>
        </w:tc>
        <w:tc>
          <w:tcPr>
            <w:tcW w:type="dxa" w:w="1759"/>
          </w:tcPr>
          <w:p>
            <w:pPr>
              <w:pStyle w:val="Compact"/>
              <w:jc w:val="center"/>
            </w:pPr>
            <w:r>
              <w:t xml:space="preserve">−0.286*** (0.083)</w:t>
            </w:r>
          </w:p>
        </w:tc>
        <w:tc>
          <w:tcPr>
            <w:tcW w:type="dxa" w:w="1759"/>
          </w:tcPr>
          <w:p>
            <w:pPr>
              <w:pStyle w:val="Compact"/>
              <w:jc w:val="center"/>
            </w:pPr>
            <w:r>
              <w:t xml:space="preserve">−0.593*** (0.129)</w:t>
            </w:r>
          </w:p>
        </w:tc>
        <w:tc>
          <w:tcPr>
            <w:tcW w:type="dxa" w:w="1618"/>
          </w:tcPr>
          <w:p>
            <w:pPr>
              <w:pStyle w:val="Compact"/>
              <w:jc w:val="center"/>
            </w:pPr>
            <w:r>
              <w:t xml:space="preserve">−0.860*** (0.167)</w:t>
            </w:r>
          </w:p>
        </w:tc>
        <w:tc>
          <w:tcPr>
            <w:tcW w:type="dxa" w:w="1629"/>
          </w:tcPr>
          <w:p>
            <w:pPr>
              <w:pStyle w:val="Compact"/>
              <w:jc w:val="center"/>
            </w:pPr>
            <w:r>
              <w:t xml:space="preserve">0.776*** (0.194)</w:t>
            </w:r>
          </w:p>
        </w:tc>
      </w:tr>
      <w:tr>
        <w:tc>
          <w:tcPr>
            <w:tcW w:type="dxa" w:w="2233"/>
          </w:tcPr>
          <w:p>
            <w:pPr>
              <w:pStyle w:val="Compact"/>
              <w:jc w:val="left"/>
            </w:pPr>
            <w:r>
              <w:t xml:space="preserve">Later included (15)</w:t>
            </w:r>
          </w:p>
        </w:tc>
        <w:tc>
          <w:tcPr>
            <w:tcW w:type="dxa" w:w="1759"/>
          </w:tcPr>
          <w:p>
            <w:pPr>
              <w:pStyle w:val="Compact"/>
              <w:jc w:val="center"/>
            </w:pPr>
            <w:r>
              <w:t xml:space="preserve">−0.428*** (0.101)</w:t>
            </w:r>
          </w:p>
        </w:tc>
        <w:tc>
          <w:tcPr>
            <w:tcW w:type="dxa" w:w="1759"/>
          </w:tcPr>
          <w:p>
            <w:pPr>
              <w:pStyle w:val="Compact"/>
              <w:jc w:val="center"/>
            </w:pPr>
            <w:r>
              <w:t xml:space="preserve">−0.872*** (0.146)</w:t>
            </w:r>
          </w:p>
        </w:tc>
        <w:tc>
          <w:tcPr>
            <w:tcW w:type="dxa" w:w="1618"/>
          </w:tcPr>
          <w:p>
            <w:pPr>
              <w:pStyle w:val="Compact"/>
              <w:jc w:val="center"/>
            </w:pPr>
            <w:r>
              <w:t xml:space="preserve">−1.123*** (0.192)</w:t>
            </w:r>
          </w:p>
        </w:tc>
        <w:tc>
          <w:tcPr>
            <w:tcW w:type="dxa" w:w="1629"/>
          </w:tcPr>
          <w:p>
            <w:pPr>
              <w:pStyle w:val="Compact"/>
              <w:jc w:val="left"/>
            </w:pPr>
          </w:p>
        </w:tc>
      </w:tr>
      <w:tr>
        <w:tc>
          <w:tcPr>
            <w:tcW w:type="dxa" w:w="2233"/>
          </w:tcPr>
          <w:p>
            <w:pPr>
              <w:pStyle w:val="Compact"/>
              <w:jc w:val="left"/>
            </w:pPr>
            <w:r>
              <w:t xml:space="preserve">Not included (12)</w:t>
            </w:r>
          </w:p>
        </w:tc>
        <w:tc>
          <w:tcPr>
            <w:tcW w:type="dxa" w:w="1759"/>
          </w:tcPr>
          <w:p>
            <w:pPr>
              <w:pStyle w:val="Compact"/>
              <w:jc w:val="center"/>
            </w:pPr>
            <w:r>
              <w:t xml:space="preserve">−0.108 (0.102)</w:t>
            </w:r>
          </w:p>
        </w:tc>
        <w:tc>
          <w:tcPr>
            <w:tcW w:type="dxa" w:w="1759"/>
          </w:tcPr>
          <w:p>
            <w:pPr>
              <w:pStyle w:val="Compact"/>
              <w:jc w:val="center"/>
            </w:pPr>
            <w:r>
              <w:t xml:space="preserve">−0.245 (0.159)</w:t>
            </w:r>
          </w:p>
        </w:tc>
        <w:tc>
          <w:tcPr>
            <w:tcW w:type="dxa" w:w="1618"/>
          </w:tcPr>
          <w:p>
            <w:pPr>
              <w:pStyle w:val="Compact"/>
              <w:jc w:val="center"/>
            </w:pPr>
            <w:r>
              <w:t xml:space="preserve">−0.527* (0.236)</w:t>
            </w:r>
          </w:p>
        </w:tc>
        <w:tc>
          <w:tcPr>
            <w:tcW w:type="dxa" w:w="1629"/>
          </w:tcPr>
          <w:p>
            <w:pPr>
              <w:pStyle w:val="Compact"/>
              <w:jc w:val="left"/>
            </w:pPr>
          </w:p>
        </w:tc>
      </w:tr>
      <w:tr>
        <w:tc>
          <w:tcPr>
            <w:tcW w:type="dxa" w:w="2233"/>
          </w:tcPr>
          <w:p>
            <w:pPr>
              <w:pStyle w:val="Compact"/>
              <w:jc w:val="left"/>
            </w:pPr>
            <w:r>
              <w:t xml:space="preserve">Predicted (top 27)</w:t>
            </w:r>
          </w:p>
        </w:tc>
        <w:tc>
          <w:tcPr>
            <w:tcW w:type="dxa" w:w="1759"/>
          </w:tcPr>
          <w:p>
            <w:pPr>
              <w:pStyle w:val="Compact"/>
              <w:jc w:val="center"/>
            </w:pPr>
            <w:r>
              <w:t xml:space="preserve">−0.250*** (0.073)</w:t>
            </w:r>
          </w:p>
        </w:tc>
        <w:tc>
          <w:tcPr>
            <w:tcW w:type="dxa" w:w="1759"/>
          </w:tcPr>
          <w:p>
            <w:pPr>
              <w:pStyle w:val="Compact"/>
              <w:jc w:val="center"/>
            </w:pPr>
            <w:r>
              <w:t xml:space="preserve">−0.595*** (0.089)</w:t>
            </w:r>
          </w:p>
        </w:tc>
        <w:tc>
          <w:tcPr>
            <w:tcW w:type="dxa" w:w="1618"/>
          </w:tcPr>
          <w:p>
            <w:pPr>
              <w:pStyle w:val="Compact"/>
              <w:jc w:val="center"/>
            </w:pPr>
            <w:r>
              <w:t xml:space="preserve">−0.741*** (0.120)</w:t>
            </w:r>
          </w:p>
        </w:tc>
        <w:tc>
          <w:tcPr>
            <w:tcW w:type="dxa" w:w="1629"/>
          </w:tcPr>
          <w:p>
            <w:pPr>
              <w:pStyle w:val="Compact"/>
              <w:jc w:val="center"/>
            </w:pPr>
            <w:r>
              <w:t xml:space="preserve">0.607*** (0.144)</w:t>
            </w:r>
          </w:p>
        </w:tc>
      </w:tr>
    </w:tbl>
    <w:p>
      <w:pPr>
        <w:pStyle w:val="BodyText"/>
      </w:pPr>
      <w:r>
        <w:rPr>
          <w:i/>
          <w:iCs/>
        </w:rPr>
        <w:t xml:space="preserve">Notes</w:t>
      </w:r>
      <w:r>
        <w:t xml:space="preserve">: Log Amihud unless stated; the split rows come from one regression with never-named, never-included controls, and other details are as in Table 2. Source: Authors’ calculations.</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significantly so three and two months before it (0.33 and 0.23). Because these deviations are precisely estimated, the joint pre-trend test rejects in the full sample (</w:t>
      </w:r>
      <w:r>
        <w:rPr>
          <w:i/>
          <w:iCs/>
        </w:rPr>
        <w:t xml:space="preserve">F</w:t>
      </w:r>
      <w:r>
        <w:t xml:space="preserve"> </w:t>
      </w:r>
      <w:r>
        <w:t xml:space="preserve">= 6.66,</w:t>
      </w:r>
      <w:r>
        <w:t xml:space="preserve"> </w:t>
      </w:r>
      <w:r>
        <w:rPr>
          <w:i/>
          <w:iCs/>
        </w:rPr>
        <w:t xml:space="preserve">p</w:t>
      </w:r>
      <w:r>
        <w:t xml:space="preserve"> </w:t>
      </w:r>
      <w:r>
        <w:t xml:space="preserve">&lt; 0.001) but not at 5% in the matched sample (</w:t>
      </w:r>
      <w:r>
        <w:rPr>
          <w:i/>
          <w:iCs/>
        </w:rPr>
        <w:t xml:space="preserve">F</w:t>
      </w:r>
      <w:r>
        <w:t xml:space="preserve"> </w:t>
      </w:r>
      <w:r>
        <w:t xml:space="preserve">= 1.72,</w:t>
      </w:r>
      <w:r>
        <w:t xml:space="preserve"> </w:t>
      </w:r>
      <w:r>
        <w:rPr>
          <w:i/>
          <w:iCs/>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
          <w:iCs/>
        </w:rPr>
        <w:t xml:space="preserve">F</w:t>
      </w:r>
      <w:r>
        <w:t xml:space="preserve"> </w:t>
      </w:r>
      <w:r>
        <w:t xml:space="preserve">= 7.59,</w:t>
      </w:r>
      <w:r>
        <w:t xml:space="preserve"> </w:t>
      </w:r>
      <w:r>
        <w:rPr>
          <w:i/>
          <w:iCs/>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keepNext/>
      </w:pPr>
      <w:r>
        <w:rPr>
          <w:b/>
          <w:bCs/>
        </w:rPr>
        <w:t xml:space="preserve">Figure 1. Monthly event-study coefficients for FTSE constituents and named-but-excluded stocks</w:t>
      </w:r>
    </w:p>
    <w:p>
      <w:pPr>
        <w:pStyle w:val="BodyText"/>
      </w:pPr>
      <w:r>
        <w:drawing>
          <wp:inline>
            <wp:extent cx="5334000" cy="5689600"/>
            <wp:effectExtent b="0" l="0" r="0" t="0"/>
            <wp:docPr descr="" title="" id="33" name="Picture"/>
            <a:graphic>
              <a:graphicData uri="http://schemas.openxmlformats.org/drawingml/2006/picture">
                <pic:pic>
                  <pic:nvPicPr>
                    <pic:cNvPr descr="Figure_1.png" id="34" name="Picture"/>
                    <pic:cNvPicPr>
                      <a:picLocks noChangeArrowheads="1" noChangeAspect="1"/>
                    </pic:cNvPicPr>
                  </pic:nvPicPr>
                  <pic:blipFill>
                    <a:blip r:embed="rId32"/>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
          <w:iCs/>
        </w:rPr>
        <w:t xml:space="preserve">Note</w:t>
      </w:r>
      <w:r>
        <w:t xml:space="preserve">: Coefficients</w:t>
      </w:r>
      <w:r>
        <w:t xml:space="preserve"> </w:t>
      </w:r>
      <m:oMath>
        <m:sSub>
          <m:e>
            <m:r>
              <m:t>δ</m:t>
            </m:r>
          </m:e>
          <m:sub>
            <m:r>
              <m:t>m</m:t>
            </m:r>
          </m:sub>
        </m:sSub>
      </m:oMath>
      <w:r>
        <w:t xml:space="preserve"> </w:t>
      </w:r>
      <w:r>
        <w:t xml:space="preserve">of Eq. (8), estimated jointly with the same month interactions for named-but-excluded stocks, with 95% confidence intervals (panel A: log Amihud; panel B: log trading value); dashed lines mark the announcement, confirmation and list months. Source: Authors’ calculations.</w:t>
      </w:r>
    </w:p>
    <w:p>
      <w:pPr>
        <w:pStyle w:val="BodyText"/>
        <w:keepNext/>
      </w:pPr>
      <w:r>
        <w:rPr>
          <w:b/>
          <w:bCs/>
        </w:rPr>
        <w:t xml:space="preserve">Figure 2. Monthly event-study coefficients for the intention-to-treat group</w:t>
      </w:r>
    </w:p>
    <w:p>
      <w:pPr>
        <w:pStyle w:val="BodyText"/>
      </w:pPr>
      <w:r>
        <w:drawing>
          <wp:inline>
            <wp:extent cx="5334000" cy="3271520"/>
            <wp:effectExtent b="0" l="0" r="0" t="0"/>
            <wp:docPr descr="" title="" id="36" name="Picture"/>
            <a:graphic>
              <a:graphicData uri="http://schemas.openxmlformats.org/drawingml/2006/picture">
                <pic:pic>
                  <pic:nvPicPr>
                    <pic:cNvPr descr="Figure_2.png" id="37" name="Picture"/>
                    <pic:cNvPicPr>
                      <a:picLocks noChangeArrowheads="1" noChangeAspect="1"/>
                    </pic:cNvPicPr>
                  </pic:nvPicPr>
                  <pic:blipFill>
                    <a:blip r:embed="rId35"/>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
          <w:iCs/>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never-named, never-included controls and 95% confidence intervals; dashed lines as in Figure 1. Source: Authors’ calculations.</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
          <w:iCs/>
        </w:rPr>
        <w:t xml:space="preserve">p</w:t>
      </w:r>
      <w:r>
        <w:t xml:space="preserve"> </w:t>
      </w:r>
      <w:r>
        <w:t xml:space="preserve">&lt; 0.002). The placebo distribution centres at −0.21 in the list window, less than one fifth of the constituent effect.</w:t>
      </w:r>
    </w:p>
    <w:bookmarkEnd w:id="38"/>
    <w:bookmarkStart w:id="39" w:name="X2dc5148c5e292cedb3b57c9581c659f24a04a34"/>
    <w:p>
      <w:pPr>
        <w:pStyle w:val="Heading3"/>
        <w:jc w:val="left"/>
      </w:pPr>
      <w:r>
        <w:t xml:space="preserve">4.2 Prices moved at the announcement and the confirmation</w:t>
      </w:r>
    </w:p>
    <w:p>
      <w:pPr>
        <w:pStyle w:val="FirstParagraph"/>
      </w:pPr>
      <w:r>
        <w:t xml:space="preserve">Table 4 reports CARs with portfolio</w:t>
      </w:r>
      <w:r>
        <w:t xml:space="preserve"> </w:t>
      </w:r>
      <w:r>
        <w:rPr>
          <w:i/>
          <w:iCs/>
        </w:rPr>
        <w:t xml:space="preserve">t</w:t>
      </w:r>
      <w:r>
        <w:t xml:space="preserve">-statistics for every pre-specified window. Over days −1 to +5 around the announcement, constituents earned 3.9% to 7.8% depending on the benchmark (</w:t>
      </w:r>
      <w:r>
        <w:rPr>
          <w:i/>
          <w:iCs/>
        </w:rPr>
        <w:t xml:space="preserve">t</w:t>
      </w:r>
      <w:r>
        <w:t xml:space="preserve"> </w:t>
      </w:r>
      <w:r>
        <w:t xml:space="preserve">between 2.19 and 3.46), and over days −1 to +1 around the confirmation, 2.7% to 4.5% (</w:t>
      </w:r>
      <w:r>
        <w:rPr>
          <w:i/>
          <w:iCs/>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The data end two sessions after the effective date, so only its [−1,+1] window exists; that CAR (−0.5% to 0.9%) is never significant. Cross-sectional</w:t>
      </w:r>
      <w:r>
        <w:t xml:space="preserve"> </w:t>
      </w:r>
      <w:r>
        <w:rPr>
          <w:i/>
          <w:iCs/>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keepNext/>
      </w:pPr>
      <w:r>
        <w:rPr>
          <w:b/>
          <w:bCs/>
        </w:rPr>
        <w:t xml:space="preserve">Table 4. Cumulative abnormal returns around FTSE disclosures</w:t>
      </w:r>
    </w:p>
    <w:p>
      <w:pPr>
        <w:pStyle w:val="BodyText"/>
        <w:keepNext/>
      </w:pPr>
      <w:r>
        <w:t xml:space="preserve">Panel A. Constituents (24)</w:t>
      </w:r>
    </w:p>
    <w:tbl>
      <w:tblPr>
        <w:tblStyle w:val="Table"/>
        <w:tblW w:type="dxa" w:w="9000"/>
        <w:jc w:val="start"/>
        <w:tblLayout w:type="fixed"/>
        <w:tblLook w:firstRow="1" w:lastRow="0" w:firstColumn="0" w:lastColumn="0" w:noHBand="0" w:noVBand="0" w:val="0020"/>
      </w:tblPr>
      <w:tblGrid>
        <w:gridCol w:w="2329"/>
        <w:gridCol w:w="945"/>
        <w:gridCol w:w="1487"/>
        <w:gridCol w:w="1190"/>
        <w:gridCol w:w="1733"/>
        <w:gridCol w:w="1313"/>
      </w:tblGrid>
      <w:tr>
        <w:trPr>
          <w:tblHeader w:val="true"/>
        </w:trPr>
        <w:tc>
          <w:tcPr>
            <w:tcW w:type="dxa" w:w="2329"/>
          </w:tcPr>
          <w:p>
            <w:pPr>
              <w:pStyle w:val="Compact"/>
              <w:jc w:val="left"/>
            </w:pPr>
            <w:r>
              <w:t xml:space="preserve">Event</w:t>
            </w:r>
          </w:p>
        </w:tc>
        <w:tc>
          <w:tcPr>
            <w:tcW w:type="dxa" w:w="945"/>
          </w:tcPr>
          <w:p>
            <w:pPr>
              <w:pStyle w:val="Compact"/>
              <w:jc w:val="center"/>
            </w:pPr>
            <w:r>
              <w:t xml:space="preserve">Window</w:t>
            </w:r>
          </w:p>
        </w:tc>
        <w:tc>
          <w:tcPr>
            <w:tcW w:type="dxa" w:w="1487"/>
          </w:tcPr>
          <w:p>
            <w:pPr>
              <w:pStyle w:val="Compact"/>
              <w:jc w:val="center"/>
            </w:pPr>
            <w:r>
              <w:t xml:space="preserve">Never-named</w:t>
            </w:r>
          </w:p>
        </w:tc>
        <w:tc>
          <w:tcPr>
            <w:tcW w:type="dxa" w:w="1190"/>
          </w:tcPr>
          <w:p>
            <w:pPr>
              <w:pStyle w:val="Compact"/>
              <w:jc w:val="center"/>
            </w:pPr>
            <w:r>
              <w:t xml:space="preserve">Matched</w:t>
            </w:r>
          </w:p>
        </w:tc>
        <w:tc>
          <w:tcPr>
            <w:tcW w:type="dxa" w:w="1733"/>
          </w:tcPr>
          <w:p>
            <w:pPr>
              <w:pStyle w:val="Compact"/>
              <w:jc w:val="center"/>
            </w:pPr>
            <w:r>
              <w:t xml:space="preserve">Large never-named</w:t>
            </w:r>
          </w:p>
        </w:tc>
        <w:tc>
          <w:tcPr>
            <w:tcW w:type="dxa" w:w="1313"/>
          </w:tcPr>
          <w:p>
            <w:pPr>
              <w:pStyle w:val="Compact"/>
              <w:jc w:val="center"/>
            </w:pPr>
            <w:r>
              <w:t xml:space="preserve">Market model</w:t>
            </w:r>
          </w:p>
        </w:tc>
      </w:tr>
      <w:tr>
        <w:tc>
          <w:tcPr>
            <w:tcW w:type="dxa" w:w="2329"/>
          </w:tcPr>
          <w:p>
            <w:pPr>
              <w:pStyle w:val="Compact"/>
              <w:jc w:val="left"/>
            </w:pPr>
            <w:r>
              <w:t xml:space="preserve">Announcement (7 Oct 2025)</w:t>
            </w:r>
          </w:p>
        </w:tc>
        <w:tc>
          <w:tcPr>
            <w:tcW w:type="dxa" w:w="945"/>
          </w:tcPr>
          <w:p>
            <w:pPr>
              <w:pStyle w:val="Compact"/>
              <w:jc w:val="center"/>
            </w:pPr>
            <w:r>
              <w:t xml:space="preserve">[−1,+1]</w:t>
            </w:r>
          </w:p>
        </w:tc>
        <w:tc>
          <w:tcPr>
            <w:tcW w:type="dxa" w:w="1487"/>
          </w:tcPr>
          <w:p>
            <w:pPr>
              <w:pStyle w:val="Compact"/>
              <w:jc w:val="center"/>
            </w:pPr>
            <w:r>
              <w:t xml:space="preserve">3.3% (2.27)</w:t>
            </w:r>
          </w:p>
        </w:tc>
        <w:tc>
          <w:tcPr>
            <w:tcW w:type="dxa" w:w="1190"/>
          </w:tcPr>
          <w:p>
            <w:pPr>
              <w:pStyle w:val="Compact"/>
              <w:jc w:val="center"/>
            </w:pPr>
            <w:r>
              <w:t xml:space="preserve">1.7% (1.43)</w:t>
            </w:r>
          </w:p>
        </w:tc>
        <w:tc>
          <w:tcPr>
            <w:tcW w:type="dxa" w:w="1733"/>
          </w:tcPr>
          <w:p>
            <w:pPr>
              <w:pStyle w:val="Compact"/>
              <w:jc w:val="center"/>
            </w:pPr>
            <w:r>
              <w:t xml:space="preserve">2.3% (1.54)</w:t>
            </w:r>
          </w:p>
        </w:tc>
        <w:tc>
          <w:tcPr>
            <w:tcW w:type="dxa" w:w="1313"/>
          </w:tcPr>
          <w:p>
            <w:pPr>
              <w:pStyle w:val="Compact"/>
              <w:jc w:val="center"/>
            </w:pPr>
            <w:r>
              <w:t xml:space="preserve">2.6% (1.85)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7.8% (3.46)</w:t>
            </w:r>
          </w:p>
        </w:tc>
        <w:tc>
          <w:tcPr>
            <w:tcW w:type="dxa" w:w="1190"/>
          </w:tcPr>
          <w:p>
            <w:pPr>
              <w:pStyle w:val="Compact"/>
              <w:jc w:val="center"/>
            </w:pPr>
            <w:r>
              <w:t xml:space="preserve">3.9% (2.19)</w:t>
            </w:r>
          </w:p>
        </w:tc>
        <w:tc>
          <w:tcPr>
            <w:tcW w:type="dxa" w:w="1733"/>
          </w:tcPr>
          <w:p>
            <w:pPr>
              <w:pStyle w:val="Compact"/>
              <w:jc w:val="center"/>
            </w:pPr>
            <w:r>
              <w:t xml:space="preserve">6.3% (2.75)</w:t>
            </w:r>
          </w:p>
        </w:tc>
        <w:tc>
          <w:tcPr>
            <w:tcW w:type="dxa" w:w="1313"/>
          </w:tcPr>
          <w:p>
            <w:pPr>
              <w:pStyle w:val="Compact"/>
              <w:jc w:val="center"/>
            </w:pPr>
            <w:r>
              <w:t xml:space="preserve">6.6% (3.04)</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−2.4% (−0.61)</w:t>
            </w:r>
          </w:p>
        </w:tc>
        <w:tc>
          <w:tcPr>
            <w:tcW w:type="dxa" w:w="1190"/>
          </w:tcPr>
          <w:p>
            <w:pPr>
              <w:pStyle w:val="Compact"/>
              <w:jc w:val="center"/>
            </w:pPr>
            <w:r>
              <w:t xml:space="preserve">1.6% (0.51)</w:t>
            </w:r>
          </w:p>
        </w:tc>
        <w:tc>
          <w:tcPr>
            <w:tcW w:type="dxa" w:w="1733"/>
          </w:tcPr>
          <w:p>
            <w:pPr>
              <w:pStyle w:val="Compact"/>
              <w:jc w:val="center"/>
            </w:pPr>
            <w:r>
              <w:t xml:space="preserve">−1.4% (−0.35)</w:t>
            </w:r>
          </w:p>
        </w:tc>
        <w:tc>
          <w:tcPr>
            <w:tcW w:type="dxa" w:w="1313"/>
          </w:tcPr>
          <w:p>
            <w:pPr>
              <w:pStyle w:val="Compact"/>
              <w:jc w:val="center"/>
            </w:pPr>
            <w:r>
              <w:t xml:space="preserve">−5.5% (−1.47)</w:t>
            </w:r>
          </w:p>
        </w:tc>
      </w:tr>
      <w:tr>
        <w:tc>
          <w:tcPr>
            <w:tcW w:type="dxa" w:w="2329"/>
          </w:tcPr>
          <w:p>
            <w:pPr>
              <w:pStyle w:val="Compact"/>
              <w:jc w:val="left"/>
            </w:pPr>
            <w:r>
              <w:t xml:space="preserve">Confirmation (7 Apr 2026)</w:t>
            </w:r>
          </w:p>
        </w:tc>
        <w:tc>
          <w:tcPr>
            <w:tcW w:type="dxa" w:w="945"/>
          </w:tcPr>
          <w:p>
            <w:pPr>
              <w:pStyle w:val="Compact"/>
              <w:jc w:val="center"/>
            </w:pPr>
            <w:r>
              <w:t xml:space="preserve">[−1,+1]</w:t>
            </w:r>
          </w:p>
        </w:tc>
        <w:tc>
          <w:tcPr>
            <w:tcW w:type="dxa" w:w="1487"/>
          </w:tcPr>
          <w:p>
            <w:pPr>
              <w:pStyle w:val="Compact"/>
              <w:jc w:val="center"/>
            </w:pPr>
            <w:r>
              <w:t xml:space="preserve">4.5% (2.93)</w:t>
            </w:r>
          </w:p>
        </w:tc>
        <w:tc>
          <w:tcPr>
            <w:tcW w:type="dxa" w:w="1190"/>
          </w:tcPr>
          <w:p>
            <w:pPr>
              <w:pStyle w:val="Compact"/>
              <w:jc w:val="center"/>
            </w:pPr>
            <w:r>
              <w:t xml:space="preserve">2.7% (2.22)</w:t>
            </w:r>
          </w:p>
        </w:tc>
        <w:tc>
          <w:tcPr>
            <w:tcW w:type="dxa" w:w="1733"/>
          </w:tcPr>
          <w:p>
            <w:pPr>
              <w:pStyle w:val="Compact"/>
              <w:jc w:val="center"/>
            </w:pPr>
            <w:r>
              <w:t xml:space="preserve">3.6% (2.73)</w:t>
            </w:r>
          </w:p>
        </w:tc>
        <w:tc>
          <w:tcPr>
            <w:tcW w:type="dxa" w:w="1313"/>
          </w:tcPr>
          <w:p>
            <w:pPr>
              <w:pStyle w:val="Compact"/>
              <w:jc w:val="center"/>
            </w:pPr>
            <w:r>
              <w:t xml:space="preserve">3.8% (2.73)</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4.7% (2.00)</w:t>
            </w:r>
          </w:p>
        </w:tc>
        <w:tc>
          <w:tcPr>
            <w:tcW w:type="dxa" w:w="1190"/>
          </w:tcPr>
          <w:p>
            <w:pPr>
              <w:pStyle w:val="Compact"/>
              <w:jc w:val="center"/>
            </w:pPr>
            <w:r>
              <w:t xml:space="preserve">2.2% (1.21)</w:t>
            </w:r>
          </w:p>
        </w:tc>
        <w:tc>
          <w:tcPr>
            <w:tcW w:type="dxa" w:w="1733"/>
          </w:tcPr>
          <w:p>
            <w:pPr>
              <w:pStyle w:val="Compact"/>
              <w:jc w:val="center"/>
            </w:pPr>
            <w:r>
              <w:t xml:space="preserve">3.5% (1.75)</w:t>
            </w:r>
          </w:p>
        </w:tc>
        <w:tc>
          <w:tcPr>
            <w:tcW w:type="dxa" w:w="1313"/>
          </w:tcPr>
          <w:p>
            <w:pPr>
              <w:pStyle w:val="Compact"/>
              <w:jc w:val="center"/>
            </w:pPr>
            <w:r>
              <w:t xml:space="preserve">3.6% (1.72)</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10.0% (2.44)</w:t>
            </w:r>
          </w:p>
        </w:tc>
        <w:tc>
          <w:tcPr>
            <w:tcW w:type="dxa" w:w="1190"/>
          </w:tcPr>
          <w:p>
            <w:pPr>
              <w:pStyle w:val="Compact"/>
              <w:jc w:val="center"/>
            </w:pPr>
            <w:r>
              <w:t xml:space="preserve">6.2% (1.94)</w:t>
            </w:r>
          </w:p>
        </w:tc>
        <w:tc>
          <w:tcPr>
            <w:tcW w:type="dxa" w:w="1733"/>
          </w:tcPr>
          <w:p>
            <w:pPr>
              <w:pStyle w:val="Compact"/>
              <w:jc w:val="center"/>
            </w:pPr>
            <w:r>
              <w:t xml:space="preserve">10.6% (3.03)</w:t>
            </w:r>
          </w:p>
        </w:tc>
        <w:tc>
          <w:tcPr>
            <w:tcW w:type="dxa" w:w="1313"/>
          </w:tcPr>
          <w:p>
            <w:pPr>
              <w:pStyle w:val="Compact"/>
              <w:jc w:val="center"/>
            </w:pPr>
            <w:r>
              <w:t xml:space="preserve">8.4% (2.30)</w:t>
            </w:r>
          </w:p>
        </w:tc>
      </w:tr>
      <w:tr>
        <w:tc>
          <w:tcPr>
            <w:tcW w:type="dxa" w:w="2329"/>
          </w:tcPr>
          <w:p>
            <w:pPr>
              <w:pStyle w:val="Compact"/>
              <w:jc w:val="left"/>
            </w:pPr>
            <w:r>
              <w:t xml:space="preserve">Constituent list (21 Aug 2026)</w:t>
            </w:r>
          </w:p>
        </w:tc>
        <w:tc>
          <w:tcPr>
            <w:tcW w:type="dxa" w:w="945"/>
          </w:tcPr>
          <w:p>
            <w:pPr>
              <w:pStyle w:val="Compact"/>
              <w:jc w:val="center"/>
            </w:pPr>
            <w:r>
              <w:t xml:space="preserve">[−1,+1]</w:t>
            </w:r>
          </w:p>
        </w:tc>
        <w:tc>
          <w:tcPr>
            <w:tcW w:type="dxa" w:w="1487"/>
          </w:tcPr>
          <w:p>
            <w:pPr>
              <w:pStyle w:val="Compact"/>
              <w:jc w:val="center"/>
            </w:pPr>
            <w:r>
              <w:t xml:space="preserve">2.7% (1.86)</w:t>
            </w:r>
          </w:p>
        </w:tc>
        <w:tc>
          <w:tcPr>
            <w:tcW w:type="dxa" w:w="1190"/>
          </w:tcPr>
          <w:p>
            <w:pPr>
              <w:pStyle w:val="Compact"/>
              <w:jc w:val="center"/>
            </w:pPr>
            <w:r>
              <w:t xml:space="preserve">1.5% (1.31)</w:t>
            </w:r>
          </w:p>
        </w:tc>
        <w:tc>
          <w:tcPr>
            <w:tcW w:type="dxa" w:w="1733"/>
          </w:tcPr>
          <w:p>
            <w:pPr>
              <w:pStyle w:val="Compact"/>
              <w:jc w:val="center"/>
            </w:pPr>
            <w:r>
              <w:t xml:space="preserve">1.8% (1.50)</w:t>
            </w:r>
          </w:p>
        </w:tc>
        <w:tc>
          <w:tcPr>
            <w:tcW w:type="dxa" w:w="1313"/>
          </w:tcPr>
          <w:p>
            <w:pPr>
              <w:pStyle w:val="Compact"/>
              <w:jc w:val="center"/>
            </w:pPr>
            <w:r>
              <w:t xml:space="preserve">1.5% (1.25)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4.4% (2.04)</w:t>
            </w:r>
          </w:p>
        </w:tc>
        <w:tc>
          <w:tcPr>
            <w:tcW w:type="dxa" w:w="1190"/>
          </w:tcPr>
          <w:p>
            <w:pPr>
              <w:pStyle w:val="Compact"/>
              <w:jc w:val="center"/>
            </w:pPr>
            <w:r>
              <w:t xml:space="preserve">2.0% (1.12)</w:t>
            </w:r>
          </w:p>
        </w:tc>
        <w:tc>
          <w:tcPr>
            <w:tcW w:type="dxa" w:w="1733"/>
          </w:tcPr>
          <w:p>
            <w:pPr>
              <w:pStyle w:val="Compact"/>
              <w:jc w:val="center"/>
            </w:pPr>
            <w:r>
              <w:t xml:space="preserve">3.9% (2.17)</w:t>
            </w:r>
          </w:p>
        </w:tc>
        <w:tc>
          <w:tcPr>
            <w:tcW w:type="dxa" w:w="1313"/>
          </w:tcPr>
          <w:p>
            <w:pPr>
              <w:pStyle w:val="Compact"/>
              <w:jc w:val="center"/>
            </w:pPr>
            <w:r>
              <w:t xml:space="preserve">3.1% (1.64)</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4.6% (1.21)</w:t>
            </w:r>
          </w:p>
        </w:tc>
        <w:tc>
          <w:tcPr>
            <w:tcW w:type="dxa" w:w="1190"/>
          </w:tcPr>
          <w:p>
            <w:pPr>
              <w:pStyle w:val="Compact"/>
              <w:jc w:val="center"/>
            </w:pPr>
            <w:r>
              <w:t xml:space="preserve">3.7% (1.21)</w:t>
            </w:r>
          </w:p>
        </w:tc>
        <w:tc>
          <w:tcPr>
            <w:tcW w:type="dxa" w:w="1733"/>
          </w:tcPr>
          <w:p>
            <w:pPr>
              <w:pStyle w:val="Compact"/>
              <w:jc w:val="center"/>
            </w:pPr>
            <w:r>
              <w:t xml:space="preserve">5.2% (1.65)</w:t>
            </w:r>
          </w:p>
        </w:tc>
        <w:tc>
          <w:tcPr>
            <w:tcW w:type="dxa" w:w="1313"/>
          </w:tcPr>
          <w:p>
            <w:pPr>
              <w:pStyle w:val="Compact"/>
              <w:jc w:val="center"/>
            </w:pPr>
            <w:r>
              <w:t xml:space="preserve">3.3% (1.00)</w:t>
            </w:r>
          </w:p>
        </w:tc>
      </w:tr>
      <w:tr>
        <w:tc>
          <w:tcPr>
            <w:tcW w:type="dxa" w:w="2329"/>
          </w:tcPr>
          <w:p>
            <w:pPr>
              <w:pStyle w:val="Compact"/>
              <w:jc w:val="left"/>
            </w:pPr>
            <w:r>
              <w:t xml:space="preserve">Effective date (21 Sep 2026)</w:t>
            </w:r>
          </w:p>
        </w:tc>
        <w:tc>
          <w:tcPr>
            <w:tcW w:type="dxa" w:w="945"/>
          </w:tcPr>
          <w:p>
            <w:pPr>
              <w:pStyle w:val="Compact"/>
              <w:jc w:val="center"/>
            </w:pPr>
            <w:r>
              <w:t xml:space="preserve">[−1,+1]</w:t>
            </w:r>
          </w:p>
        </w:tc>
        <w:tc>
          <w:tcPr>
            <w:tcW w:type="dxa" w:w="1487"/>
          </w:tcPr>
          <w:p>
            <w:pPr>
              <w:pStyle w:val="Compact"/>
              <w:jc w:val="center"/>
            </w:pPr>
            <w:r>
              <w:t xml:space="preserve">−0.1% (−0.11)</w:t>
            </w:r>
          </w:p>
        </w:tc>
        <w:tc>
          <w:tcPr>
            <w:tcW w:type="dxa" w:w="1190"/>
          </w:tcPr>
          <w:p>
            <w:pPr>
              <w:pStyle w:val="Compact"/>
              <w:jc w:val="center"/>
            </w:pPr>
            <w:r>
              <w:t xml:space="preserve">0.9% (0.88)</w:t>
            </w:r>
          </w:p>
        </w:tc>
        <w:tc>
          <w:tcPr>
            <w:tcW w:type="dxa" w:w="1733"/>
          </w:tcPr>
          <w:p>
            <w:pPr>
              <w:pStyle w:val="Compact"/>
              <w:jc w:val="center"/>
            </w:pPr>
            <w:r>
              <w:t xml:space="preserve">0.0% (0.03)</w:t>
            </w:r>
          </w:p>
        </w:tc>
        <w:tc>
          <w:tcPr>
            <w:tcW w:type="dxa" w:w="1313"/>
          </w:tcPr>
          <w:p>
            <w:pPr>
              <w:pStyle w:val="Compact"/>
              <w:jc w:val="center"/>
            </w:pPr>
            <w:r>
              <w:t xml:space="preserve">−0.5% (−0.51)</w:t>
            </w:r>
          </w:p>
        </w:tc>
      </w:tr>
    </w:tbl>
    <w:p>
      <w:pPr>
        <w:pStyle w:val="BodyText"/>
        <w:keepNext/>
      </w:pPr>
      <w:r>
        <w:t xml:space="preserve">Panel B. ITT group (27)</w:t>
      </w:r>
    </w:p>
    <w:tbl>
      <w:tblPr>
        <w:tblStyle w:val="Table"/>
        <w:tblW w:type="dxa" w:w="9000"/>
        <w:jc w:val="start"/>
        <w:tblLayout w:type="fixed"/>
        <w:tblLook w:firstRow="1" w:lastRow="0" w:firstColumn="0" w:lastColumn="0" w:noHBand="0" w:noVBand="0" w:val="0020"/>
      </w:tblPr>
      <w:tblGrid>
        <w:gridCol w:w="2329"/>
        <w:gridCol w:w="945"/>
        <w:gridCol w:w="1487"/>
        <w:gridCol w:w="1190"/>
        <w:gridCol w:w="1733"/>
        <w:gridCol w:w="1313"/>
      </w:tblGrid>
      <w:tr>
        <w:trPr>
          <w:tblHeader w:val="true"/>
        </w:trPr>
        <w:tc>
          <w:tcPr>
            <w:tcW w:type="dxa" w:w="2329"/>
          </w:tcPr>
          <w:p>
            <w:pPr>
              <w:pStyle w:val="Compact"/>
              <w:jc w:val="left"/>
            </w:pPr>
            <w:r>
              <w:t xml:space="preserve">Event</w:t>
            </w:r>
          </w:p>
        </w:tc>
        <w:tc>
          <w:tcPr>
            <w:tcW w:type="dxa" w:w="945"/>
          </w:tcPr>
          <w:p>
            <w:pPr>
              <w:pStyle w:val="Compact"/>
              <w:jc w:val="center"/>
            </w:pPr>
            <w:r>
              <w:t xml:space="preserve">Window</w:t>
            </w:r>
          </w:p>
        </w:tc>
        <w:tc>
          <w:tcPr>
            <w:tcW w:type="dxa" w:w="1487"/>
          </w:tcPr>
          <w:p>
            <w:pPr>
              <w:pStyle w:val="Compact"/>
              <w:jc w:val="center"/>
            </w:pPr>
            <w:r>
              <w:t xml:space="preserve">Never-named</w:t>
            </w:r>
          </w:p>
        </w:tc>
        <w:tc>
          <w:tcPr>
            <w:tcW w:type="dxa" w:w="1190"/>
          </w:tcPr>
          <w:p>
            <w:pPr>
              <w:pStyle w:val="Compact"/>
              <w:jc w:val="center"/>
            </w:pPr>
            <w:r>
              <w:t xml:space="preserve">Matched</w:t>
            </w:r>
          </w:p>
        </w:tc>
        <w:tc>
          <w:tcPr>
            <w:tcW w:type="dxa" w:w="1733"/>
          </w:tcPr>
          <w:p>
            <w:pPr>
              <w:pStyle w:val="Compact"/>
              <w:jc w:val="center"/>
            </w:pPr>
            <w:r>
              <w:t xml:space="preserve">Large never-named</w:t>
            </w:r>
          </w:p>
        </w:tc>
        <w:tc>
          <w:tcPr>
            <w:tcW w:type="dxa" w:w="1313"/>
          </w:tcPr>
          <w:p>
            <w:pPr>
              <w:pStyle w:val="Compact"/>
              <w:jc w:val="center"/>
            </w:pPr>
            <w:r>
              <w:t xml:space="preserve">Market model</w:t>
            </w:r>
          </w:p>
        </w:tc>
      </w:tr>
      <w:tr>
        <w:tc>
          <w:tcPr>
            <w:tcW w:type="dxa" w:w="2329"/>
          </w:tcPr>
          <w:p>
            <w:pPr>
              <w:pStyle w:val="Compact"/>
              <w:jc w:val="left"/>
            </w:pPr>
            <w:r>
              <w:t xml:space="preserve">Announcement (7 Oct 2025)</w:t>
            </w:r>
          </w:p>
        </w:tc>
        <w:tc>
          <w:tcPr>
            <w:tcW w:type="dxa" w:w="945"/>
          </w:tcPr>
          <w:p>
            <w:pPr>
              <w:pStyle w:val="Compact"/>
              <w:jc w:val="center"/>
            </w:pPr>
            <w:r>
              <w:t xml:space="preserve">[−1,+1]</w:t>
            </w:r>
          </w:p>
        </w:tc>
        <w:tc>
          <w:tcPr>
            <w:tcW w:type="dxa" w:w="1487"/>
          </w:tcPr>
          <w:p>
            <w:pPr>
              <w:pStyle w:val="Compact"/>
              <w:jc w:val="center"/>
            </w:pPr>
            <w:r>
              <w:t xml:space="preserve">3.0% (2.43)</w:t>
            </w:r>
          </w:p>
        </w:tc>
        <w:tc>
          <w:tcPr>
            <w:tcW w:type="dxa" w:w="1190"/>
          </w:tcPr>
          <w:p>
            <w:pPr>
              <w:pStyle w:val="Compact"/>
              <w:jc w:val="center"/>
            </w:pPr>
            <w:r>
              <w:t xml:space="preserve">1.3% (1.07)</w:t>
            </w:r>
          </w:p>
        </w:tc>
        <w:tc>
          <w:tcPr>
            <w:tcW w:type="dxa" w:w="1733"/>
          </w:tcPr>
          <w:p>
            <w:pPr>
              <w:pStyle w:val="Compact"/>
              <w:jc w:val="center"/>
            </w:pPr>
            <w:r>
              <w:t xml:space="preserve">2.0% (1.87)</w:t>
            </w:r>
          </w:p>
        </w:tc>
        <w:tc>
          <w:tcPr>
            <w:tcW w:type="dxa" w:w="1313"/>
          </w:tcPr>
          <w:p>
            <w:pPr>
              <w:pStyle w:val="Compact"/>
              <w:jc w:val="center"/>
            </w:pPr>
            <w:r>
              <w:t xml:space="preserve">2.3% (2.05)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7.5% (3.97)</w:t>
            </w:r>
          </w:p>
        </w:tc>
        <w:tc>
          <w:tcPr>
            <w:tcW w:type="dxa" w:w="1190"/>
          </w:tcPr>
          <w:p>
            <w:pPr>
              <w:pStyle w:val="Compact"/>
              <w:jc w:val="center"/>
            </w:pPr>
            <w:r>
              <w:t xml:space="preserve">3.5% (1.91)</w:t>
            </w:r>
          </w:p>
        </w:tc>
        <w:tc>
          <w:tcPr>
            <w:tcW w:type="dxa" w:w="1733"/>
          </w:tcPr>
          <w:p>
            <w:pPr>
              <w:pStyle w:val="Compact"/>
              <w:jc w:val="center"/>
            </w:pPr>
            <w:r>
              <w:t xml:space="preserve">5.9% (3.72)</w:t>
            </w:r>
          </w:p>
        </w:tc>
        <w:tc>
          <w:tcPr>
            <w:tcW w:type="dxa" w:w="1313"/>
          </w:tcPr>
          <w:p>
            <w:pPr>
              <w:pStyle w:val="Compact"/>
              <w:jc w:val="center"/>
            </w:pPr>
            <w:r>
              <w:t xml:space="preserve">6.4% (3.75)</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−1.0% (−0.32)</w:t>
            </w:r>
          </w:p>
        </w:tc>
        <w:tc>
          <w:tcPr>
            <w:tcW w:type="dxa" w:w="1190"/>
          </w:tcPr>
          <w:p>
            <w:pPr>
              <w:pStyle w:val="Compact"/>
              <w:jc w:val="center"/>
            </w:pPr>
            <w:r>
              <w:t xml:space="preserve">2.9% (0.90)</w:t>
            </w:r>
          </w:p>
        </w:tc>
        <w:tc>
          <w:tcPr>
            <w:tcW w:type="dxa" w:w="1733"/>
          </w:tcPr>
          <w:p>
            <w:pPr>
              <w:pStyle w:val="Compact"/>
              <w:jc w:val="center"/>
            </w:pPr>
            <w:r>
              <w:t xml:space="preserve">−0.1% (−0.03)</w:t>
            </w:r>
          </w:p>
        </w:tc>
        <w:tc>
          <w:tcPr>
            <w:tcW w:type="dxa" w:w="1313"/>
          </w:tcPr>
          <w:p>
            <w:pPr>
              <w:pStyle w:val="Compact"/>
              <w:jc w:val="center"/>
            </w:pPr>
            <w:r>
              <w:t xml:space="preserve">−3.6% (−1.20)</w:t>
            </w:r>
          </w:p>
        </w:tc>
      </w:tr>
      <w:tr>
        <w:tc>
          <w:tcPr>
            <w:tcW w:type="dxa" w:w="2329"/>
          </w:tcPr>
          <w:p>
            <w:pPr>
              <w:pStyle w:val="Compact"/>
              <w:jc w:val="left"/>
            </w:pPr>
            <w:r>
              <w:t xml:space="preserve">Confirmation (7 Apr 2026)</w:t>
            </w:r>
          </w:p>
        </w:tc>
        <w:tc>
          <w:tcPr>
            <w:tcW w:type="dxa" w:w="945"/>
          </w:tcPr>
          <w:p>
            <w:pPr>
              <w:pStyle w:val="Compact"/>
              <w:jc w:val="center"/>
            </w:pPr>
            <w:r>
              <w:t xml:space="preserve">[−1,+1]</w:t>
            </w:r>
          </w:p>
        </w:tc>
        <w:tc>
          <w:tcPr>
            <w:tcW w:type="dxa" w:w="1487"/>
          </w:tcPr>
          <w:p>
            <w:pPr>
              <w:pStyle w:val="Compact"/>
              <w:jc w:val="center"/>
            </w:pPr>
            <w:r>
              <w:t xml:space="preserve">3.1% (2.17)</w:t>
            </w:r>
          </w:p>
        </w:tc>
        <w:tc>
          <w:tcPr>
            <w:tcW w:type="dxa" w:w="1190"/>
          </w:tcPr>
          <w:p>
            <w:pPr>
              <w:pStyle w:val="Compact"/>
              <w:jc w:val="center"/>
            </w:pPr>
            <w:r>
              <w:t xml:space="preserve">1.3% (0.99)</w:t>
            </w:r>
          </w:p>
        </w:tc>
        <w:tc>
          <w:tcPr>
            <w:tcW w:type="dxa" w:w="1733"/>
          </w:tcPr>
          <w:p>
            <w:pPr>
              <w:pStyle w:val="Compact"/>
              <w:jc w:val="center"/>
            </w:pPr>
            <w:r>
              <w:t xml:space="preserve">2.2% (2.10)</w:t>
            </w:r>
          </w:p>
        </w:tc>
        <w:tc>
          <w:tcPr>
            <w:tcW w:type="dxa" w:w="1313"/>
          </w:tcPr>
          <w:p>
            <w:pPr>
              <w:pStyle w:val="Compact"/>
              <w:jc w:val="center"/>
            </w:pPr>
            <w:r>
              <w:t xml:space="preserve">2.4% (2.02)</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3.2% (1.45)</w:t>
            </w:r>
          </w:p>
        </w:tc>
        <w:tc>
          <w:tcPr>
            <w:tcW w:type="dxa" w:w="1190"/>
          </w:tcPr>
          <w:p>
            <w:pPr>
              <w:pStyle w:val="Compact"/>
              <w:jc w:val="center"/>
            </w:pPr>
            <w:r>
              <w:t xml:space="preserve">0.7% (0.35)</w:t>
            </w:r>
          </w:p>
        </w:tc>
        <w:tc>
          <w:tcPr>
            <w:tcW w:type="dxa" w:w="1733"/>
          </w:tcPr>
          <w:p>
            <w:pPr>
              <w:pStyle w:val="Compact"/>
              <w:jc w:val="center"/>
            </w:pPr>
            <w:r>
              <w:t xml:space="preserve">2.0% (1.24)</w:t>
            </w:r>
          </w:p>
        </w:tc>
        <w:tc>
          <w:tcPr>
            <w:tcW w:type="dxa" w:w="1313"/>
          </w:tcPr>
          <w:p>
            <w:pPr>
              <w:pStyle w:val="Compact"/>
              <w:jc w:val="center"/>
            </w:pPr>
            <w:r>
              <w:t xml:space="preserve">2.3% (1.25)</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7.0% (1.83)</w:t>
            </w:r>
          </w:p>
        </w:tc>
        <w:tc>
          <w:tcPr>
            <w:tcW w:type="dxa" w:w="1190"/>
          </w:tcPr>
          <w:p>
            <w:pPr>
              <w:pStyle w:val="Compact"/>
              <w:jc w:val="center"/>
            </w:pPr>
            <w:r>
              <w:t xml:space="preserve">3.2% (0.94)</w:t>
            </w:r>
          </w:p>
        </w:tc>
        <w:tc>
          <w:tcPr>
            <w:tcW w:type="dxa" w:w="1733"/>
          </w:tcPr>
          <w:p>
            <w:pPr>
              <w:pStyle w:val="Compact"/>
              <w:jc w:val="center"/>
            </w:pPr>
            <w:r>
              <w:t xml:space="preserve">7.6% (2.74)</w:t>
            </w:r>
          </w:p>
        </w:tc>
        <w:tc>
          <w:tcPr>
            <w:tcW w:type="dxa" w:w="1313"/>
          </w:tcPr>
          <w:p>
            <w:pPr>
              <w:pStyle w:val="Compact"/>
              <w:jc w:val="center"/>
            </w:pPr>
            <w:r>
              <w:t xml:space="preserve">6.3% (2.01)</w:t>
            </w:r>
          </w:p>
        </w:tc>
      </w:tr>
      <w:tr>
        <w:tc>
          <w:tcPr>
            <w:tcW w:type="dxa" w:w="2329"/>
          </w:tcPr>
          <w:p>
            <w:pPr>
              <w:pStyle w:val="Compact"/>
              <w:jc w:val="left"/>
            </w:pPr>
            <w:r>
              <w:t xml:space="preserve">Constituent list (21 Aug 2026)</w:t>
            </w:r>
          </w:p>
        </w:tc>
        <w:tc>
          <w:tcPr>
            <w:tcW w:type="dxa" w:w="945"/>
          </w:tcPr>
          <w:p>
            <w:pPr>
              <w:pStyle w:val="Compact"/>
              <w:jc w:val="center"/>
            </w:pPr>
            <w:r>
              <w:t xml:space="preserve">[−1,+1]</w:t>
            </w:r>
          </w:p>
        </w:tc>
        <w:tc>
          <w:tcPr>
            <w:tcW w:type="dxa" w:w="1487"/>
          </w:tcPr>
          <w:p>
            <w:pPr>
              <w:pStyle w:val="Compact"/>
              <w:jc w:val="center"/>
            </w:pPr>
            <w:r>
              <w:t xml:space="preserve">2.7% (2.08)</w:t>
            </w:r>
          </w:p>
        </w:tc>
        <w:tc>
          <w:tcPr>
            <w:tcW w:type="dxa" w:w="1190"/>
          </w:tcPr>
          <w:p>
            <w:pPr>
              <w:pStyle w:val="Compact"/>
              <w:jc w:val="center"/>
            </w:pPr>
            <w:r>
              <w:t xml:space="preserve">1.6% (1.37)</w:t>
            </w:r>
          </w:p>
        </w:tc>
        <w:tc>
          <w:tcPr>
            <w:tcW w:type="dxa" w:w="1733"/>
          </w:tcPr>
          <w:p>
            <w:pPr>
              <w:pStyle w:val="Compact"/>
              <w:jc w:val="center"/>
            </w:pPr>
            <w:r>
              <w:t xml:space="preserve">1.8% (2.13)</w:t>
            </w:r>
          </w:p>
        </w:tc>
        <w:tc>
          <w:tcPr>
            <w:tcW w:type="dxa" w:w="1313"/>
          </w:tcPr>
          <w:p>
            <w:pPr>
              <w:pStyle w:val="Compact"/>
              <w:jc w:val="center"/>
            </w:pPr>
            <w:r>
              <w:t xml:space="preserve">1.7% (1.64)</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3.2% (1.62)</w:t>
            </w:r>
          </w:p>
        </w:tc>
        <w:tc>
          <w:tcPr>
            <w:tcW w:type="dxa" w:w="1190"/>
          </w:tcPr>
          <w:p>
            <w:pPr>
              <w:pStyle w:val="Compact"/>
              <w:jc w:val="center"/>
            </w:pPr>
            <w:r>
              <w:t xml:space="preserve">0.7% (0.42)</w:t>
            </w:r>
          </w:p>
        </w:tc>
        <w:tc>
          <w:tcPr>
            <w:tcW w:type="dxa" w:w="1733"/>
          </w:tcPr>
          <w:p>
            <w:pPr>
              <w:pStyle w:val="Compact"/>
              <w:jc w:val="center"/>
            </w:pPr>
            <w:r>
              <w:t xml:space="preserve">2.7% (2.05)</w:t>
            </w:r>
          </w:p>
        </w:tc>
        <w:tc>
          <w:tcPr>
            <w:tcW w:type="dxa" w:w="1313"/>
          </w:tcPr>
          <w:p>
            <w:pPr>
              <w:pStyle w:val="Compact"/>
              <w:jc w:val="center"/>
            </w:pPr>
            <w:r>
              <w:t xml:space="preserve">2.3% (1.43)</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1.2% (0.35)</w:t>
            </w:r>
          </w:p>
        </w:tc>
        <w:tc>
          <w:tcPr>
            <w:tcW w:type="dxa" w:w="1190"/>
          </w:tcPr>
          <w:p>
            <w:pPr>
              <w:pStyle w:val="Compact"/>
              <w:jc w:val="center"/>
            </w:pPr>
            <w:r>
              <w:t xml:space="preserve">0.3% (0.11)</w:t>
            </w:r>
          </w:p>
        </w:tc>
        <w:tc>
          <w:tcPr>
            <w:tcW w:type="dxa" w:w="1733"/>
          </w:tcPr>
          <w:p>
            <w:pPr>
              <w:pStyle w:val="Compact"/>
              <w:jc w:val="center"/>
            </w:pPr>
            <w:r>
              <w:t xml:space="preserve">1.8% (0.80)</w:t>
            </w:r>
          </w:p>
        </w:tc>
        <w:tc>
          <w:tcPr>
            <w:tcW w:type="dxa" w:w="1313"/>
          </w:tcPr>
          <w:p>
            <w:pPr>
              <w:pStyle w:val="Compact"/>
              <w:jc w:val="center"/>
            </w:pPr>
            <w:r>
              <w:t xml:space="preserve">1.4% (0.50)</w:t>
            </w:r>
          </w:p>
        </w:tc>
      </w:tr>
      <w:tr>
        <w:tc>
          <w:tcPr>
            <w:tcW w:type="dxa" w:w="2329"/>
          </w:tcPr>
          <w:p>
            <w:pPr>
              <w:pStyle w:val="Compact"/>
              <w:jc w:val="left"/>
            </w:pPr>
            <w:r>
              <w:t xml:space="preserve">Effective date (21 Sep 2026)</w:t>
            </w:r>
          </w:p>
        </w:tc>
        <w:tc>
          <w:tcPr>
            <w:tcW w:type="dxa" w:w="945"/>
          </w:tcPr>
          <w:p>
            <w:pPr>
              <w:pStyle w:val="Compact"/>
              <w:jc w:val="center"/>
            </w:pPr>
            <w:r>
              <w:t xml:space="preserve">[−1,+1]</w:t>
            </w:r>
          </w:p>
        </w:tc>
        <w:tc>
          <w:tcPr>
            <w:tcW w:type="dxa" w:w="1487"/>
          </w:tcPr>
          <w:p>
            <w:pPr>
              <w:pStyle w:val="Compact"/>
              <w:jc w:val="center"/>
            </w:pPr>
            <w:r>
              <w:t xml:space="preserve">0.4% (0.35)</w:t>
            </w:r>
          </w:p>
        </w:tc>
        <w:tc>
          <w:tcPr>
            <w:tcW w:type="dxa" w:w="1190"/>
          </w:tcPr>
          <w:p>
            <w:pPr>
              <w:pStyle w:val="Compact"/>
              <w:jc w:val="center"/>
            </w:pPr>
            <w:r>
              <w:t xml:space="preserve">1.5% (1.52)</w:t>
            </w:r>
          </w:p>
        </w:tc>
        <w:tc>
          <w:tcPr>
            <w:tcW w:type="dxa" w:w="1733"/>
          </w:tcPr>
          <w:p>
            <w:pPr>
              <w:pStyle w:val="Compact"/>
              <w:jc w:val="center"/>
            </w:pPr>
            <w:r>
              <w:t xml:space="preserve">0.6% (0.75)</w:t>
            </w:r>
          </w:p>
        </w:tc>
        <w:tc>
          <w:tcPr>
            <w:tcW w:type="dxa" w:w="1313"/>
          </w:tcPr>
          <w:p>
            <w:pPr>
              <w:pStyle w:val="Compact"/>
              <w:jc w:val="center"/>
            </w:pPr>
            <w:r>
              <w:t xml:space="preserve">0.2% (0.27)</w:t>
            </w:r>
          </w:p>
        </w:tc>
      </w:tr>
    </w:tbl>
    <w:p>
      <w:pPr>
        <w:pStyle w:val="BodyText"/>
      </w:pPr>
      <w:r>
        <w:rPr>
          <w:i/>
          <w:iCs/>
        </w:rPr>
        <w:t xml:space="preserve">Notes</w:t>
      </w:r>
      <w:r>
        <w:t xml:space="preserve">: CARs in percent from Eq. (6), for windows in trading days around each disclosure, with portfolio</w:t>
      </w:r>
      <w:r>
        <w:t xml:space="preserve"> </w:t>
      </w:r>
      <w:r>
        <w:rPr>
          <w:i/>
          <w:iCs/>
        </w:rPr>
        <w:t xml:space="preserve">t</w:t>
      </w:r>
      <w:r>
        <w:t xml:space="preserve">-statistics in parentheses and the benchmarks of Section 3.2. Source: Authors’ calculations.</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
          <w:iCs/>
        </w:rPr>
        <w:t xml:space="preserve">t</w:t>
      </w:r>
      <w:r>
        <w:t xml:space="preserve"> </w:t>
      </w:r>
      <w:r>
        <w:t xml:space="preserve">between 1.94 and 3.03). The fading after the conditional announcement is consistent with temporary price pressure: in Harris and Gurel (1986), S&amp;P 500 additions gained more than 3% on the announcement, and the gain was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reports the ITT group, and we add the named-but-excluded stocks in the text. The ITT group earned 3.5% to 7.5% in the announcement week, significant under three of four benchmarks (the matched benchmark yields</w:t>
      </w:r>
      <w:r>
        <w:t xml:space="preserve"> </w:t>
      </w:r>
      <w:r>
        <w:rPr>
          <w:i/>
          <w:iCs/>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w:t>
      </w:r>
      <w:r>
        <w:rPr>
          <w:vertAlign w:val="subscript"/>
        </w:rPr>
        <w:t xml:space="preserve">3</w:t>
      </w:r>
      <w:r>
        <w:t xml:space="preserve"> </w:t>
      </w:r>
      <w:r>
        <w:t xml:space="preserve">for the announcement and the confirmation but not for the constituent list.</w:t>
      </w:r>
    </w:p>
    <w:bookmarkEnd w:id="39"/>
    <w:bookmarkStart w:id="40" w:name="Xd93c3a97ece96bbe4751d05b35e07893c66d788"/>
    <w:p>
      <w:pPr>
        <w:pStyle w:val="Heading3"/>
        <w:jc w:val="left"/>
      </w:pPr>
      <w:r>
        <w:t xml:space="preserve">4.3 The rebalancing session produced a trading surge only for included stocks</w:t>
      </w:r>
    </w:p>
    <w:p>
      <w:pPr>
        <w:pStyle w:val="FirstParagraph"/>
      </w:pPr>
      <w:r>
        <w:t xml:space="preserve">In Table 5 (Eq. 9), the log trading value of constituents on 18 September 2026, the last session before the upgrade took effect, rose 0.79 above its level on other sessions in the window, relative to never-named stocks (standard error 0.12,</w:t>
      </w:r>
      <w:r>
        <w:t xml:space="preserve"> </w:t>
      </w:r>
      <w:r>
        <w:rPr>
          <w:i/>
          <w:iCs/>
        </w:rPr>
        <w:t xml:space="preserve">t</w:t>
      </w:r>
      <w:r>
        <w:t xml:space="preserve"> </w:t>
      </w:r>
      <w:r>
        <w:t xml:space="preserve">= 6.84), and 0.84 relative to matched controls. On the effective date the excess fell to 0.20 (</w:t>
      </w:r>
      <w:r>
        <w:rPr>
          <w:i/>
          <w:iCs/>
        </w:rPr>
        <w:t xml:space="preserve">p</w:t>
      </w:r>
      <w:r>
        <w:t xml:space="preserve"> </w:t>
      </w:r>
      <w:r>
        <w:t xml:space="preserve">= 0.057) and 0.34 (</w:t>
      </w:r>
      <w:r>
        <w:rPr>
          <w:i/>
          <w:iCs/>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keepNext/>
      </w:pPr>
      <w:r>
        <w:rPr>
          <w:b/>
          <w:bCs/>
        </w:rPr>
        <w:t xml:space="preserve">Table 5. Excess log trading value on the rebalancing and effective sessions</w:t>
      </w:r>
    </w:p>
    <w:tbl>
      <w:tblPr>
        <w:tblStyle w:val="Table"/>
        <w:tblW w:type="dxa" w:w="9000"/>
        <w:jc w:val="start"/>
        <w:tblLayout w:type="fixed"/>
        <w:tblLook w:firstRow="1" w:lastRow="0" w:firstColumn="0" w:lastColumn="0" w:noHBand="0" w:noVBand="0" w:val="0020"/>
      </w:tblPr>
      <w:tblGrid>
        <w:gridCol w:w="3073"/>
        <w:gridCol w:w="2195"/>
        <w:gridCol w:w="2195"/>
        <w:gridCol w:w="1536"/>
      </w:tblGrid>
      <w:tr>
        <w:trPr>
          <w:tblHeader w:val="true"/>
        </w:trPr>
        <w:tc>
          <w:tcPr>
            <w:tcW w:type="dxa" w:w="3073"/>
          </w:tcPr>
          <w:p>
            <w:pPr>
              <w:pStyle w:val="Compact"/>
              <w:jc w:val="left"/>
            </w:pPr>
            <w:r>
              <w:t xml:space="preserve">Comparison</w:t>
            </w:r>
          </w:p>
        </w:tc>
        <w:tc>
          <w:tcPr>
            <w:tcW w:type="dxa" w:w="2195"/>
          </w:tcPr>
          <w:p>
            <w:pPr>
              <w:pStyle w:val="Compact"/>
              <w:jc w:val="center"/>
            </w:pPr>
            <w:r>
              <w:t xml:space="preserve">18 Sep 2026 (rebalancing)</w:t>
            </w:r>
          </w:p>
        </w:tc>
        <w:tc>
          <w:tcPr>
            <w:tcW w:type="dxa" w:w="2195"/>
          </w:tcPr>
          <w:p>
            <w:pPr>
              <w:pStyle w:val="Compact"/>
              <w:jc w:val="center"/>
            </w:pPr>
            <w:r>
              <w:t xml:space="preserve">21 Sep 2026 (effective date)</w:t>
            </w:r>
          </w:p>
        </w:tc>
        <w:tc>
          <w:tcPr>
            <w:tcW w:type="dxa" w:w="1536"/>
          </w:tcPr>
          <w:p>
            <w:pPr>
              <w:pStyle w:val="Compact"/>
              <w:jc w:val="center"/>
            </w:pPr>
            <w:r>
              <w:t xml:space="preserve">Observations</w:t>
            </w:r>
          </w:p>
        </w:tc>
      </w:tr>
      <w:tr>
        <w:tc>
          <w:tcPr>
            <w:tcW w:type="dxa" w:w="3073"/>
          </w:tcPr>
          <w:p>
            <w:pPr>
              <w:pStyle w:val="Compact"/>
              <w:jc w:val="left"/>
            </w:pPr>
            <w:r>
              <w:t xml:space="preserve">Constituents vs never-named</w:t>
            </w:r>
          </w:p>
        </w:tc>
        <w:tc>
          <w:tcPr>
            <w:tcW w:type="dxa" w:w="2195"/>
          </w:tcPr>
          <w:p>
            <w:pPr>
              <w:pStyle w:val="Compact"/>
              <w:jc w:val="center"/>
            </w:pPr>
            <w:r>
              <w:t xml:space="preserve">0.794*** (0.116)</w:t>
            </w:r>
          </w:p>
        </w:tc>
        <w:tc>
          <w:tcPr>
            <w:tcW w:type="dxa" w:w="2195"/>
          </w:tcPr>
          <w:p>
            <w:pPr>
              <w:pStyle w:val="Compact"/>
              <w:jc w:val="center"/>
            </w:pPr>
            <w:r>
              <w:t xml:space="preserve">0.202 (0.106)</w:t>
            </w:r>
          </w:p>
        </w:tc>
        <w:tc>
          <w:tcPr>
            <w:tcW w:type="dxa" w:w="1536"/>
          </w:tcPr>
          <w:p>
            <w:pPr>
              <w:pStyle w:val="Compact"/>
              <w:jc w:val="center"/>
            </w:pPr>
            <w:r>
              <w:t xml:space="preserve">10,820</w:t>
            </w:r>
          </w:p>
        </w:tc>
      </w:tr>
      <w:tr>
        <w:tc>
          <w:tcPr>
            <w:tcW w:type="dxa" w:w="3073"/>
          </w:tcPr>
          <w:p>
            <w:pPr>
              <w:pStyle w:val="Compact"/>
              <w:jc w:val="left"/>
            </w:pPr>
            <w:r>
              <w:t xml:space="preserve">Constituents vs matched controls</w:t>
            </w:r>
          </w:p>
        </w:tc>
        <w:tc>
          <w:tcPr>
            <w:tcW w:type="dxa" w:w="2195"/>
          </w:tcPr>
          <w:p>
            <w:pPr>
              <w:pStyle w:val="Compact"/>
              <w:jc w:val="center"/>
            </w:pPr>
            <w:r>
              <w:t xml:space="preserve">0.837*** (0.122)</w:t>
            </w:r>
          </w:p>
        </w:tc>
        <w:tc>
          <w:tcPr>
            <w:tcW w:type="dxa" w:w="2195"/>
          </w:tcPr>
          <w:p>
            <w:pPr>
              <w:pStyle w:val="Compact"/>
              <w:jc w:val="center"/>
            </w:pPr>
            <w:r>
              <w:t xml:space="preserve">0.341** (0.122)</w:t>
            </w:r>
          </w:p>
        </w:tc>
        <w:tc>
          <w:tcPr>
            <w:tcW w:type="dxa" w:w="1536"/>
          </w:tcPr>
          <w:p>
            <w:pPr>
              <w:pStyle w:val="Compact"/>
              <w:jc w:val="center"/>
            </w:pPr>
            <w:r>
              <w:t xml:space="preserve">1,536</w:t>
            </w:r>
          </w:p>
        </w:tc>
      </w:tr>
      <w:tr>
        <w:tc>
          <w:tcPr>
            <w:tcW w:type="dxa" w:w="3073"/>
          </w:tcPr>
          <w:p>
            <w:pPr>
              <w:pStyle w:val="Compact"/>
              <w:jc w:val="left"/>
            </w:pPr>
            <w:r>
              <w:t xml:space="preserve">Named-but-excluded vs never-named</w:t>
            </w:r>
          </w:p>
        </w:tc>
        <w:tc>
          <w:tcPr>
            <w:tcW w:type="dxa" w:w="2195"/>
          </w:tcPr>
          <w:p>
            <w:pPr>
              <w:pStyle w:val="Compact"/>
              <w:jc w:val="center"/>
            </w:pPr>
            <w:r>
              <w:t xml:space="preserve">−0.013 (0.116)</w:t>
            </w:r>
          </w:p>
        </w:tc>
        <w:tc>
          <w:tcPr>
            <w:tcW w:type="dxa" w:w="2195"/>
          </w:tcPr>
          <w:p>
            <w:pPr>
              <w:pStyle w:val="Compact"/>
              <w:jc w:val="center"/>
            </w:pPr>
            <w:r>
              <w:t xml:space="preserve">−0.159 (0.136)</w:t>
            </w:r>
          </w:p>
        </w:tc>
        <w:tc>
          <w:tcPr>
            <w:tcW w:type="dxa" w:w="1536"/>
          </w:tcPr>
          <w:p>
            <w:pPr>
              <w:pStyle w:val="Compact"/>
              <w:jc w:val="center"/>
            </w:pPr>
            <w:r>
              <w:t xml:space="preserve">10,500</w:t>
            </w:r>
          </w:p>
        </w:tc>
      </w:tr>
    </w:tbl>
    <w:p>
      <w:pPr>
        <w:pStyle w:val="BodyText"/>
      </w:pPr>
      <w:r>
        <w:rPr>
          <w:i/>
          <w:iCs/>
        </w:rPr>
        <w:t xml:space="preserve">Notes</w:t>
      </w:r>
      <w:r>
        <w:t xml:space="preserve">: Eq. (9) over 6 August to 23 September 2026; other details as in Table 2. Source: Authors’ calculations.</w:t>
      </w:r>
    </w:p>
    <w:p>
      <w:pPr>
        <w:pStyle w:val="BodyText"/>
      </w:pPr>
      <w:r>
        <w:t xml:space="preserve">The surge matches the trading that funds tracking FTSE benchmarks had to do: they were to buy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showed no reliable change: the three-day CAR around the effective date lies between −0.5% and 0.9% (Table 4), consistent with other investors having bought earlier and supplying the stocks at the close, and with the second half of H</w:t>
      </w:r>
      <w:r>
        <w:rPr>
          <w:vertAlign w:val="subscript"/>
        </w:rPr>
        <w:t xml:space="preserve">3</w:t>
      </w:r>
      <w:r>
        <w:t xml:space="preserve">. Harris and Gurel (1986), by contrast, find price rises immediately after S&amp;P 500 additions are announced, which they attribute to index-fund buying pressure. The illiquidity decline at the disclosures and the volume surge at the close are consistent with the two stages at which benchmark changes move fund allocations, announcement and implementation (Raddatz et al., 2017).</w:t>
      </w:r>
    </w:p>
    <w:bookmarkEnd w:id="40"/>
    <w:bookmarkStart w:id="41" w:name="X3ffbb87a8103e948c61f7da85fe6de6611db7f9"/>
    <w:p>
      <w:pPr>
        <w:pStyle w:val="Heading3"/>
        <w:jc w:val="left"/>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w:t>
      </w:r>
      <w:r>
        <w:rPr>
          <w:vertAlign w:val="subscript"/>
        </w:rPr>
        <w:t xml:space="preserve">4</w:t>
      </w:r>
      <w:r>
        <w:t xml:space="preserve"> </w:t>
      </w:r>
      <w:r>
        <w:t xml:space="preserve">predicts a larger rebalancing surge for large constituents, whose index weights are larger, and benchmark-driven foreign allocations (Raddatz et al., 2017) suggest the same ordering for the persistent liquidity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(abnormal log trading value of 1.23, 0.98 and 0.65), consistent with H</w:t>
      </w:r>
      <w:r>
        <w:rPr>
          <w:vertAlign w:val="subscript"/>
        </w:rPr>
        <w:t xml:space="preserve">4</w:t>
      </w:r>
      <w:r>
        <w:t xml:space="preserve">, although the two upper segments contain three stocks each.</w:t>
      </w:r>
    </w:p>
    <w:p>
      <w:pPr>
        <w:pStyle w:val="BodyText"/>
        <w:keepNext/>
      </w:pPr>
      <w:r>
        <w:rPr>
          <w:b/>
          <w:bCs/>
        </w:rPr>
        <w:t xml:space="preserve">Table 6. Constituent effects by FTSE size segment</w:t>
      </w:r>
    </w:p>
    <w:tbl>
      <w:tblPr>
        <w:tblStyle w:val="Table"/>
        <w:tblW w:type="dxa" w:w="9000"/>
        <w:jc w:val="start"/>
        <w:tblLayout w:type="fixed"/>
        <w:tblLook w:firstRow="1" w:lastRow="0" w:firstColumn="0" w:lastColumn="0" w:noHBand="0" w:noVBand="0" w:val="0020"/>
      </w:tblPr>
      <w:tblGrid>
        <w:gridCol w:w="3189"/>
        <w:gridCol w:w="1822"/>
        <w:gridCol w:w="1822"/>
        <w:gridCol w:w="2164"/>
      </w:tblGrid>
      <w:tr>
        <w:trPr>
          <w:tblHeader w:val="true"/>
        </w:trPr>
        <w:tc>
          <w:tcPr>
            <w:tcW w:type="dxa" w:w="3189"/>
          </w:tcPr>
          <w:p>
            <w:pPr>
              <w:pStyle w:val="Compact"/>
              <w:jc w:val="left"/>
            </w:pPr>
            <w:r>
              <w:t xml:space="preserve">Outcome, window</w:t>
            </w:r>
          </w:p>
        </w:tc>
        <w:tc>
          <w:tcPr>
            <w:tcW w:type="dxa" w:w="1822"/>
          </w:tcPr>
          <w:p>
            <w:pPr>
              <w:pStyle w:val="Compact"/>
              <w:jc w:val="center"/>
            </w:pPr>
            <w:r>
              <w:t xml:space="preserve">Large (3)</w:t>
            </w:r>
          </w:p>
        </w:tc>
        <w:tc>
          <w:tcPr>
            <w:tcW w:type="dxa" w:w="1822"/>
          </w:tcPr>
          <w:p>
            <w:pPr>
              <w:pStyle w:val="Compact"/>
              <w:jc w:val="center"/>
            </w:pPr>
            <w:r>
              <w:t xml:space="preserve">Mid (3)</w:t>
            </w:r>
          </w:p>
        </w:tc>
        <w:tc>
          <w:tcPr>
            <w:tcW w:type="dxa" w:w="2164"/>
          </w:tcPr>
          <w:p>
            <w:pPr>
              <w:pStyle w:val="Compact"/>
              <w:jc w:val="center"/>
            </w:pPr>
            <w:r>
              <w:t xml:space="preserve">Small (18)</w:t>
            </w:r>
          </w:p>
        </w:tc>
      </w:tr>
      <w:tr>
        <w:tc>
          <w:tcPr>
            <w:tcW w:type="dxa" w:w="3189"/>
          </w:tcPr>
          <w:p>
            <w:pPr>
              <w:pStyle w:val="Compact"/>
              <w:jc w:val="left"/>
            </w:pPr>
            <w:r>
              <w:t xml:space="preserve">Amihud, announcement</w:t>
            </w:r>
          </w:p>
        </w:tc>
        <w:tc>
          <w:tcPr>
            <w:tcW w:type="dxa" w:w="1822"/>
          </w:tcPr>
          <w:p>
            <w:pPr>
              <w:pStyle w:val="Compact"/>
              <w:jc w:val="center"/>
            </w:pPr>
            <w:r>
              <w:t xml:space="preserve">−0.607 (0.273)</w:t>
            </w:r>
          </w:p>
        </w:tc>
        <w:tc>
          <w:tcPr>
            <w:tcW w:type="dxa" w:w="1822"/>
          </w:tcPr>
          <w:p>
            <w:pPr>
              <w:pStyle w:val="Compact"/>
              <w:jc w:val="center"/>
            </w:pPr>
            <w:r>
              <w:t xml:space="preserve">−0.204 (0.119)</w:t>
            </w:r>
          </w:p>
        </w:tc>
        <w:tc>
          <w:tcPr>
            <w:tcW w:type="dxa" w:w="2164"/>
          </w:tcPr>
          <w:p>
            <w:pPr>
              <w:pStyle w:val="Compact"/>
              <w:jc w:val="center"/>
            </w:pPr>
            <w:r>
              <w:t xml:space="preserve">−0.387*** (0.113)</w:t>
            </w:r>
          </w:p>
        </w:tc>
      </w:tr>
      <w:tr>
        <w:tc>
          <w:tcPr>
            <w:tcW w:type="dxa" w:w="3189"/>
          </w:tcPr>
          <w:p>
            <w:pPr>
              <w:pStyle w:val="Compact"/>
              <w:jc w:val="left"/>
            </w:pPr>
            <w:r>
              <w:t xml:space="preserve">Amihud, confirmation</w:t>
            </w:r>
          </w:p>
        </w:tc>
        <w:tc>
          <w:tcPr>
            <w:tcW w:type="dxa" w:w="1822"/>
          </w:tcPr>
          <w:p>
            <w:pPr>
              <w:pStyle w:val="Compact"/>
              <w:jc w:val="center"/>
            </w:pPr>
            <w:r>
              <w:t xml:space="preserve">−1.350 (0.413)</w:t>
            </w:r>
          </w:p>
        </w:tc>
        <w:tc>
          <w:tcPr>
            <w:tcW w:type="dxa" w:w="1822"/>
          </w:tcPr>
          <w:p>
            <w:pPr>
              <w:pStyle w:val="Compact"/>
              <w:jc w:val="center"/>
            </w:pPr>
            <w:r>
              <w:t xml:space="preserve">−0.629 (0.076)</w:t>
            </w:r>
          </w:p>
        </w:tc>
        <w:tc>
          <w:tcPr>
            <w:tcW w:type="dxa" w:w="2164"/>
          </w:tcPr>
          <w:p>
            <w:pPr>
              <w:pStyle w:val="Compact"/>
              <w:jc w:val="center"/>
            </w:pPr>
            <w:r>
              <w:t xml:space="preserve">−0.855*** (0.133)</w:t>
            </w:r>
          </w:p>
        </w:tc>
      </w:tr>
      <w:tr>
        <w:tc>
          <w:tcPr>
            <w:tcW w:type="dxa" w:w="3189"/>
          </w:tcPr>
          <w:p>
            <w:pPr>
              <w:pStyle w:val="Compact"/>
              <w:jc w:val="left"/>
            </w:pPr>
            <w:r>
              <w:t xml:space="preserve">Amihud, list</w:t>
            </w:r>
          </w:p>
        </w:tc>
        <w:tc>
          <w:tcPr>
            <w:tcW w:type="dxa" w:w="1822"/>
          </w:tcPr>
          <w:p>
            <w:pPr>
              <w:pStyle w:val="Compact"/>
              <w:jc w:val="center"/>
            </w:pPr>
            <w:r>
              <w:t xml:space="preserve">−2.198 (0.396)</w:t>
            </w:r>
          </w:p>
        </w:tc>
        <w:tc>
          <w:tcPr>
            <w:tcW w:type="dxa" w:w="1822"/>
          </w:tcPr>
          <w:p>
            <w:pPr>
              <w:pStyle w:val="Compact"/>
              <w:jc w:val="center"/>
            </w:pPr>
            <w:r>
              <w:t xml:space="preserve">−0.819 (0.229)</w:t>
            </w:r>
          </w:p>
        </w:tc>
        <w:tc>
          <w:tcPr>
            <w:tcW w:type="dxa" w:w="2164"/>
          </w:tcPr>
          <w:p>
            <w:pPr>
              <w:pStyle w:val="Compact"/>
              <w:jc w:val="center"/>
            </w:pPr>
            <w:r>
              <w:t xml:space="preserve">−1.002*** (0.187)</w:t>
            </w:r>
          </w:p>
        </w:tc>
      </w:tr>
      <w:tr>
        <w:tc>
          <w:tcPr>
            <w:tcW w:type="dxa" w:w="3189"/>
          </w:tcPr>
          <w:p>
            <w:pPr>
              <w:pStyle w:val="Compact"/>
              <w:jc w:val="left"/>
            </w:pPr>
            <w:r>
              <w:t xml:space="preserve">Trading value, list</w:t>
            </w:r>
          </w:p>
        </w:tc>
        <w:tc>
          <w:tcPr>
            <w:tcW w:type="dxa" w:w="1822"/>
          </w:tcPr>
          <w:p>
            <w:pPr>
              <w:pStyle w:val="Compact"/>
              <w:jc w:val="center"/>
            </w:pPr>
            <w:r>
              <w:t xml:space="preserve">2.332 (0.484)</w:t>
            </w:r>
          </w:p>
        </w:tc>
        <w:tc>
          <w:tcPr>
            <w:tcW w:type="dxa" w:w="1822"/>
          </w:tcPr>
          <w:p>
            <w:pPr>
              <w:pStyle w:val="Compact"/>
              <w:jc w:val="center"/>
            </w:pPr>
            <w:r>
              <w:t xml:space="preserve">0.896 (0.194)</w:t>
            </w:r>
          </w:p>
        </w:tc>
        <w:tc>
          <w:tcPr>
            <w:tcW w:type="dxa" w:w="2164"/>
          </w:tcPr>
          <w:p>
            <w:pPr>
              <w:pStyle w:val="Compact"/>
              <w:jc w:val="center"/>
            </w:pPr>
            <w:r>
              <w:t xml:space="preserve">1.048*** (0.160)</w:t>
            </w:r>
          </w:p>
        </w:tc>
      </w:tr>
      <w:tr>
        <w:tc>
          <w:tcPr>
            <w:tcW w:type="dxa" w:w="3189"/>
          </w:tcPr>
          <w:p>
            <w:pPr>
              <w:pStyle w:val="Compact"/>
              <w:jc w:val="left"/>
            </w:pPr>
            <w:r>
              <w:t xml:space="preserve">Abnormal trading value, 18 Sep</w:t>
            </w:r>
          </w:p>
        </w:tc>
        <w:tc>
          <w:tcPr>
            <w:tcW w:type="dxa" w:w="1822"/>
          </w:tcPr>
          <w:p>
            <w:pPr>
              <w:pStyle w:val="Compact"/>
              <w:jc w:val="center"/>
            </w:pPr>
            <w:r>
              <w:t xml:space="preserve">1.231 (0.110)</w:t>
            </w:r>
          </w:p>
        </w:tc>
        <w:tc>
          <w:tcPr>
            <w:tcW w:type="dxa" w:w="1822"/>
          </w:tcPr>
          <w:p>
            <w:pPr>
              <w:pStyle w:val="Compact"/>
              <w:jc w:val="center"/>
            </w:pPr>
            <w:r>
              <w:t xml:space="preserve">0.976 (0.294)</w:t>
            </w:r>
          </w:p>
        </w:tc>
        <w:tc>
          <w:tcPr>
            <w:tcW w:type="dxa" w:w="2164"/>
          </w:tcPr>
          <w:p>
            <w:pPr>
              <w:pStyle w:val="Compact"/>
              <w:jc w:val="center"/>
            </w:pPr>
            <w:r>
              <w:t xml:space="preserve">0.645 (0.150)</w:t>
            </w:r>
          </w:p>
        </w:tc>
      </w:tr>
    </w:tbl>
    <w:p>
      <w:pPr>
        <w:pStyle w:val="BodyText"/>
      </w:pPr>
      <w:r>
        <w:rPr>
          <w:i/>
          <w:iCs/>
        </w:rPr>
        <w:t xml:space="preserve">Notes</w:t>
      </w:r>
      <w:r>
        <w:t xml:space="preserve">: Eq. (7) with segment-by-window interactions; the last row reports the mean (standard error), significance marks are omitted for the three-stock segments and the last row, and other details are as in Table 2. Source: Authors’ calculations.</w:t>
      </w:r>
    </w:p>
    <w:bookmarkEnd w:id="41"/>
    <w:bookmarkStart w:id="42" w:name="X4abac36360d333b95b94ffbe444442951c3e286"/>
    <w:p>
      <w:pPr>
        <w:pStyle w:val="Heading3"/>
        <w:jc w:val="left"/>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The rise contrasts with S&amp;P 500 additions, whose liquidity gain came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keepNext/>
      </w:pPr>
      <w:r>
        <w:rPr>
          <w:b/>
          <w:bCs/>
        </w:rPr>
        <w:t xml:space="preserve">Table 7. Volatility, CS spread and Amihud estimates for constituents</w:t>
      </w:r>
    </w:p>
    <w:tbl>
      <w:tblPr>
        <w:tblStyle w:val="Table"/>
        <w:tblW w:type="dxa" w:w="9000"/>
        <w:jc w:val="start"/>
        <w:tblLayout w:type="fixed"/>
        <w:tblLook w:firstRow="1" w:lastRow="0" w:firstColumn="0" w:lastColumn="0" w:noHBand="0" w:noVBand="0" w:val="0020"/>
      </w:tblPr>
      <w:tblGrid>
        <w:gridCol w:w="1470"/>
        <w:gridCol w:w="1491"/>
        <w:gridCol w:w="1397"/>
        <w:gridCol w:w="1502"/>
        <w:gridCol w:w="1569"/>
        <w:gridCol w:w="1569"/>
      </w:tblGrid>
      <w:tr>
        <w:trPr>
          <w:tblHeader w:val="true"/>
        </w:trPr>
        <w:tc>
          <w:tcPr>
            <w:tcW w:type="dxa" w:w="1470"/>
          </w:tcPr>
          <w:p>
            <w:pPr>
              <w:pStyle w:val="Compact"/>
              <w:jc w:val="left"/>
            </w:pPr>
            <w:r>
              <w:t xml:space="preserve">Window</w:t>
            </w:r>
          </w:p>
        </w:tc>
        <w:tc>
          <w:tcPr>
            <w:tcW w:type="dxa" w:w="1491"/>
          </w:tcPr>
          <w:p>
            <w:pPr>
              <w:pStyle w:val="Compact"/>
              <w:jc w:val="center"/>
            </w:pPr>
            <w:r>
              <w:t xml:space="preserve">(1) Volatility</w:t>
            </w:r>
          </w:p>
        </w:tc>
        <w:tc>
          <w:tcPr>
            <w:tcW w:type="dxa" w:w="1397"/>
          </w:tcPr>
          <w:p>
            <w:pPr>
              <w:pStyle w:val="Compact"/>
              <w:jc w:val="center"/>
            </w:pPr>
            <w:r>
              <w:t xml:space="preserve">(2) CS spread</w:t>
            </w:r>
          </w:p>
        </w:tc>
        <w:tc>
          <w:tcPr>
            <w:tcW w:type="dxa" w:w="1502"/>
          </w:tcPr>
          <w:p>
            <w:pPr>
              <w:pStyle w:val="Compact"/>
              <w:jc w:val="center"/>
            </w:pPr>
            <w:r>
              <w:t xml:space="preserve">(3) CS spread, matched</w:t>
            </w:r>
          </w:p>
        </w:tc>
        <w:tc>
          <w:tcPr>
            <w:tcW w:type="dxa" w:w="1569"/>
          </w:tcPr>
          <w:p>
            <w:pPr>
              <w:pStyle w:val="Compact"/>
              <w:jc w:val="center"/>
            </w:pPr>
            <w:r>
              <w:t xml:space="preserve">(4) CS spread, volatility control</w:t>
            </w:r>
          </w:p>
        </w:tc>
        <w:tc>
          <w:tcPr>
            <w:tcW w:type="dxa" w:w="1569"/>
          </w:tcPr>
          <w:p>
            <w:pPr>
              <w:pStyle w:val="Compact"/>
              <w:jc w:val="center"/>
            </w:pPr>
            <w:r>
              <w:t xml:space="preserve">(5) Amihud, volatility control</w:t>
            </w:r>
          </w:p>
        </w:tc>
      </w:tr>
      <w:tr>
        <w:tc>
          <w:tcPr>
            <w:tcW w:type="dxa" w:w="1470"/>
          </w:tcPr>
          <w:p>
            <w:pPr>
              <w:pStyle w:val="Compact"/>
              <w:jc w:val="left"/>
            </w:pPr>
            <w:r>
              <w:t xml:space="preserve">Announcement</w:t>
            </w:r>
          </w:p>
        </w:tc>
        <w:tc>
          <w:tcPr>
            <w:tcW w:type="dxa" w:w="1491"/>
          </w:tcPr>
          <w:p>
            <w:pPr>
              <w:pStyle w:val="Compact"/>
              <w:jc w:val="center"/>
            </w:pPr>
            <w:r>
              <w:t xml:space="preserve">0.341*** (0.058)</w:t>
            </w:r>
          </w:p>
        </w:tc>
        <w:tc>
          <w:tcPr>
            <w:tcW w:type="dxa" w:w="1397"/>
          </w:tcPr>
          <w:p>
            <w:pPr>
              <w:pStyle w:val="Compact"/>
              <w:jc w:val="center"/>
            </w:pPr>
            <w:r>
              <w:t xml:space="preserve">0.0009** (0.0003)</w:t>
            </w:r>
          </w:p>
        </w:tc>
        <w:tc>
          <w:tcPr>
            <w:tcW w:type="dxa" w:w="1502"/>
          </w:tcPr>
          <w:p>
            <w:pPr>
              <w:pStyle w:val="Compact"/>
              <w:jc w:val="center"/>
            </w:pPr>
            <w:r>
              <w:t xml:space="preserve">0.0011** (0.0004)</w:t>
            </w:r>
          </w:p>
        </w:tc>
        <w:tc>
          <w:tcPr>
            <w:tcW w:type="dxa" w:w="1569"/>
          </w:tcPr>
          <w:p>
            <w:pPr>
              <w:pStyle w:val="Compact"/>
              <w:jc w:val="center"/>
            </w:pPr>
            <w:r>
              <w:t xml:space="preserve">0.0006* (0.0003)</w:t>
            </w:r>
          </w:p>
        </w:tc>
        <w:tc>
          <w:tcPr>
            <w:tcW w:type="dxa" w:w="1569"/>
          </w:tcPr>
          <w:p>
            <w:pPr>
              <w:pStyle w:val="Compact"/>
              <w:jc w:val="center"/>
            </w:pPr>
            <w:r>
              <w:t xml:space="preserve">−0.574*** (0.102)</w:t>
            </w:r>
          </w:p>
        </w:tc>
      </w:tr>
      <w:tr>
        <w:tc>
          <w:tcPr>
            <w:tcW w:type="dxa" w:w="1470"/>
          </w:tcPr>
          <w:p>
            <w:pPr>
              <w:pStyle w:val="Compact"/>
              <w:jc w:val="left"/>
            </w:pPr>
            <w:r>
              <w:t xml:space="preserve">Confirmation</w:t>
            </w:r>
          </w:p>
        </w:tc>
        <w:tc>
          <w:tcPr>
            <w:tcW w:type="dxa" w:w="1491"/>
          </w:tcPr>
          <w:p>
            <w:pPr>
              <w:pStyle w:val="Compact"/>
              <w:jc w:val="center"/>
            </w:pPr>
            <w:r>
              <w:t xml:space="preserve">0.215*** (0.056)</w:t>
            </w:r>
          </w:p>
        </w:tc>
        <w:tc>
          <w:tcPr>
            <w:tcW w:type="dxa" w:w="1397"/>
          </w:tcPr>
          <w:p>
            <w:pPr>
              <w:pStyle w:val="Compact"/>
              <w:jc w:val="center"/>
            </w:pPr>
            <w:r>
              <w:t xml:space="preserve">0.0010** (0.0003)</w:t>
            </w:r>
          </w:p>
        </w:tc>
        <w:tc>
          <w:tcPr>
            <w:tcW w:type="dxa" w:w="1502"/>
          </w:tcPr>
          <w:p>
            <w:pPr>
              <w:pStyle w:val="Compact"/>
              <w:jc w:val="center"/>
            </w:pPr>
            <w:r>
              <w:t xml:space="preserve">0.0014*** (0.0004)</w:t>
            </w:r>
          </w:p>
        </w:tc>
        <w:tc>
          <w:tcPr>
            <w:tcW w:type="dxa" w:w="1569"/>
          </w:tcPr>
          <w:p>
            <w:pPr>
              <w:pStyle w:val="Compact"/>
              <w:jc w:val="center"/>
            </w:pPr>
            <w:r>
              <w:t xml:space="preserve">0.0008* (0.0003)</w:t>
            </w:r>
          </w:p>
        </w:tc>
        <w:tc>
          <w:tcPr>
            <w:tcW w:type="dxa" w:w="1569"/>
          </w:tcPr>
          <w:p>
            <w:pPr>
              <w:pStyle w:val="Compact"/>
              <w:jc w:val="center"/>
            </w:pPr>
            <w:r>
              <w:t xml:space="preserve">−1.003*** (0.122)</w:t>
            </w:r>
          </w:p>
        </w:tc>
      </w:tr>
      <w:tr>
        <w:tc>
          <w:tcPr>
            <w:tcW w:type="dxa" w:w="1470"/>
          </w:tcPr>
          <w:p>
            <w:pPr>
              <w:pStyle w:val="Compact"/>
              <w:jc w:val="left"/>
            </w:pPr>
            <w:r>
              <w:t xml:space="preserve">List</w:t>
            </w:r>
          </w:p>
        </w:tc>
        <w:tc>
          <w:tcPr>
            <w:tcW w:type="dxa" w:w="1491"/>
          </w:tcPr>
          <w:p>
            <w:pPr>
              <w:pStyle w:val="Compact"/>
              <w:jc w:val="center"/>
            </w:pPr>
            <w:r>
              <w:t xml:space="preserve">0.139 (0.086)</w:t>
            </w:r>
          </w:p>
        </w:tc>
        <w:tc>
          <w:tcPr>
            <w:tcW w:type="dxa" w:w="1397"/>
          </w:tcPr>
          <w:p>
            <w:pPr>
              <w:pStyle w:val="Compact"/>
              <w:jc w:val="center"/>
            </w:pPr>
            <w:r>
              <w:t xml:space="preserve">0.0013** (0.0005)</w:t>
            </w:r>
          </w:p>
        </w:tc>
        <w:tc>
          <w:tcPr>
            <w:tcW w:type="dxa" w:w="1502"/>
          </w:tcPr>
          <w:p>
            <w:pPr>
              <w:pStyle w:val="Compact"/>
              <w:jc w:val="center"/>
            </w:pPr>
            <w:r>
              <w:t xml:space="preserve">0.0013* (0.0006)</w:t>
            </w:r>
          </w:p>
        </w:tc>
        <w:tc>
          <w:tcPr>
            <w:tcW w:type="dxa" w:w="1569"/>
          </w:tcPr>
          <w:p>
            <w:pPr>
              <w:pStyle w:val="Compact"/>
              <w:jc w:val="center"/>
            </w:pPr>
            <w:r>
              <w:t xml:space="preserve">0.0012* (0.0005)</w:t>
            </w:r>
          </w:p>
        </w:tc>
        <w:tc>
          <w:tcPr>
            <w:tcW w:type="dxa" w:w="1569"/>
          </w:tcPr>
          <w:p>
            <w:pPr>
              <w:pStyle w:val="Compact"/>
              <w:jc w:val="center"/>
            </w:pPr>
            <w:r>
              <w:t xml:space="preserve">−1.203*** (0.164)</w:t>
            </w:r>
          </w:p>
        </w:tc>
      </w:tr>
      <w:tr>
        <w:tc>
          <w:tcPr>
            <w:tcW w:type="dxa" w:w="1470"/>
          </w:tcPr>
          <w:p>
            <w:pPr>
              <w:pStyle w:val="Compact"/>
              <w:jc w:val="left"/>
            </w:pPr>
            <w:r>
              <w:t xml:space="preserve">Volatility</w:t>
            </w:r>
          </w:p>
        </w:tc>
        <w:tc>
          <w:tcPr>
            <w:tcW w:type="dxa" w:w="1491"/>
          </w:tcPr>
          <w:p>
            <w:pPr>
              <w:pStyle w:val="Compact"/>
              <w:jc w:val="left"/>
            </w:pPr>
          </w:p>
        </w:tc>
        <w:tc>
          <w:tcPr>
            <w:tcW w:type="dxa" w:w="1397"/>
          </w:tcPr>
          <w:p>
            <w:pPr>
              <w:pStyle w:val="Compact"/>
              <w:jc w:val="left"/>
            </w:pPr>
          </w:p>
        </w:tc>
        <w:tc>
          <w:tcPr>
            <w:tcW w:type="dxa" w:w="1502"/>
          </w:tcPr>
          <w:p>
            <w:pPr>
              <w:pStyle w:val="Compact"/>
              <w:jc w:val="left"/>
            </w:pPr>
          </w:p>
        </w:tc>
        <w:tc>
          <w:tcPr>
            <w:tcW w:type="dxa" w:w="1569"/>
          </w:tcPr>
          <w:p>
            <w:pPr>
              <w:pStyle w:val="Compact"/>
              <w:jc w:val="center"/>
            </w:pPr>
            <w:r>
              <w:t xml:space="preserve">0.0010*** (0.0001)</w:t>
            </w:r>
          </w:p>
        </w:tc>
        <w:tc>
          <w:tcPr>
            <w:tcW w:type="dxa" w:w="1569"/>
          </w:tcPr>
          <w:p>
            <w:pPr>
              <w:pStyle w:val="Compact"/>
              <w:jc w:val="center"/>
            </w:pPr>
            <w:r>
              <w:t xml:space="preserve">0.535*** (0.021)</w:t>
            </w:r>
          </w:p>
        </w:tc>
      </w:tr>
      <w:tr>
        <w:tc>
          <w:tcPr>
            <w:tcW w:type="dxa" w:w="1470"/>
          </w:tcPr>
          <w:p>
            <w:pPr>
              <w:pStyle w:val="Compact"/>
              <w:jc w:val="left"/>
            </w:pPr>
            <w:r>
              <w:t xml:space="preserve">Observations</w:t>
            </w:r>
          </w:p>
        </w:tc>
        <w:tc>
          <w:tcPr>
            <w:tcW w:type="dxa" w:w="1491"/>
          </w:tcPr>
          <w:p>
            <w:pPr>
              <w:pStyle w:val="Compact"/>
              <w:jc w:val="center"/>
            </w:pPr>
            <w:r>
              <w:t xml:space="preserve">34,369</w:t>
            </w:r>
          </w:p>
        </w:tc>
        <w:tc>
          <w:tcPr>
            <w:tcW w:type="dxa" w:w="1397"/>
          </w:tcPr>
          <w:p>
            <w:pPr>
              <w:pStyle w:val="Compact"/>
              <w:jc w:val="center"/>
            </w:pPr>
            <w:r>
              <w:t xml:space="preserve">34,369</w:t>
            </w:r>
          </w:p>
        </w:tc>
        <w:tc>
          <w:tcPr>
            <w:tcW w:type="dxa" w:w="1502"/>
          </w:tcPr>
          <w:p>
            <w:pPr>
              <w:pStyle w:val="Compact"/>
              <w:jc w:val="center"/>
            </w:pPr>
            <w:r>
              <w:t xml:space="preserve">4,751</w:t>
            </w:r>
          </w:p>
        </w:tc>
        <w:tc>
          <w:tcPr>
            <w:tcW w:type="dxa" w:w="1569"/>
          </w:tcPr>
          <w:p>
            <w:pPr>
              <w:pStyle w:val="Compact"/>
              <w:jc w:val="center"/>
            </w:pPr>
            <w:r>
              <w:t xml:space="preserve">34,369</w:t>
            </w:r>
          </w:p>
        </w:tc>
        <w:tc>
          <w:tcPr>
            <w:tcW w:type="dxa" w:w="1569"/>
          </w:tcPr>
          <w:p>
            <w:pPr>
              <w:pStyle w:val="Compact"/>
              <w:jc w:val="center"/>
            </w:pPr>
            <w:r>
              <w:t xml:space="preserve">34,369</w:t>
            </w:r>
          </w:p>
        </w:tc>
      </w:tr>
    </w:tbl>
    <w:p>
      <w:pPr>
        <w:pStyle w:val="BodyText"/>
      </w:pPr>
      <w:r>
        <w:rPr>
          <w:i/>
          <w:iCs/>
        </w:rPr>
        <w:t xml:space="preserve">Notes</w:t>
      </w:r>
      <w:r>
        <w:t xml:space="preserve">: Eq. (7), with volatility</w:t>
      </w:r>
      <w:r>
        <w:t xml:space="preserve"> </w:t>
      </w:r>
      <m:oMath>
        <m:sSub>
          <m:e>
            <m:r>
              <m:rPr>
                <m:sty m:val="p"/>
              </m:rPr>
              <m:t>V</m:t>
            </m:r>
            <m:r>
              <m:rPr>
                <m:sty m:val="p"/>
              </m:rPr>
              <m:t>o</m:t>
            </m:r>
            <m:r>
              <m:rPr>
                <m:sty m:val="p"/>
              </m:rPr>
              <m:t>l</m:t>
            </m:r>
          </m:e>
          <m:sub>
            <m:r>
              <m:t>i</m:t>
            </m:r>
            <m:r>
              <m:t>w</m:t>
            </m:r>
          </m:sub>
        </m:sSub>
      </m:oMath>
      <w:r>
        <w:t xml:space="preserve"> </w:t>
      </w:r>
      <w:r>
        <w:t xml:space="preserve">from Eq. (4), spreads in decimal units (0.0010 = 0.10 percentage points) and other details as in Table 2. Source: Authors’ calculations.</w:t>
      </w:r>
    </w:p>
    <w:bookmarkEnd w:id="42"/>
    <w:bookmarkEnd w:id="43"/>
    <w:bookmarkStart w:id="46" w:name="robustness-and-selection"/>
    <w:p>
      <w:pPr>
        <w:pStyle w:val="Heading2"/>
        <w:jc w:val="left"/>
      </w:pPr>
      <w:r>
        <w:t xml:space="preserve">5. Robustness and selection</w:t>
      </w:r>
    </w:p>
    <w:bookmarkStart w:id="44" w:name="robustness-of-the-liquidity-result"/>
    <w:p>
      <w:pPr>
        <w:pStyle w:val="Heading3"/>
        <w:jc w:val="left"/>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 (the ITT row compares with Table 3).</w:t>
      </w:r>
    </w:p>
    <w:p>
      <w:pPr>
        <w:pStyle w:val="BodyText"/>
        <w:keepNext/>
      </w:pPr>
      <w:r>
        <w:rPr>
          <w:b/>
          <w:bCs/>
        </w:rPr>
        <w:t xml:space="preserve">Table 8. Robustness of the constituent Amihud estimates</w:t>
      </w:r>
    </w:p>
    <w:tbl>
      <w:tblPr>
        <w:tblStyle w:val="Table"/>
        <w:tblW w:type="dxa" w:w="9000"/>
        <w:jc w:val="start"/>
        <w:tblLayout w:type="fixed"/>
        <w:tblLook w:firstRow="1" w:lastRow="0" w:firstColumn="0" w:lastColumn="0" w:noHBand="0" w:noVBand="0" w:val="0020"/>
      </w:tblPr>
      <w:tblGrid>
        <w:gridCol w:w="2591"/>
        <w:gridCol w:w="1704"/>
        <w:gridCol w:w="1704"/>
        <w:gridCol w:w="1530"/>
        <w:gridCol w:w="1470"/>
      </w:tblGrid>
      <w:tr>
        <w:trPr>
          <w:tblHeader w:val="true"/>
        </w:trPr>
        <w:tc>
          <w:tcPr>
            <w:tcW w:type="dxa" w:w="2591"/>
          </w:tcPr>
          <w:p>
            <w:pPr>
              <w:pStyle w:val="Compact"/>
              <w:jc w:val="left"/>
            </w:pPr>
            <w:r>
              <w:t xml:space="preserve">Specification</w:t>
            </w:r>
          </w:p>
        </w:tc>
        <w:tc>
          <w:tcPr>
            <w:tcW w:type="dxa" w:w="1704"/>
          </w:tcPr>
          <w:p>
            <w:pPr>
              <w:pStyle w:val="Compact"/>
              <w:jc w:val="center"/>
            </w:pPr>
            <w:r>
              <w:t xml:space="preserve">Announcement</w:t>
            </w:r>
          </w:p>
        </w:tc>
        <w:tc>
          <w:tcPr>
            <w:tcW w:type="dxa" w:w="1704"/>
          </w:tcPr>
          <w:p>
            <w:pPr>
              <w:pStyle w:val="Compact"/>
              <w:jc w:val="center"/>
            </w:pPr>
            <w:r>
              <w:t xml:space="preserve">Confirmation</w:t>
            </w:r>
          </w:p>
        </w:tc>
        <w:tc>
          <w:tcPr>
            <w:tcW w:type="dxa" w:w="1530"/>
          </w:tcPr>
          <w:p>
            <w:pPr>
              <w:pStyle w:val="Compact"/>
              <w:jc w:val="center"/>
            </w:pPr>
            <w:r>
              <w:t xml:space="preserve">List</w:t>
            </w:r>
          </w:p>
        </w:tc>
        <w:tc>
          <w:tcPr>
            <w:tcW w:type="dxa" w:w="1470"/>
          </w:tcPr>
          <w:p>
            <w:pPr>
              <w:pStyle w:val="Compact"/>
              <w:jc w:val="center"/>
            </w:pPr>
            <w:r>
              <w:t xml:space="preserve">Observations</w:t>
            </w:r>
          </w:p>
        </w:tc>
      </w:tr>
      <w:tr>
        <w:tc>
          <w:tcPr>
            <w:tcW w:type="dxa" w:w="2591"/>
          </w:tcPr>
          <w:p>
            <w:pPr>
              <w:pStyle w:val="Compact"/>
              <w:jc w:val="left"/>
            </w:pPr>
            <w:r>
              <w:t xml:space="preserve">Baseline (Table 2, column 1)</w:t>
            </w:r>
          </w:p>
        </w:tc>
        <w:tc>
          <w:tcPr>
            <w:tcW w:type="dxa" w:w="1704"/>
          </w:tcPr>
          <w:p>
            <w:pPr>
              <w:pStyle w:val="Compact"/>
              <w:jc w:val="center"/>
            </w:pPr>
            <w:r>
              <w:t xml:space="preserve">−0.392*** (0.098)</w:t>
            </w:r>
          </w:p>
        </w:tc>
        <w:tc>
          <w:tcPr>
            <w:tcW w:type="dxa" w:w="1704"/>
          </w:tcPr>
          <w:p>
            <w:pPr>
              <w:pStyle w:val="Compact"/>
              <w:jc w:val="center"/>
            </w:pPr>
            <w:r>
              <w:t xml:space="preserve">−0.888*** (0.124)</w:t>
            </w:r>
          </w:p>
        </w:tc>
        <w:tc>
          <w:tcPr>
            <w:tcW w:type="dxa" w:w="1530"/>
          </w:tcPr>
          <w:p>
            <w:pPr>
              <w:pStyle w:val="Compact"/>
              <w:jc w:val="center"/>
            </w:pPr>
            <w:r>
              <w:t xml:space="preserve">−1.129*** (0.178)</w:t>
            </w:r>
          </w:p>
        </w:tc>
        <w:tc>
          <w:tcPr>
            <w:tcW w:type="dxa" w:w="1470"/>
          </w:tcPr>
          <w:p>
            <w:pPr>
              <w:pStyle w:val="Compact"/>
              <w:jc w:val="center"/>
            </w:pPr>
            <w:r>
              <w:t xml:space="preserve">34,369</w:t>
            </w:r>
          </w:p>
        </w:tc>
      </w:tr>
      <w:tr>
        <w:tc>
          <w:tcPr>
            <w:tcW w:type="dxa" w:w="2591"/>
          </w:tcPr>
          <w:p>
            <w:pPr>
              <w:pStyle w:val="Compact"/>
              <w:jc w:val="left"/>
            </w:pPr>
            <w:r>
              <w:t xml:space="preserve">Size-tercile-by-week fixed effects</w:t>
            </w:r>
          </w:p>
        </w:tc>
        <w:tc>
          <w:tcPr>
            <w:tcW w:type="dxa" w:w="1704"/>
          </w:tcPr>
          <w:p>
            <w:pPr>
              <w:pStyle w:val="Compact"/>
              <w:jc w:val="center"/>
            </w:pPr>
            <w:r>
              <w:t xml:space="preserve">−0.424*** (0.108)</w:t>
            </w:r>
          </w:p>
        </w:tc>
        <w:tc>
          <w:tcPr>
            <w:tcW w:type="dxa" w:w="1704"/>
          </w:tcPr>
          <w:p>
            <w:pPr>
              <w:pStyle w:val="Compact"/>
              <w:jc w:val="center"/>
            </w:pPr>
            <w:r>
              <w:t xml:space="preserve">−0.786*** (0.139)</w:t>
            </w:r>
          </w:p>
        </w:tc>
        <w:tc>
          <w:tcPr>
            <w:tcW w:type="dxa" w:w="1530"/>
          </w:tcPr>
          <w:p>
            <w:pPr>
              <w:pStyle w:val="Compact"/>
              <w:jc w:val="center"/>
            </w:pPr>
            <w:r>
              <w:t xml:space="preserve">−0.978*** (0.207)</w:t>
            </w:r>
          </w:p>
        </w:tc>
        <w:tc>
          <w:tcPr>
            <w:tcW w:type="dxa" w:w="1470"/>
          </w:tcPr>
          <w:p>
            <w:pPr>
              <w:pStyle w:val="Compact"/>
              <w:jc w:val="center"/>
            </w:pPr>
            <w:r>
              <w:t xml:space="preserve">34,369</w:t>
            </w:r>
          </w:p>
        </w:tc>
      </w:tr>
      <w:tr>
        <w:tc>
          <w:tcPr>
            <w:tcW w:type="dxa" w:w="2591"/>
          </w:tcPr>
          <w:p>
            <w:pPr>
              <w:pStyle w:val="Compact"/>
              <w:jc w:val="left"/>
            </w:pPr>
            <w:r>
              <w:t xml:space="preserve">Excl. Vingroup stocks</w:t>
            </w:r>
          </w:p>
        </w:tc>
        <w:tc>
          <w:tcPr>
            <w:tcW w:type="dxa" w:w="1704"/>
          </w:tcPr>
          <w:p>
            <w:pPr>
              <w:pStyle w:val="Compact"/>
              <w:jc w:val="center"/>
            </w:pPr>
            <w:r>
              <w:t xml:space="preserve">−0.389*** (0.100)</w:t>
            </w:r>
          </w:p>
        </w:tc>
        <w:tc>
          <w:tcPr>
            <w:tcW w:type="dxa" w:w="1704"/>
          </w:tcPr>
          <w:p>
            <w:pPr>
              <w:pStyle w:val="Compact"/>
              <w:jc w:val="center"/>
            </w:pPr>
            <w:r>
              <w:t xml:space="preserve">−0.863*** (0.114)</w:t>
            </w:r>
          </w:p>
        </w:tc>
        <w:tc>
          <w:tcPr>
            <w:tcW w:type="dxa" w:w="1530"/>
          </w:tcPr>
          <w:p>
            <w:pPr>
              <w:pStyle w:val="Compact"/>
              <w:jc w:val="center"/>
            </w:pPr>
            <w:r>
              <w:t xml:space="preserve">−1.007*** (0.168)</w:t>
            </w:r>
          </w:p>
        </w:tc>
        <w:tc>
          <w:tcPr>
            <w:tcW w:type="dxa" w:w="1470"/>
          </w:tcPr>
          <w:p>
            <w:pPr>
              <w:pStyle w:val="Compact"/>
              <w:jc w:val="center"/>
            </w:pPr>
            <w:r>
              <w:t xml:space="preserve">34,072</w:t>
            </w:r>
          </w:p>
        </w:tc>
      </w:tr>
      <w:tr>
        <w:tc>
          <w:tcPr>
            <w:tcW w:type="dxa" w:w="2591"/>
          </w:tcPr>
          <w:p>
            <w:pPr>
              <w:pStyle w:val="Compact"/>
              <w:jc w:val="left"/>
            </w:pPr>
            <w:r>
              <w:t xml:space="preserve">Linear trend</w:t>
            </w:r>
          </w:p>
        </w:tc>
        <w:tc>
          <w:tcPr>
            <w:tcW w:type="dxa" w:w="1704"/>
          </w:tcPr>
          <w:p>
            <w:pPr>
              <w:pStyle w:val="Compact"/>
              <w:jc w:val="center"/>
            </w:pPr>
            <w:r>
              <w:t xml:space="preserve">−0.382*** (0.098)</w:t>
            </w:r>
          </w:p>
        </w:tc>
        <w:tc>
          <w:tcPr>
            <w:tcW w:type="dxa" w:w="1704"/>
          </w:tcPr>
          <w:p>
            <w:pPr>
              <w:pStyle w:val="Compact"/>
              <w:jc w:val="center"/>
            </w:pPr>
            <w:r>
              <w:t xml:space="preserve">−0.874*** (0.156)</w:t>
            </w:r>
          </w:p>
        </w:tc>
        <w:tc>
          <w:tcPr>
            <w:tcW w:type="dxa" w:w="1530"/>
          </w:tcPr>
          <w:p>
            <w:pPr>
              <w:pStyle w:val="Compact"/>
              <w:jc w:val="center"/>
            </w:pPr>
            <w:r>
              <w:t xml:space="preserve">−1.111*** (0.225)</w:t>
            </w:r>
          </w:p>
        </w:tc>
        <w:tc>
          <w:tcPr>
            <w:tcW w:type="dxa" w:w="1470"/>
          </w:tcPr>
          <w:p>
            <w:pPr>
              <w:pStyle w:val="Compact"/>
              <w:jc w:val="center"/>
            </w:pPr>
            <w:r>
              <w:t xml:space="preserve">34,369</w:t>
            </w:r>
          </w:p>
        </w:tc>
      </w:tr>
      <w:tr>
        <w:tc>
          <w:tcPr>
            <w:tcW w:type="dxa" w:w="2591"/>
          </w:tcPr>
          <w:p>
            <w:pPr>
              <w:pStyle w:val="Compact"/>
              <w:jc w:val="left"/>
            </w:pPr>
            <w:r>
              <w:t xml:space="preserve">Matched sample with trend</w:t>
            </w:r>
          </w:p>
        </w:tc>
        <w:tc>
          <w:tcPr>
            <w:tcW w:type="dxa" w:w="1704"/>
          </w:tcPr>
          <w:p>
            <w:pPr>
              <w:pStyle w:val="Compact"/>
              <w:jc w:val="center"/>
            </w:pPr>
            <w:r>
              <w:t xml:space="preserve">−0.204 (0.138)</w:t>
            </w:r>
          </w:p>
        </w:tc>
        <w:tc>
          <w:tcPr>
            <w:tcW w:type="dxa" w:w="1704"/>
          </w:tcPr>
          <w:p>
            <w:pPr>
              <w:pStyle w:val="Compact"/>
              <w:jc w:val="center"/>
            </w:pPr>
            <w:r>
              <w:t xml:space="preserve">−0.425* (0.199)</w:t>
            </w:r>
          </w:p>
        </w:tc>
        <w:tc>
          <w:tcPr>
            <w:tcW w:type="dxa" w:w="1530"/>
          </w:tcPr>
          <w:p>
            <w:pPr>
              <w:pStyle w:val="Compact"/>
              <w:jc w:val="center"/>
            </w:pPr>
            <w:r>
              <w:t xml:space="preserve">−0.637* (0.262)</w:t>
            </w:r>
          </w:p>
        </w:tc>
        <w:tc>
          <w:tcPr>
            <w:tcW w:type="dxa" w:w="1470"/>
          </w:tcPr>
          <w:p>
            <w:pPr>
              <w:pStyle w:val="Compact"/>
              <w:jc w:val="center"/>
            </w:pPr>
            <w:r>
              <w:t xml:space="preserve">4,751</w:t>
            </w:r>
          </w:p>
        </w:tc>
      </w:tr>
      <w:tr>
        <w:tc>
          <w:tcPr>
            <w:tcW w:type="dxa" w:w="2591"/>
          </w:tcPr>
          <w:p>
            <w:pPr>
              <w:pStyle w:val="Compact"/>
              <w:jc w:val="left"/>
            </w:pPr>
            <w:r>
              <w:t xml:space="preserve">Post-announcement drift</w:t>
            </w:r>
          </w:p>
        </w:tc>
        <w:tc>
          <w:tcPr>
            <w:tcW w:type="dxa" w:w="1704"/>
          </w:tcPr>
          <w:p>
            <w:pPr>
              <w:pStyle w:val="Compact"/>
              <w:jc w:val="center"/>
            </w:pPr>
            <w:r>
              <w:t xml:space="preserve">−0.231* (0.110)</w:t>
            </w:r>
          </w:p>
        </w:tc>
        <w:tc>
          <w:tcPr>
            <w:tcW w:type="dxa" w:w="1704"/>
          </w:tcPr>
          <w:p>
            <w:pPr>
              <w:pStyle w:val="Compact"/>
              <w:jc w:val="center"/>
            </w:pPr>
            <w:r>
              <w:t xml:space="preserve">−0.446** (0.171)</w:t>
            </w:r>
          </w:p>
        </w:tc>
        <w:tc>
          <w:tcPr>
            <w:tcW w:type="dxa" w:w="1530"/>
          </w:tcPr>
          <w:p>
            <w:pPr>
              <w:pStyle w:val="Compact"/>
              <w:jc w:val="center"/>
            </w:pPr>
            <w:r>
              <w:t xml:space="preserve">−0.541* (0.235)</w:t>
            </w:r>
          </w:p>
        </w:tc>
        <w:tc>
          <w:tcPr>
            <w:tcW w:type="dxa" w:w="1470"/>
          </w:tcPr>
          <w:p>
            <w:pPr>
              <w:pStyle w:val="Compact"/>
              <w:jc w:val="center"/>
            </w:pPr>
            <w:r>
              <w:t xml:space="preserve">34,369</w:t>
            </w:r>
          </w:p>
        </w:tc>
      </w:tr>
      <w:tr>
        <w:tc>
          <w:tcPr>
            <w:tcW w:type="dxa" w:w="2591"/>
          </w:tcPr>
          <w:p>
            <w:pPr>
              <w:pStyle w:val="Compact"/>
              <w:jc w:val="left"/>
            </w:pPr>
            <w:r>
              <w:t xml:space="preserve">Excl. July and August 2025</w:t>
            </w:r>
          </w:p>
        </w:tc>
        <w:tc>
          <w:tcPr>
            <w:tcW w:type="dxa" w:w="1704"/>
          </w:tcPr>
          <w:p>
            <w:pPr>
              <w:pStyle w:val="Compact"/>
              <w:jc w:val="center"/>
            </w:pPr>
            <w:r>
              <w:t xml:space="preserve">−0.354*** (0.105)</w:t>
            </w:r>
          </w:p>
        </w:tc>
        <w:tc>
          <w:tcPr>
            <w:tcW w:type="dxa" w:w="1704"/>
          </w:tcPr>
          <w:p>
            <w:pPr>
              <w:pStyle w:val="Compact"/>
              <w:jc w:val="center"/>
            </w:pPr>
            <w:r>
              <w:t xml:space="preserve">−0.850*** (0.130)</w:t>
            </w:r>
          </w:p>
        </w:tc>
        <w:tc>
          <w:tcPr>
            <w:tcW w:type="dxa" w:w="1530"/>
          </w:tcPr>
          <w:p>
            <w:pPr>
              <w:pStyle w:val="Compact"/>
              <w:jc w:val="center"/>
            </w:pPr>
            <w:r>
              <w:t xml:space="preserve">−1.091*** (0.183)</w:t>
            </w:r>
          </w:p>
        </w:tc>
        <w:tc>
          <w:tcPr>
            <w:tcW w:type="dxa" w:w="1470"/>
          </w:tcPr>
          <w:p>
            <w:pPr>
              <w:pStyle w:val="Compact"/>
              <w:jc w:val="center"/>
            </w:pPr>
            <w:r>
              <w:t xml:space="preserve">31,212</w:t>
            </w:r>
          </w:p>
        </w:tc>
      </w:tr>
      <w:tr>
        <w:tc>
          <w:tcPr>
            <w:tcW w:type="dxa" w:w="2591"/>
          </w:tcPr>
          <w:p>
            <w:pPr>
              <w:pStyle w:val="Compact"/>
              <w:jc w:val="left"/>
            </w:pPr>
            <w:r>
              <w:t xml:space="preserve">Excl. banks and brokers (11)</w:t>
            </w:r>
          </w:p>
        </w:tc>
        <w:tc>
          <w:tcPr>
            <w:tcW w:type="dxa" w:w="1704"/>
          </w:tcPr>
          <w:p>
            <w:pPr>
              <w:pStyle w:val="Compact"/>
              <w:jc w:val="center"/>
            </w:pPr>
            <w:r>
              <w:t xml:space="preserve">−0.439** (0.163)</w:t>
            </w:r>
          </w:p>
        </w:tc>
        <w:tc>
          <w:tcPr>
            <w:tcW w:type="dxa" w:w="1704"/>
          </w:tcPr>
          <w:p>
            <w:pPr>
              <w:pStyle w:val="Compact"/>
              <w:jc w:val="center"/>
            </w:pPr>
            <w:r>
              <w:t xml:space="preserve">−1.042*** (0.210)</w:t>
            </w:r>
          </w:p>
        </w:tc>
        <w:tc>
          <w:tcPr>
            <w:tcW w:type="dxa" w:w="1530"/>
          </w:tcPr>
          <w:p>
            <w:pPr>
              <w:pStyle w:val="Compact"/>
              <w:jc w:val="center"/>
            </w:pPr>
            <w:r>
              <w:t xml:space="preserve">−1.398*** (0.315)</w:t>
            </w:r>
          </w:p>
        </w:tc>
        <w:tc>
          <w:tcPr>
            <w:tcW w:type="dxa" w:w="1470"/>
          </w:tcPr>
          <w:p>
            <w:pPr>
              <w:pStyle w:val="Compact"/>
              <w:jc w:val="center"/>
            </w:pPr>
            <w:r>
              <w:t xml:space="preserve">33,082</w:t>
            </w:r>
          </w:p>
        </w:tc>
      </w:tr>
      <w:tr>
        <w:tc>
          <w:tcPr>
            <w:tcW w:type="dxa" w:w="2591"/>
          </w:tcPr>
          <w:p>
            <w:pPr>
              <w:pStyle w:val="Compact"/>
              <w:jc w:val="left"/>
            </w:pPr>
            <w:r>
              <w:t xml:space="preserve">ITT excl. banks and brokers (19)</w:t>
            </w:r>
          </w:p>
        </w:tc>
        <w:tc>
          <w:tcPr>
            <w:tcW w:type="dxa" w:w="1704"/>
          </w:tcPr>
          <w:p>
            <w:pPr>
              <w:pStyle w:val="Compact"/>
              <w:jc w:val="center"/>
            </w:pPr>
            <w:r>
              <w:t xml:space="preserve">−0.225* (0.095)</w:t>
            </w:r>
          </w:p>
        </w:tc>
        <w:tc>
          <w:tcPr>
            <w:tcW w:type="dxa" w:w="1704"/>
          </w:tcPr>
          <w:p>
            <w:pPr>
              <w:pStyle w:val="Compact"/>
              <w:jc w:val="center"/>
            </w:pPr>
            <w:r>
              <w:t xml:space="preserve">−0.515** (0.163)</w:t>
            </w:r>
          </w:p>
        </w:tc>
        <w:tc>
          <w:tcPr>
            <w:tcW w:type="dxa" w:w="1530"/>
          </w:tcPr>
          <w:p>
            <w:pPr>
              <w:pStyle w:val="Compact"/>
              <w:jc w:val="center"/>
            </w:pPr>
            <w:r>
              <w:t xml:space="preserve">−0.831*** (0.223)</w:t>
            </w:r>
          </w:p>
        </w:tc>
        <w:tc>
          <w:tcPr>
            <w:tcW w:type="dxa" w:w="1470"/>
          </w:tcPr>
          <w:p>
            <w:pPr>
              <w:pStyle w:val="Compact"/>
              <w:jc w:val="center"/>
            </w:pPr>
            <w:r>
              <w:t xml:space="preserve">33,874</w:t>
            </w:r>
          </w:p>
        </w:tc>
      </w:tr>
      <w:tr>
        <w:tc>
          <w:tcPr>
            <w:tcW w:type="dxa" w:w="2591"/>
          </w:tcPr>
          <w:p>
            <w:pPr>
              <w:pStyle w:val="Compact"/>
              <w:jc w:val="left"/>
            </w:pPr>
            <w:r>
              <w:t xml:space="preserve">Wild cluster bootstrap</w:t>
            </w:r>
            <w:r>
              <w:t xml:space="preserve"> </w:t>
            </w:r>
            <w:r>
              <w:rPr>
                <w:i/>
                <w:iCs/>
              </w:rPr>
              <w:t xml:space="preserve">p</w:t>
            </w:r>
          </w:p>
        </w:tc>
        <w:tc>
          <w:tcPr>
            <w:tcW w:type="dxa" w:w="1704"/>
          </w:tcPr>
          <w:p>
            <w:pPr>
              <w:pStyle w:val="Compact"/>
              <w:jc w:val="center"/>
            </w:pPr>
            <w:r>
              <w:t xml:space="preserve">&lt; 0.001</w:t>
            </w:r>
          </w:p>
        </w:tc>
        <w:tc>
          <w:tcPr>
            <w:tcW w:type="dxa" w:w="1704"/>
          </w:tcPr>
          <w:p>
            <w:pPr>
              <w:pStyle w:val="Compact"/>
              <w:jc w:val="center"/>
            </w:pPr>
            <w:r>
              <w:t xml:space="preserve">&lt; 0.001</w:t>
            </w:r>
          </w:p>
        </w:tc>
        <w:tc>
          <w:tcPr>
            <w:tcW w:type="dxa" w:w="1530"/>
          </w:tcPr>
          <w:p>
            <w:pPr>
              <w:pStyle w:val="Compact"/>
              <w:jc w:val="center"/>
            </w:pPr>
            <w:r>
              <w:t xml:space="preserve">&lt; 0.001</w:t>
            </w:r>
          </w:p>
        </w:tc>
        <w:tc>
          <w:tcPr>
            <w:tcW w:type="dxa" w:w="1470"/>
          </w:tcPr>
          <w:p>
            <w:pPr>
              <w:pStyle w:val="Compact"/>
              <w:jc w:val="left"/>
            </w:pPr>
          </w:p>
        </w:tc>
      </w:tr>
      <w:tr>
        <w:tc>
          <w:tcPr>
            <w:tcW w:type="dxa" w:w="2591"/>
          </w:tcPr>
          <w:p>
            <w:pPr>
              <w:pStyle w:val="Compact"/>
              <w:jc w:val="left"/>
            </w:pPr>
            <w:r>
              <w:t xml:space="preserve">Randomization inference</w:t>
            </w:r>
            <w:r>
              <w:t xml:space="preserve"> </w:t>
            </w:r>
            <w:r>
              <w:rPr>
                <w:i/>
                <w:iCs/>
              </w:rPr>
              <w:t xml:space="preserve">p</w:t>
            </w:r>
          </w:p>
        </w:tc>
        <w:tc>
          <w:tcPr>
            <w:tcW w:type="dxa" w:w="1704"/>
          </w:tcPr>
          <w:p>
            <w:pPr>
              <w:pStyle w:val="Compact"/>
              <w:jc w:val="center"/>
            </w:pPr>
            <w:r>
              <w:t xml:space="preserve">&lt; 0.002</w:t>
            </w:r>
          </w:p>
        </w:tc>
        <w:tc>
          <w:tcPr>
            <w:tcW w:type="dxa" w:w="1704"/>
          </w:tcPr>
          <w:p>
            <w:pPr>
              <w:pStyle w:val="Compact"/>
              <w:jc w:val="center"/>
            </w:pPr>
            <w:r>
              <w:t xml:space="preserve">&lt; 0.002</w:t>
            </w:r>
          </w:p>
        </w:tc>
        <w:tc>
          <w:tcPr>
            <w:tcW w:type="dxa" w:w="1530"/>
          </w:tcPr>
          <w:p>
            <w:pPr>
              <w:pStyle w:val="Compact"/>
              <w:jc w:val="center"/>
            </w:pPr>
            <w:r>
              <w:t xml:space="preserve">&lt; 0.002</w:t>
            </w:r>
          </w:p>
        </w:tc>
        <w:tc>
          <w:tcPr>
            <w:tcW w:type="dxa" w:w="1470"/>
          </w:tcPr>
          <w:p>
            <w:pPr>
              <w:pStyle w:val="Compact"/>
              <w:jc w:val="left"/>
            </w:pPr>
          </w:p>
        </w:tc>
      </w:tr>
    </w:tbl>
    <w:p>
      <w:pPr>
        <w:pStyle w:val="BodyText"/>
      </w:pPr>
      <w:r>
        <w:rPr>
          <w:i/>
          <w:iCs/>
        </w:rPr>
        <w:t xml:space="preserve">Notes</w:t>
      </w:r>
      <w:r>
        <w:t xml:space="preserve">: Dependent variable log Amihud; the excluded stocks and the inference settings (one-sided randomization inference) are given in Sections 3.3 and 5.1, and other details are as in Table 2. Source: Authors’ calculations.</w:t>
      </w:r>
    </w:p>
    <w:p>
      <w:pPr>
        <w:pStyle w:val="BodyText"/>
      </w:pPr>
      <w:r>
        <w:rPr>
          <w:b/>
          <w:bCs/>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
          <w:bCs/>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
          <w:bCs/>
        </w:rPr>
        <w:t xml:space="preserve">Trading value.</w:t>
      </w:r>
      <w:r>
        <w:t xml:space="preserve"> </w:t>
      </w:r>
      <w:r>
        <w:t xml:space="preserve">A constituent-specific linear trend in trading value is strong (0.010 log points per week,</w:t>
      </w:r>
      <w:r>
        <w:t xml:space="preserve"> </w:t>
      </w:r>
      <w:r>
        <w:rPr>
          <w:i/>
          <w:iCs/>
        </w:rPr>
        <w:t xml:space="preserve">p</w:t>
      </w:r>
      <w:r>
        <w:t xml:space="preserve"> </w:t>
      </w:r>
      <w:r>
        <w:t xml:space="preserve">&lt; 0.001), and trend-adjusted effects fall to 0.28, 0.39 and 0.43 log points, the last significant only at 10%.</w:t>
      </w:r>
    </w:p>
    <w:p>
      <w:pPr>
        <w:pStyle w:val="BodyText"/>
      </w:pPr>
      <w:r>
        <w:rPr>
          <w:b/>
          <w:bCs/>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
          <w:iCs/>
        </w:rPr>
        <w:t xml:space="preserve">p</w:t>
      </w:r>
      <w:r>
        <w:t xml:space="preserve">-values remain at or below 0.003.</w:t>
      </w:r>
    </w:p>
    <w:p>
      <w:pPr>
        <w:pStyle w:val="BodyText"/>
      </w:pPr>
      <w:r>
        <w:rPr>
          <w:b/>
          <w:bCs/>
        </w:rPr>
        <w:t xml:space="preserve">Sector composition and the pre-funding reform.</w:t>
      </w:r>
      <w:r>
        <w:t xml:space="preserve"> </w:t>
      </w:r>
      <w:r>
        <w:t xml:space="preserve">Banks (VCB, BID, VPB, HDB, STB, SHB, SSB, MSB) and securities firms (SSI, VCI, VIX, VND, HCM) make up 13 of the 24 constituents and 8 of the 27 ITT stocks, which also include EIB; the Vingroup stocks are VIC, VHM and VRE. Without the banks and securities firms,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also became more liquid (Section 4.1), but this comparison does not separate the reform from the upgrade for the largest stocks.</w:t>
      </w:r>
    </w:p>
    <w:p>
      <w:pPr>
        <w:pStyle w:val="BodyText"/>
      </w:pPr>
      <w:r>
        <w:rPr>
          <w:b/>
          <w:bCs/>
        </w:rPr>
        <w:t xml:space="preserve">Placebo.</w:t>
      </w:r>
      <w:r>
        <w:t xml:space="preserve"> </w:t>
      </w:r>
      <w:r>
        <w:t xml:space="preserve">A fake event on 7 April 2025, estimated on pre-announcement data only, yields a coefficient of 0.04 (standard error 0.10).</w:t>
      </w:r>
    </w:p>
    <w:bookmarkEnd w:id="44"/>
    <w:bookmarkStart w:id="45" w:name="X47ba60828c54190aeb0bbb5d7aeca48613d2926"/>
    <w:p>
      <w:pPr>
        <w:pStyle w:val="Heading3"/>
        <w:jc w:val="left"/>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and BSR.</w:t>
      </w:r>
    </w:p>
    <w:p>
      <w:pPr>
        <w:pStyle w:val="BodyText"/>
      </w:pPr>
      <w:r>
        <w:t xml:space="preserve">Panel B splits the period after the announcement into three screening windows, assigning weeks by their start date: S1 from 7 October to 31 December 2025, the last date of the data FTSE screened for the April 2026 list; S2 from 1 January to 6 April 2026; and S3 from 7 April 2026. GEE, added in April, became 1.83 log points less illiquid relative to never-named stocks during S1, inside that data window (Appendix Table A.3). BSR improved mostly after the cut-off (−0.39 in S1, −1.68 in S2). It joined HOSE only in January 2025, after the data date of the November list (VietnamPlus, 2024), which provides a reason other than liquidity for its later addition. The twelve November names changed little (−0.02, −0.19 and −0.30 log points, none significant at 5%), and only PLX, which FTSE dropped in April, and DPM fell by more than 0.5 log points by the April list.</w:t>
      </w:r>
    </w:p>
    <w:p>
      <w:pPr>
        <w:pStyle w:val="BodyText"/>
        <w:keepNext/>
      </w:pPr>
      <w:r>
        <w:rPr>
          <w:b/>
          <w:bCs/>
        </w:rPr>
        <w:t xml:space="preserve">Table 9. Named-but-excluded stocks and the timing of FTSE’s screening</w:t>
      </w:r>
    </w:p>
    <w:p>
      <w:pPr>
        <w:pStyle w:val="BodyText"/>
        <w:keepNext/>
      </w:pPr>
      <w:r>
        <w:t xml:space="preserve">Panel A. Named-but-excluded (14) and constituents</w:t>
      </w:r>
    </w:p>
    <w:tbl>
      <w:tblPr>
        <w:tblStyle w:val="Table"/>
        <w:tblW w:type="dxa" w:w="9000"/>
        <w:jc w:val="start"/>
        <w:tblLayout w:type="fixed"/>
        <w:tblLook w:firstRow="1" w:lastRow="0" w:firstColumn="0" w:lastColumn="0" w:noHBand="0" w:noVBand="0" w:val="0020"/>
      </w:tblPr>
      <w:tblGrid>
        <w:gridCol w:w="2475"/>
        <w:gridCol w:w="2250"/>
        <w:gridCol w:w="2025"/>
        <w:gridCol w:w="2250"/>
      </w:tblGrid>
      <w:tr>
        <w:trPr>
          <w:tblHeader w:val="true"/>
        </w:trPr>
        <w:tc>
          <w:tcPr>
            <w:tcW w:type="dxa" w:w="2475"/>
          </w:tcPr>
          <w:p>
            <w:pPr>
              <w:pStyle w:val="Compact"/>
              <w:jc w:val="left"/>
            </w:pPr>
            <w:r>
              <w:t xml:space="preserve">Window</w:t>
            </w:r>
          </w:p>
        </w:tc>
        <w:tc>
          <w:tcPr>
            <w:tcW w:type="dxa" w:w="2250"/>
          </w:tcPr>
          <w:p>
            <w:pPr>
              <w:pStyle w:val="Compact"/>
              <w:jc w:val="center"/>
            </w:pPr>
            <w:r>
              <w:t xml:space="preserve">Constituents: Amihud</w:t>
            </w:r>
          </w:p>
        </w:tc>
        <w:tc>
          <w:tcPr>
            <w:tcW w:type="dxa" w:w="2025"/>
          </w:tcPr>
          <w:p>
            <w:pPr>
              <w:pStyle w:val="Compact"/>
              <w:jc w:val="center"/>
            </w:pPr>
            <w:r>
              <w:t xml:space="preserve">Named: Amihud</w:t>
            </w:r>
          </w:p>
        </w:tc>
        <w:tc>
          <w:tcPr>
            <w:tcW w:type="dxa" w:w="2250"/>
          </w:tcPr>
          <w:p>
            <w:pPr>
              <w:pStyle w:val="Compact"/>
              <w:jc w:val="center"/>
            </w:pPr>
            <w:r>
              <w:t xml:space="preserve">Named: trading value</w:t>
            </w:r>
          </w:p>
        </w:tc>
      </w:tr>
      <w:tr>
        <w:tc>
          <w:tcPr>
            <w:tcW w:type="dxa" w:w="2475"/>
          </w:tcPr>
          <w:p>
            <w:pPr>
              <w:pStyle w:val="Compact"/>
              <w:jc w:val="left"/>
            </w:pPr>
            <w:r>
              <w:t xml:space="preserve">Announcement</w:t>
            </w:r>
          </w:p>
        </w:tc>
        <w:tc>
          <w:tcPr>
            <w:tcW w:type="dxa" w:w="2250"/>
          </w:tcPr>
          <w:p>
            <w:pPr>
              <w:pStyle w:val="Compact"/>
              <w:jc w:val="center"/>
            </w:pPr>
            <w:r>
              <w:t xml:space="preserve">−0.392*** (0.098)</w:t>
            </w:r>
          </w:p>
        </w:tc>
        <w:tc>
          <w:tcPr>
            <w:tcW w:type="dxa" w:w="2025"/>
          </w:tcPr>
          <w:p>
            <w:pPr>
              <w:pStyle w:val="Compact"/>
              <w:jc w:val="center"/>
            </w:pPr>
            <w:r>
              <w:t xml:space="preserve">−0.293 (0.154)</w:t>
            </w:r>
          </w:p>
        </w:tc>
        <w:tc>
          <w:tcPr>
            <w:tcW w:type="dxa" w:w="2250"/>
          </w:tcPr>
          <w:p>
            <w:pPr>
              <w:pStyle w:val="Compact"/>
              <w:jc w:val="center"/>
            </w:pPr>
            <w:r>
              <w:t xml:space="preserve">0.589** (0.186)</w:t>
            </w:r>
          </w:p>
        </w:tc>
      </w:tr>
      <w:tr>
        <w:tc>
          <w:tcPr>
            <w:tcW w:type="dxa" w:w="2475"/>
          </w:tcPr>
          <w:p>
            <w:pPr>
              <w:pStyle w:val="Compact"/>
              <w:jc w:val="left"/>
            </w:pPr>
            <w:r>
              <w:t xml:space="preserve">Confirmation</w:t>
            </w:r>
          </w:p>
        </w:tc>
        <w:tc>
          <w:tcPr>
            <w:tcW w:type="dxa" w:w="2250"/>
          </w:tcPr>
          <w:p>
            <w:pPr>
              <w:pStyle w:val="Compact"/>
              <w:jc w:val="center"/>
            </w:pPr>
            <w:r>
              <w:t xml:space="preserve">−0.888*** (0.124)</w:t>
            </w:r>
          </w:p>
        </w:tc>
        <w:tc>
          <w:tcPr>
            <w:tcW w:type="dxa" w:w="2025"/>
          </w:tcPr>
          <w:p>
            <w:pPr>
              <w:pStyle w:val="Compact"/>
              <w:jc w:val="center"/>
            </w:pPr>
            <w:r>
              <w:t xml:space="preserve">−0.554* (0.255)</w:t>
            </w:r>
          </w:p>
        </w:tc>
        <w:tc>
          <w:tcPr>
            <w:tcW w:type="dxa" w:w="2250"/>
          </w:tcPr>
          <w:p>
            <w:pPr>
              <w:pStyle w:val="Compact"/>
              <w:jc w:val="center"/>
            </w:pPr>
            <w:r>
              <w:t xml:space="preserve">0.683* (0.269)</w:t>
            </w:r>
          </w:p>
        </w:tc>
      </w:tr>
      <w:tr>
        <w:tc>
          <w:tcPr>
            <w:tcW w:type="dxa" w:w="2475"/>
          </w:tcPr>
          <w:p>
            <w:pPr>
              <w:pStyle w:val="Compact"/>
              <w:jc w:val="left"/>
            </w:pPr>
            <w:r>
              <w:t xml:space="preserve">List and rebalancing</w:t>
            </w:r>
          </w:p>
        </w:tc>
        <w:tc>
          <w:tcPr>
            <w:tcW w:type="dxa" w:w="2250"/>
          </w:tcPr>
          <w:p>
            <w:pPr>
              <w:pStyle w:val="Compact"/>
              <w:jc w:val="center"/>
            </w:pPr>
            <w:r>
              <w:t xml:space="preserve">−1.129*** (0.178)</w:t>
            </w:r>
          </w:p>
        </w:tc>
        <w:tc>
          <w:tcPr>
            <w:tcW w:type="dxa" w:w="2025"/>
          </w:tcPr>
          <w:p>
            <w:pPr>
              <w:pStyle w:val="Compact"/>
              <w:jc w:val="center"/>
            </w:pPr>
            <w:r>
              <w:t xml:space="preserve">−0.865** (0.304)</w:t>
            </w:r>
          </w:p>
        </w:tc>
        <w:tc>
          <w:tcPr>
            <w:tcW w:type="dxa" w:w="2250"/>
          </w:tcPr>
          <w:p>
            <w:pPr>
              <w:pStyle w:val="Compact"/>
              <w:jc w:val="center"/>
            </w:pPr>
            <w:r>
              <w:t xml:space="preserve">0.653 (0.345)</w:t>
            </w:r>
          </w:p>
        </w:tc>
      </w:tr>
    </w:tbl>
    <w:p>
      <w:pPr>
        <w:pStyle w:val="BodyText"/>
        <w:keepNext/>
      </w:pPr>
      <w:r>
        <w:t xml:space="preserve">Panel B. log Amihud by screening window</w:t>
      </w:r>
    </w:p>
    <w:tbl>
      <w:tblPr>
        <w:tblStyle w:val="Table"/>
        <w:tblW w:type="dxa" w:w="9000"/>
        <w:jc w:val="start"/>
        <w:tblLayout w:type="fixed"/>
        <w:tblLook w:firstRow="1" w:lastRow="0" w:firstColumn="0" w:lastColumn="0" w:noHBand="0" w:noVBand="0" w:val="0020"/>
      </w:tblPr>
      <w:tblGrid>
        <w:gridCol w:w="3000"/>
        <w:gridCol w:w="1928"/>
        <w:gridCol w:w="2035"/>
        <w:gridCol w:w="2035"/>
      </w:tblGrid>
      <w:tr>
        <w:trPr>
          <w:tblHeader w:val="true"/>
        </w:trPr>
        <w:tc>
          <w:tcPr>
            <w:tcW w:type="dxa" w:w="3000"/>
          </w:tcPr>
          <w:p>
            <w:pPr>
              <w:pStyle w:val="Compact"/>
              <w:jc w:val="left"/>
            </w:pPr>
            <w:r>
              <w:t xml:space="preserve">Group</w:t>
            </w:r>
          </w:p>
        </w:tc>
        <w:tc>
          <w:tcPr>
            <w:tcW w:type="dxa" w:w="1928"/>
          </w:tcPr>
          <w:p>
            <w:pPr>
              <w:pStyle w:val="Compact"/>
              <w:jc w:val="center"/>
            </w:pPr>
            <w:r>
              <w:t xml:space="preserve">S1</w:t>
            </w:r>
          </w:p>
        </w:tc>
        <w:tc>
          <w:tcPr>
            <w:tcW w:type="dxa" w:w="2035"/>
          </w:tcPr>
          <w:p>
            <w:pPr>
              <w:pStyle w:val="Compact"/>
              <w:jc w:val="center"/>
            </w:pPr>
            <w:r>
              <w:t xml:space="preserve">S2</w:t>
            </w:r>
          </w:p>
        </w:tc>
        <w:tc>
          <w:tcPr>
            <w:tcW w:type="dxa" w:w="2035"/>
          </w:tcPr>
          <w:p>
            <w:pPr>
              <w:pStyle w:val="Compact"/>
              <w:jc w:val="center"/>
            </w:pPr>
            <w:r>
              <w:t xml:space="preserve">S3</w:t>
            </w:r>
          </w:p>
        </w:tc>
      </w:tr>
      <w:tr>
        <w:tc>
          <w:tcPr>
            <w:tcW w:type="dxa" w:w="3000"/>
          </w:tcPr>
          <w:p>
            <w:pPr>
              <w:pStyle w:val="Compact"/>
              <w:jc w:val="left"/>
            </w:pPr>
            <w:r>
              <w:t xml:space="preserve">Constituents (24)</w:t>
            </w:r>
          </w:p>
        </w:tc>
        <w:tc>
          <w:tcPr>
            <w:tcW w:type="dxa" w:w="1928"/>
          </w:tcPr>
          <w:p>
            <w:pPr>
              <w:pStyle w:val="Compact"/>
              <w:jc w:val="center"/>
            </w:pPr>
            <w:r>
              <w:t xml:space="preserve">−0.339** (0.110)</w:t>
            </w:r>
          </w:p>
        </w:tc>
        <w:tc>
          <w:tcPr>
            <w:tcW w:type="dxa" w:w="2035"/>
          </w:tcPr>
          <w:p>
            <w:pPr>
              <w:pStyle w:val="Compact"/>
              <w:jc w:val="center"/>
            </w:pPr>
            <w:r>
              <w:t xml:space="preserve">−0.440*** (0.100)</w:t>
            </w:r>
          </w:p>
        </w:tc>
        <w:tc>
          <w:tcPr>
            <w:tcW w:type="dxa" w:w="2035"/>
          </w:tcPr>
          <w:p>
            <w:pPr>
              <w:pStyle w:val="Compact"/>
              <w:jc w:val="center"/>
            </w:pPr>
            <w:r>
              <w:t xml:space="preserve">−0.932*** (0.129)</w:t>
            </w:r>
          </w:p>
        </w:tc>
      </w:tr>
      <w:tr>
        <w:tc>
          <w:tcPr>
            <w:tcW w:type="dxa" w:w="3000"/>
          </w:tcPr>
          <w:p>
            <w:pPr>
              <w:pStyle w:val="Compact"/>
              <w:jc w:val="left"/>
            </w:pPr>
            <w:r>
              <w:t xml:space="preserve">Named Nov 2025, not included (12)</w:t>
            </w:r>
          </w:p>
        </w:tc>
        <w:tc>
          <w:tcPr>
            <w:tcW w:type="dxa" w:w="1928"/>
          </w:tcPr>
          <w:p>
            <w:pPr>
              <w:pStyle w:val="Compact"/>
              <w:jc w:val="center"/>
            </w:pPr>
            <w:r>
              <w:t xml:space="preserve">−0.024 (0.092)</w:t>
            </w:r>
          </w:p>
        </w:tc>
        <w:tc>
          <w:tcPr>
            <w:tcW w:type="dxa" w:w="2035"/>
          </w:tcPr>
          <w:p>
            <w:pPr>
              <w:pStyle w:val="Compact"/>
              <w:jc w:val="center"/>
            </w:pPr>
            <w:r>
              <w:t xml:space="preserve">−0.185 (0.127)</w:t>
            </w:r>
          </w:p>
        </w:tc>
        <w:tc>
          <w:tcPr>
            <w:tcW w:type="dxa" w:w="2035"/>
          </w:tcPr>
          <w:p>
            <w:pPr>
              <w:pStyle w:val="Compact"/>
              <w:jc w:val="center"/>
            </w:pPr>
            <w:r>
              <w:t xml:space="preserve">−0.295 (0.168)</w:t>
            </w:r>
          </w:p>
        </w:tc>
      </w:tr>
      <w:tr>
        <w:tc>
          <w:tcPr>
            <w:tcW w:type="dxa" w:w="3000"/>
          </w:tcPr>
          <w:p>
            <w:pPr>
              <w:pStyle w:val="Compact"/>
              <w:jc w:val="left"/>
            </w:pPr>
            <w:r>
              <w:t xml:space="preserve">Added Apr 2026: GEE, BSR</w:t>
            </w:r>
          </w:p>
        </w:tc>
        <w:tc>
          <w:tcPr>
            <w:tcW w:type="dxa" w:w="1928"/>
          </w:tcPr>
          <w:p>
            <w:pPr>
              <w:pStyle w:val="Compact"/>
              <w:jc w:val="center"/>
            </w:pPr>
            <w:r>
              <w:t xml:space="preserve">−1.15</w:t>
            </w:r>
          </w:p>
        </w:tc>
        <w:tc>
          <w:tcPr>
            <w:tcW w:type="dxa" w:w="2035"/>
          </w:tcPr>
          <w:p>
            <w:pPr>
              <w:pStyle w:val="Compact"/>
              <w:jc w:val="center"/>
            </w:pPr>
            <w:r>
              <w:t xml:space="preserve">−1.67</w:t>
            </w:r>
          </w:p>
        </w:tc>
        <w:tc>
          <w:tcPr>
            <w:tcW w:type="dxa" w:w="2035"/>
          </w:tcPr>
          <w:p>
            <w:pPr>
              <w:pStyle w:val="Compact"/>
              <w:jc w:val="center"/>
            </w:pPr>
            <w:r>
              <w:t xml:space="preserve">−2.51</w:t>
            </w:r>
          </w:p>
        </w:tc>
      </w:tr>
    </w:tbl>
    <w:p>
      <w:pPr>
        <w:pStyle w:val="BodyText"/>
      </w:pPr>
      <w:r>
        <w:rPr>
          <w:i/>
          <w:iCs/>
        </w:rPr>
        <w:t xml:space="preserve">Notes</w:t>
      </w:r>
      <w:r>
        <w:t xml:space="preserve">: One regression per panel on all 366 stocks, relative to never-named stocks, with S1–S3 as defined in Section 5.2, point estimates only for the two-stock row and other details as in Table 2. Source: Authors’ calculations.</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 We report both sets of estimates and treat neither as a bound on the other.</w:t>
      </w:r>
    </w:p>
    <w:bookmarkEnd w:id="45"/>
    <w:bookmarkEnd w:id="46"/>
    <w:bookmarkStart w:id="47" w:name="discussion-and-conclusion"/>
    <w:p>
      <w:pPr>
        <w:pStyle w:val="Heading2"/>
        <w:jc w:val="left"/>
      </w:pPr>
      <w:r>
        <w:t xml:space="preserve">6. Discussion and conclusion</w:t>
      </w:r>
    </w:p>
    <w:p>
      <w:pPr>
        <w:pStyle w:val="FirstParagraph"/>
      </w:pPr>
      <w:r>
        <w:t xml:space="preserve">Liquidity and price gains for likely index stocks came with FTSE’s disclosures of Vietnam’s reclassification,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under three of four benchmarks. The first tranche brought a trading surge at the rebalancing close, largest for the large-capitalization constituents and absent for excluded stocks, but no reliable price effect.</w:t>
      </w:r>
    </w:p>
    <w:p>
      <w:pPr>
        <w:pStyle w:val="BodyText"/>
      </w:pPr>
      <w:r>
        <w:t xml:space="preserve">These findings favour the recognition channel over the price-pressure channel as the source of lasting effects: prices and liquidity moved with FTSE’s public statements, and the first-tranche rebalancing brought a trading surge but no reliable price effect. This reading fits developed-market studies that find lasting liquidity gains after inclusion (Hegde &amp; McDermott, 2003) and frontier-market evidence that index effects reflect investor demand rather than liquidity alone (Biktimirov &amp; Afego, 2026); in Vietnam, prices and liquidity moved together at disclosure. Unlike a routine reconstitution, the Vietnamese upgrade changed which benchmark family could hold the stocks, and FTSE announced it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qualify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Index averages over hundreds of stocks outside FTSE’s screens could have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although one event cannot show that earlier communication causes larger gains. For issuers, the gains concentrated in stocks FTSE could hold, and free float and foreign-ownership headroom enter FTSE’s screens and index weights, although we do not test whether raising them would change the outcome.</w:t>
      </w:r>
    </w:p>
    <w:p>
      <w:pPr>
        <w:pStyle w:val="BodyText"/>
      </w:pPr>
      <w:r>
        <w:t xml:space="preserve">The sample omits stocks delisted before 24 September 2026. The data end two sessions after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47"/>
    <w:bookmarkStart w:id="48" w:name="appendix"/>
    <w:p>
      <w:pPr>
        <w:pStyle w:val="Heading2"/>
        <w:jc w:val="left"/>
      </w:pPr>
      <w:r>
        <w:t xml:space="preserve">Appendix</w:t>
      </w:r>
    </w:p>
    <w:p>
      <w:pPr>
        <w:pStyle w:val="FirstParagraph"/>
      </w:pPr>
      <w:r>
        <w:t xml:space="preserve">Table A.1 lists the stocks on each FTSE list (Sections 2.1 and 3.1), Table A.2 reports covariate balance for the matched sample (Section 3.3), and Table A.3 reports the liquidity change of each named-but-excluded stock by screening window (Section 5.2).</w:t>
      </w:r>
    </w:p>
    <w:p>
      <w:pPr>
        <w:pStyle w:val="BodyText"/>
        <w:keepNext/>
      </w:pPr>
      <w:r>
        <w:rPr>
          <w:b/>
          <w:bCs/>
        </w:rPr>
        <w:t xml:space="preserve">Table A.1. Stocks by FTSE list</w:t>
      </w:r>
    </w:p>
    <w:tbl>
      <w:tblPr>
        <w:tblStyle w:val="Table"/>
        <w:tblW w:type="dxa" w:w="9000"/>
        <w:jc w:val="start"/>
        <w:tblLayout w:type="fixed"/>
        <w:tblLook w:firstRow="1" w:lastRow="0" w:firstColumn="0" w:lastColumn="0" w:noHBand="0" w:noVBand="0" w:val="0020"/>
      </w:tblPr>
      <w:tblGrid>
        <w:gridCol w:w="5250"/>
        <w:gridCol w:w="3750"/>
      </w:tblGrid>
      <w:tr>
        <w:trPr>
          <w:tblHeader w:val="true"/>
        </w:trPr>
        <w:tc>
          <w:tcPr>
            <w:tcW w:type="dxa" w:w="5250"/>
          </w:tcPr>
          <w:p>
            <w:pPr>
              <w:pStyle w:val="Compact"/>
              <w:jc w:val="left"/>
            </w:pPr>
            <w:r>
              <w:t xml:space="preserve">List</w:t>
            </w:r>
          </w:p>
        </w:tc>
        <w:tc>
          <w:tcPr>
            <w:tcW w:type="dxa" w:w="3750"/>
          </w:tcPr>
          <w:p>
            <w:pPr>
              <w:pStyle w:val="Compact"/>
              <w:jc w:val="left"/>
            </w:pPr>
            <w:r>
              <w:t xml:space="preserve">Stocks</w:t>
            </w:r>
          </w:p>
        </w:tc>
      </w:tr>
      <w:tr>
        <w:tc>
          <w:tcPr>
            <w:tcW w:type="dxa" w:w="5250"/>
          </w:tcPr>
          <w:p>
            <w:pPr>
              <w:pStyle w:val="Compact"/>
              <w:jc w:val="left"/>
            </w:pPr>
            <w:r>
              <w:t xml:space="preserve">Preliminary list, Nov 2025 (data as of 31 Dec 2024), later constituents (15)</w:t>
            </w:r>
          </w:p>
        </w:tc>
        <w:tc>
          <w:tcPr>
            <w:tcW w:type="dxa" w:w="3750"/>
          </w:tcPr>
          <w:p>
            <w:pPr>
              <w:pStyle w:val="Compact"/>
              <w:jc w:val="left"/>
            </w:pPr>
            <w:r>
              <w:t xml:space="preserve">GEX, HPG, MSN, SHB, SSI, STB, VCB, VCI, VHM, VIC, VIX, VJC, VND, VNM, VRE</w:t>
            </w:r>
          </w:p>
        </w:tc>
      </w:tr>
      <w:tr>
        <w:tc>
          <w:tcPr>
            <w:tcW w:type="dxa" w:w="5250"/>
          </w:tcPr>
          <w:p>
            <w:pPr>
              <w:pStyle w:val="Compact"/>
              <w:jc w:val="left"/>
            </w:pPr>
            <w:r>
              <w:t xml:space="preserve">Preliminary list, not included (12 on HOSE)</w:t>
            </w:r>
          </w:p>
        </w:tc>
        <w:tc>
          <w:tcPr>
            <w:tcW w:type="dxa" w:w="3750"/>
          </w:tcPr>
          <w:p>
            <w:pPr>
              <w:pStyle w:val="Compact"/>
              <w:jc w:val="left"/>
            </w:pPr>
            <w:r>
              <w:t xml:space="preserve">DGC, DIG, DPM, DXG, EIB, FRT, KBC, KDC, KDH, PDR, PLX, SAB (HUT trades on the Hanoi exchange)</w:t>
            </w:r>
          </w:p>
        </w:tc>
      </w:tr>
      <w:tr>
        <w:tc>
          <w:tcPr>
            <w:tcW w:type="dxa" w:w="5250"/>
          </w:tcPr>
          <w:p>
            <w:pPr>
              <w:pStyle w:val="Compact"/>
              <w:jc w:val="left"/>
            </w:pPr>
            <w:r>
              <w:t xml:space="preserve">Added to the April 2026 list (data as of 31 Dec 2025)</w:t>
            </w:r>
          </w:p>
        </w:tc>
        <w:tc>
          <w:tcPr>
            <w:tcW w:type="dxa" w:w="3750"/>
          </w:tcPr>
          <w:p>
            <w:pPr>
              <w:pStyle w:val="Compact"/>
              <w:jc w:val="left"/>
            </w:pPr>
            <w:r>
              <w:t xml:space="preserve">BID, FPT, NVL (later constituents); GEE, BSR (not included); PLX removed</w:t>
            </w:r>
          </w:p>
        </w:tc>
      </w:tr>
      <w:tr>
        <w:tc>
          <w:tcPr>
            <w:tcW w:type="dxa" w:w="5250"/>
          </w:tcPr>
          <w:p>
            <w:pPr>
              <w:pStyle w:val="Compact"/>
              <w:jc w:val="left"/>
            </w:pPr>
            <w:r>
              <w:t xml:space="preserve">Constituents on neither list</w:t>
            </w:r>
          </w:p>
        </w:tc>
        <w:tc>
          <w:tcPr>
            <w:tcW w:type="dxa" w:w="3750"/>
          </w:tcPr>
          <w:p>
            <w:pPr>
              <w:pStyle w:val="Compact"/>
              <w:jc w:val="left"/>
            </w:pPr>
            <w:r>
              <w:t xml:space="preserve">HCM, HDB, MCH, MSB, SSB, VPB (in sample); TCX, VCK, VPL (listed after Oct 2025)</w:t>
            </w:r>
          </w:p>
        </w:tc>
      </w:tr>
    </w:tbl>
    <w:p>
      <w:pPr>
        <w:pStyle w:val="BodyText"/>
      </w:pPr>
      <w:r>
        <w:rPr>
          <w:i/>
          <w:iCs/>
        </w:rPr>
        <w:t xml:space="preserve">Sources</w:t>
      </w:r>
      <w:r>
        <w:t xml:space="preserve">: Viet Nam News (2025); The Investor (2026a, 2026b); FTSE Russell (2026); VIR (2026).</w:t>
      </w:r>
    </w:p>
    <w:p>
      <w:pPr>
        <w:pStyle w:val="BodyText"/>
        <w:keepNext/>
      </w:pPr>
      <w:r>
        <w:rPr>
          <w:b/>
          <w:bCs/>
        </w:rPr>
        <w:t xml:space="preserve">Table A.2. Covariate balance before and after matching, constituents vs never-named stocks</w:t>
      </w:r>
    </w:p>
    <w:tbl>
      <w:tblPr>
        <w:tblStyle w:val="Table"/>
        <w:tblW w:type="dxa" w:w="9000"/>
        <w:jc w:val="start"/>
        <w:tblLayout w:type="fixed"/>
        <w:tblLook w:firstRow="1" w:lastRow="0" w:firstColumn="0" w:lastColumn="0" w:noHBand="0" w:noVBand="0" w:val="0020"/>
      </w:tblPr>
      <w:tblGrid>
        <w:gridCol w:w="1851"/>
        <w:gridCol w:w="1470"/>
        <w:gridCol w:w="1492"/>
        <w:gridCol w:w="988"/>
        <w:gridCol w:w="1830"/>
        <w:gridCol w:w="1367"/>
      </w:tblGrid>
      <w:tr>
        <w:trPr>
          <w:tblHeader w:val="true"/>
        </w:trPr>
        <w:tc>
          <w:tcPr>
            <w:tcW w:type="dxa" w:w="1851"/>
          </w:tcPr>
          <w:p>
            <w:pPr>
              <w:pStyle w:val="Compact"/>
              <w:jc w:val="left"/>
            </w:pPr>
            <w:r>
              <w:t xml:space="preserve">Variable</w:t>
            </w:r>
          </w:p>
        </w:tc>
        <w:tc>
          <w:tcPr>
            <w:tcW w:type="dxa" w:w="1470"/>
          </w:tcPr>
          <w:p>
            <w:pPr>
              <w:pStyle w:val="Compact"/>
              <w:jc w:val="center"/>
            </w:pPr>
            <w:r>
              <w:t xml:space="preserve">Constituents</w:t>
            </w:r>
          </w:p>
        </w:tc>
        <w:tc>
          <w:tcPr>
            <w:tcW w:type="dxa" w:w="1492"/>
          </w:tcPr>
          <w:p>
            <w:pPr>
              <w:pStyle w:val="Compact"/>
              <w:jc w:val="center"/>
            </w:pPr>
            <w:r>
              <w:t xml:space="preserve">Controls, all</w:t>
            </w:r>
          </w:p>
        </w:tc>
        <w:tc>
          <w:tcPr>
            <w:tcW w:type="dxa" w:w="988"/>
          </w:tcPr>
          <w:p>
            <w:pPr>
              <w:pStyle w:val="Compact"/>
              <w:jc w:val="center"/>
            </w:pPr>
            <w:r>
              <w:t xml:space="preserve">SMD, all</w:t>
            </w:r>
          </w:p>
        </w:tc>
        <w:tc>
          <w:tcPr>
            <w:tcW w:type="dxa" w:w="1830"/>
          </w:tcPr>
          <w:p>
            <w:pPr>
              <w:pStyle w:val="Compact"/>
              <w:jc w:val="center"/>
            </w:pPr>
            <w:r>
              <w:t xml:space="preserve">Controls, matched</w:t>
            </w:r>
          </w:p>
        </w:tc>
        <w:tc>
          <w:tcPr>
            <w:tcW w:type="dxa" w:w="1367"/>
          </w:tcPr>
          <w:p>
            <w:pPr>
              <w:pStyle w:val="Compact"/>
              <w:jc w:val="center"/>
            </w:pPr>
            <w:r>
              <w:t xml:space="preserve">SMD, matched</w:t>
            </w:r>
          </w:p>
        </w:tc>
      </w:tr>
      <w:tr>
        <w:tc>
          <w:tcPr>
            <w:tcW w:type="dxa" w:w="1851"/>
          </w:tcPr>
          <w:p>
            <w:pPr>
              <w:pStyle w:val="Compact"/>
              <w:jc w:val="left"/>
            </w:pPr>
            <w:r>
              <w:t xml:space="preserve">Propensity score</w:t>
            </w:r>
          </w:p>
        </w:tc>
        <w:tc>
          <w:tcPr>
            <w:tcW w:type="dxa" w:w="1470"/>
          </w:tcPr>
          <w:p>
            <w:pPr>
              <w:pStyle w:val="Compact"/>
              <w:jc w:val="center"/>
            </w:pPr>
            <w:r>
              <w:t xml:space="preserve">0.522</w:t>
            </w:r>
          </w:p>
        </w:tc>
        <w:tc>
          <w:tcPr>
            <w:tcW w:type="dxa" w:w="1492"/>
          </w:tcPr>
          <w:p>
            <w:pPr>
              <w:pStyle w:val="Compact"/>
              <w:jc w:val="center"/>
            </w:pPr>
            <w:r>
              <w:t xml:space="preserve">0.035</w:t>
            </w:r>
          </w:p>
        </w:tc>
        <w:tc>
          <w:tcPr>
            <w:tcW w:type="dxa" w:w="988"/>
          </w:tcPr>
          <w:p>
            <w:pPr>
              <w:pStyle w:val="Compact"/>
              <w:jc w:val="center"/>
            </w:pPr>
            <w:r>
              <w:t xml:space="preserve">1.80</w:t>
            </w:r>
          </w:p>
        </w:tc>
        <w:tc>
          <w:tcPr>
            <w:tcW w:type="dxa" w:w="1830"/>
          </w:tcPr>
          <w:p>
            <w:pPr>
              <w:pStyle w:val="Compact"/>
              <w:jc w:val="center"/>
            </w:pPr>
            <w:r>
              <w:t xml:space="preserve">0.500</w:t>
            </w:r>
          </w:p>
        </w:tc>
        <w:tc>
          <w:tcPr>
            <w:tcW w:type="dxa" w:w="1367"/>
          </w:tcPr>
          <w:p>
            <w:pPr>
              <w:pStyle w:val="Compact"/>
              <w:jc w:val="center"/>
            </w:pPr>
            <w:r>
              <w:t xml:space="preserve">0.08</w:t>
            </w:r>
          </w:p>
        </w:tc>
      </w:tr>
      <w:tr>
        <w:tc>
          <w:tcPr>
            <w:tcW w:type="dxa" w:w="1851"/>
          </w:tcPr>
          <w:p>
            <w:pPr>
              <w:pStyle w:val="Compact"/>
              <w:jc w:val="left"/>
            </w:pPr>
            <w:r>
              <w:t xml:space="preserve">Log trading value</w:t>
            </w:r>
          </w:p>
        </w:tc>
        <w:tc>
          <w:tcPr>
            <w:tcW w:type="dxa" w:w="1470"/>
          </w:tcPr>
          <w:p>
            <w:pPr>
              <w:pStyle w:val="Compact"/>
              <w:jc w:val="center"/>
            </w:pPr>
            <w:r>
              <w:t xml:space="preserve">5.170</w:t>
            </w:r>
          </w:p>
        </w:tc>
        <w:tc>
          <w:tcPr>
            <w:tcW w:type="dxa" w:w="1492"/>
          </w:tcPr>
          <w:p>
            <w:pPr>
              <w:pStyle w:val="Compact"/>
              <w:jc w:val="center"/>
            </w:pPr>
            <w:r>
              <w:t xml:space="preserve">1.585</w:t>
            </w:r>
          </w:p>
        </w:tc>
        <w:tc>
          <w:tcPr>
            <w:tcW w:type="dxa" w:w="988"/>
          </w:tcPr>
          <w:p>
            <w:pPr>
              <w:pStyle w:val="Compact"/>
              <w:jc w:val="center"/>
            </w:pPr>
            <w:r>
              <w:t xml:space="preserve">4.06</w:t>
            </w:r>
          </w:p>
        </w:tc>
        <w:tc>
          <w:tcPr>
            <w:tcW w:type="dxa" w:w="1830"/>
          </w:tcPr>
          <w:p>
            <w:pPr>
              <w:pStyle w:val="Compact"/>
              <w:jc w:val="center"/>
            </w:pPr>
            <w:r>
              <w:t xml:space="preserve">5.132</w:t>
            </w:r>
          </w:p>
        </w:tc>
        <w:tc>
          <w:tcPr>
            <w:tcW w:type="dxa" w:w="1367"/>
          </w:tcPr>
          <w:p>
            <w:pPr>
              <w:pStyle w:val="Compact"/>
              <w:jc w:val="center"/>
            </w:pPr>
            <w:r>
              <w:t xml:space="preserve">0.04</w:t>
            </w:r>
          </w:p>
        </w:tc>
      </w:tr>
      <w:tr>
        <w:tc>
          <w:tcPr>
            <w:tcW w:type="dxa" w:w="1851"/>
          </w:tcPr>
          <w:p>
            <w:pPr>
              <w:pStyle w:val="Compact"/>
              <w:jc w:val="left"/>
            </w:pPr>
            <w:r>
              <w:t xml:space="preserve">Log median price</w:t>
            </w:r>
          </w:p>
        </w:tc>
        <w:tc>
          <w:tcPr>
            <w:tcW w:type="dxa" w:w="1470"/>
          </w:tcPr>
          <w:p>
            <w:pPr>
              <w:pStyle w:val="Compact"/>
              <w:jc w:val="center"/>
            </w:pPr>
            <w:r>
              <w:t xml:space="preserve">3.228</w:t>
            </w:r>
          </w:p>
        </w:tc>
        <w:tc>
          <w:tcPr>
            <w:tcW w:type="dxa" w:w="1492"/>
          </w:tcPr>
          <w:p>
            <w:pPr>
              <w:pStyle w:val="Compact"/>
              <w:jc w:val="center"/>
            </w:pPr>
            <w:r>
              <w:t xml:space="preserve">2.725</w:t>
            </w:r>
          </w:p>
        </w:tc>
        <w:tc>
          <w:tcPr>
            <w:tcW w:type="dxa" w:w="988"/>
          </w:tcPr>
          <w:p>
            <w:pPr>
              <w:pStyle w:val="Compact"/>
              <w:jc w:val="center"/>
            </w:pPr>
            <w:r>
              <w:t xml:space="preserve">0.66</w:t>
            </w:r>
          </w:p>
        </w:tc>
        <w:tc>
          <w:tcPr>
            <w:tcW w:type="dxa" w:w="1830"/>
          </w:tcPr>
          <w:p>
            <w:pPr>
              <w:pStyle w:val="Compact"/>
              <w:jc w:val="center"/>
            </w:pPr>
            <w:r>
              <w:t xml:space="preserve">3.061</w:t>
            </w:r>
          </w:p>
        </w:tc>
        <w:tc>
          <w:tcPr>
            <w:tcW w:type="dxa" w:w="1367"/>
          </w:tcPr>
          <w:p>
            <w:pPr>
              <w:pStyle w:val="Compact"/>
              <w:jc w:val="center"/>
            </w:pPr>
            <w:r>
              <w:t xml:space="preserve">0.22</w:t>
            </w:r>
          </w:p>
        </w:tc>
      </w:tr>
      <w:tr>
        <w:tc>
          <w:tcPr>
            <w:tcW w:type="dxa" w:w="1851"/>
          </w:tcPr>
          <w:p>
            <w:pPr>
              <w:pStyle w:val="Compact"/>
              <w:jc w:val="left"/>
            </w:pPr>
            <w:r>
              <w:t xml:space="preserve">Return volatility</w:t>
            </w:r>
          </w:p>
        </w:tc>
        <w:tc>
          <w:tcPr>
            <w:tcW w:type="dxa" w:w="1470"/>
          </w:tcPr>
          <w:p>
            <w:pPr>
              <w:pStyle w:val="Compact"/>
              <w:jc w:val="center"/>
            </w:pPr>
            <w:r>
              <w:t xml:space="preserve">0.0206</w:t>
            </w:r>
          </w:p>
        </w:tc>
        <w:tc>
          <w:tcPr>
            <w:tcW w:type="dxa" w:w="1492"/>
          </w:tcPr>
          <w:p>
            <w:pPr>
              <w:pStyle w:val="Compact"/>
              <w:jc w:val="center"/>
            </w:pPr>
            <w:r>
              <w:t xml:space="preserve">0.0207</w:t>
            </w:r>
          </w:p>
        </w:tc>
        <w:tc>
          <w:tcPr>
            <w:tcW w:type="dxa" w:w="988"/>
          </w:tcPr>
          <w:p>
            <w:pPr>
              <w:pStyle w:val="Compact"/>
              <w:jc w:val="center"/>
            </w:pPr>
            <w:r>
              <w:t xml:space="preserve">−0.03</w:t>
            </w:r>
          </w:p>
        </w:tc>
        <w:tc>
          <w:tcPr>
            <w:tcW w:type="dxa" w:w="1830"/>
          </w:tcPr>
          <w:p>
            <w:pPr>
              <w:pStyle w:val="Compact"/>
              <w:jc w:val="center"/>
            </w:pPr>
            <w:r>
              <w:t xml:space="preserve">0.0194</w:t>
            </w:r>
          </w:p>
        </w:tc>
        <w:tc>
          <w:tcPr>
            <w:tcW w:type="dxa" w:w="1367"/>
          </w:tcPr>
          <w:p>
            <w:pPr>
              <w:pStyle w:val="Compact"/>
              <w:jc w:val="center"/>
            </w:pPr>
            <w:r>
              <w:t xml:space="preserve">0.33</w:t>
            </w:r>
          </w:p>
        </w:tc>
      </w:tr>
    </w:tbl>
    <w:p>
      <w:pPr>
        <w:pStyle w:val="BodyText"/>
      </w:pPr>
      <w:r>
        <w:rPr>
          <w:i/>
          <w:iCs/>
        </w:rPr>
        <w:t xml:space="preserve">Notes</w:t>
      </w:r>
      <w:r>
        <w:t xml:space="preserve">: Pre-period means (log trading value is the mean daily log of 1 plus traded value in VND billion) and standardized mean differences (SMD); log price and volatility stay above 0.10 after matching, so the matched estimates are paired with the size-by-week and trend specifications. Source: Authors’ calculations.</w:t>
      </w:r>
    </w:p>
    <w:p>
      <w:pPr>
        <w:pStyle w:val="BodyText"/>
        <w:keepNext/>
      </w:pPr>
      <w:r>
        <w:rPr>
          <w:b/>
          <w:bCs/>
        </w:rPr>
        <w:t xml:space="preserve">Table A.3. Change in log Amihud of named-but-excluded stocks, by screening window</w:t>
      </w:r>
    </w:p>
    <w:tbl>
      <w:tblPr>
        <w:tblStyle w:val="Table"/>
        <w:tblW w:type="dxa" w:w="9000"/>
        <w:jc w:val="start"/>
        <w:tblLayout w:type="fixed"/>
        <w:tblLook w:firstRow="1" w:lastRow="0" w:firstColumn="0" w:lastColumn="0" w:noHBand="0" w:noVBand="0" w:val="0020"/>
      </w:tblPr>
      <w:tblGrid>
        <w:gridCol w:w="1536"/>
        <w:gridCol w:w="2853"/>
        <w:gridCol w:w="1536"/>
        <w:gridCol w:w="1536"/>
        <w:gridCol w:w="1536"/>
      </w:tblGrid>
      <w:tr>
        <w:trPr>
          <w:tblHeader w:val="true"/>
        </w:trPr>
        <w:tc>
          <w:tcPr>
            <w:tcW w:type="dxa" w:w="1536"/>
          </w:tcPr>
          <w:p>
            <w:pPr>
              <w:pStyle w:val="Compact"/>
              <w:jc w:val="left"/>
            </w:pPr>
            <w:r>
              <w:t xml:space="preserve">Stock</w:t>
            </w:r>
          </w:p>
        </w:tc>
        <w:tc>
          <w:tcPr>
            <w:tcW w:type="dxa" w:w="2853"/>
          </w:tcPr>
          <w:p>
            <w:pPr>
              <w:pStyle w:val="Compact"/>
              <w:jc w:val="center"/>
            </w:pPr>
            <w:r>
              <w:t xml:space="preserve">First named</w:t>
            </w:r>
          </w:p>
        </w:tc>
        <w:tc>
          <w:tcPr>
            <w:tcW w:type="dxa" w:w="1536"/>
          </w:tcPr>
          <w:p>
            <w:pPr>
              <w:pStyle w:val="Compact"/>
              <w:jc w:val="center"/>
            </w:pPr>
            <w:r>
              <w:t xml:space="preserve">S1</w:t>
            </w:r>
          </w:p>
        </w:tc>
        <w:tc>
          <w:tcPr>
            <w:tcW w:type="dxa" w:w="1536"/>
          </w:tcPr>
          <w:p>
            <w:pPr>
              <w:pStyle w:val="Compact"/>
              <w:jc w:val="center"/>
            </w:pPr>
            <w:r>
              <w:t xml:space="preserve">S2</w:t>
            </w:r>
          </w:p>
        </w:tc>
        <w:tc>
          <w:tcPr>
            <w:tcW w:type="dxa" w:w="1536"/>
          </w:tcPr>
          <w:p>
            <w:pPr>
              <w:pStyle w:val="Compact"/>
              <w:jc w:val="center"/>
            </w:pPr>
            <w:r>
              <w:t xml:space="preserve">S3</w:t>
            </w:r>
          </w:p>
        </w:tc>
      </w:tr>
      <w:tr>
        <w:tc>
          <w:tcPr>
            <w:tcW w:type="dxa" w:w="1536"/>
          </w:tcPr>
          <w:p>
            <w:pPr>
              <w:pStyle w:val="Compact"/>
              <w:jc w:val="left"/>
            </w:pPr>
            <w:r>
              <w:t xml:space="preserve">BSR</w:t>
            </w:r>
          </w:p>
        </w:tc>
        <w:tc>
          <w:tcPr>
            <w:tcW w:type="dxa" w:w="2853"/>
          </w:tcPr>
          <w:p>
            <w:pPr>
              <w:pStyle w:val="Compact"/>
              <w:jc w:val="center"/>
            </w:pPr>
            <w:r>
              <w:t xml:space="preserve">Apr 2026</w:t>
            </w:r>
          </w:p>
        </w:tc>
        <w:tc>
          <w:tcPr>
            <w:tcW w:type="dxa" w:w="1536"/>
          </w:tcPr>
          <w:p>
            <w:pPr>
              <w:pStyle w:val="Compact"/>
              <w:jc w:val="center"/>
            </w:pPr>
            <w:r>
              <w:t xml:space="preserve">−0.39</w:t>
            </w:r>
          </w:p>
        </w:tc>
        <w:tc>
          <w:tcPr>
            <w:tcW w:type="dxa" w:w="1536"/>
          </w:tcPr>
          <w:p>
            <w:pPr>
              <w:pStyle w:val="Compact"/>
              <w:jc w:val="center"/>
            </w:pPr>
            <w:r>
              <w:t xml:space="preserve">−1.68</w:t>
            </w:r>
          </w:p>
        </w:tc>
        <w:tc>
          <w:tcPr>
            <w:tcW w:type="dxa" w:w="1536"/>
          </w:tcPr>
          <w:p>
            <w:pPr>
              <w:pStyle w:val="Compact"/>
              <w:jc w:val="center"/>
            </w:pPr>
            <w:r>
              <w:t xml:space="preserve">−1.81</w:t>
            </w:r>
          </w:p>
        </w:tc>
      </w:tr>
      <w:tr>
        <w:tc>
          <w:tcPr>
            <w:tcW w:type="dxa" w:w="1536"/>
          </w:tcPr>
          <w:p>
            <w:pPr>
              <w:pStyle w:val="Compact"/>
              <w:jc w:val="left"/>
            </w:pPr>
            <w:r>
              <w:t xml:space="preserve">GEE</w:t>
            </w:r>
          </w:p>
        </w:tc>
        <w:tc>
          <w:tcPr>
            <w:tcW w:type="dxa" w:w="2853"/>
          </w:tcPr>
          <w:p>
            <w:pPr>
              <w:pStyle w:val="Compact"/>
              <w:jc w:val="center"/>
            </w:pPr>
            <w:r>
              <w:t xml:space="preserve">Apr 2026</w:t>
            </w:r>
          </w:p>
        </w:tc>
        <w:tc>
          <w:tcPr>
            <w:tcW w:type="dxa" w:w="1536"/>
          </w:tcPr>
          <w:p>
            <w:pPr>
              <w:pStyle w:val="Compact"/>
              <w:jc w:val="center"/>
            </w:pPr>
            <w:r>
              <w:t xml:space="preserve">−1.83</w:t>
            </w:r>
          </w:p>
        </w:tc>
        <w:tc>
          <w:tcPr>
            <w:tcW w:type="dxa" w:w="1536"/>
          </w:tcPr>
          <w:p>
            <w:pPr>
              <w:pStyle w:val="Compact"/>
              <w:jc w:val="center"/>
            </w:pPr>
            <w:r>
              <w:t xml:space="preserve">−1.59</w:t>
            </w:r>
          </w:p>
        </w:tc>
        <w:tc>
          <w:tcPr>
            <w:tcW w:type="dxa" w:w="1536"/>
          </w:tcPr>
          <w:p>
            <w:pPr>
              <w:pStyle w:val="Compact"/>
              <w:jc w:val="center"/>
            </w:pPr>
            <w:r>
              <w:t xml:space="preserve">−2.98</w:t>
            </w:r>
          </w:p>
        </w:tc>
      </w:tr>
      <w:tr>
        <w:tc>
          <w:tcPr>
            <w:tcW w:type="dxa" w:w="1536"/>
          </w:tcPr>
          <w:p>
            <w:pPr>
              <w:pStyle w:val="Compact"/>
              <w:jc w:val="left"/>
            </w:pPr>
            <w:r>
              <w:t xml:space="preserve">DGC</w:t>
            </w:r>
          </w:p>
        </w:tc>
        <w:tc>
          <w:tcPr>
            <w:tcW w:type="dxa" w:w="2853"/>
          </w:tcPr>
          <w:p>
            <w:pPr>
              <w:pStyle w:val="Compact"/>
              <w:jc w:val="center"/>
            </w:pPr>
            <w:r>
              <w:t xml:space="preserve">Nov 2025</w:t>
            </w:r>
          </w:p>
        </w:tc>
        <w:tc>
          <w:tcPr>
            <w:tcW w:type="dxa" w:w="1536"/>
          </w:tcPr>
          <w:p>
            <w:pPr>
              <w:pStyle w:val="Compact"/>
              <w:jc w:val="center"/>
            </w:pPr>
            <w:r>
              <w:t xml:space="preserve">0.11</w:t>
            </w:r>
          </w:p>
        </w:tc>
        <w:tc>
          <w:tcPr>
            <w:tcW w:type="dxa" w:w="1536"/>
          </w:tcPr>
          <w:p>
            <w:pPr>
              <w:pStyle w:val="Compact"/>
              <w:jc w:val="center"/>
            </w:pPr>
            <w:r>
              <w:t xml:space="preserve">0.18</w:t>
            </w:r>
          </w:p>
        </w:tc>
        <w:tc>
          <w:tcPr>
            <w:tcW w:type="dxa" w:w="1536"/>
          </w:tcPr>
          <w:p>
            <w:pPr>
              <w:pStyle w:val="Compact"/>
              <w:jc w:val="center"/>
            </w:pPr>
            <w:r>
              <w:t xml:space="preserve">1.20</w:t>
            </w:r>
          </w:p>
        </w:tc>
      </w:tr>
      <w:tr>
        <w:tc>
          <w:tcPr>
            <w:tcW w:type="dxa" w:w="1536"/>
          </w:tcPr>
          <w:p>
            <w:pPr>
              <w:pStyle w:val="Compact"/>
              <w:jc w:val="left"/>
            </w:pPr>
            <w:r>
              <w:t xml:space="preserve">DIG</w:t>
            </w:r>
          </w:p>
        </w:tc>
        <w:tc>
          <w:tcPr>
            <w:tcW w:type="dxa" w:w="2853"/>
          </w:tcPr>
          <w:p>
            <w:pPr>
              <w:pStyle w:val="Compact"/>
              <w:jc w:val="center"/>
            </w:pPr>
            <w:r>
              <w:t xml:space="preserve">Nov 2025</w:t>
            </w:r>
          </w:p>
        </w:tc>
        <w:tc>
          <w:tcPr>
            <w:tcW w:type="dxa" w:w="1536"/>
          </w:tcPr>
          <w:p>
            <w:pPr>
              <w:pStyle w:val="Compact"/>
              <w:jc w:val="center"/>
            </w:pPr>
            <w:r>
              <w:t xml:space="preserve">−0.01</w:t>
            </w:r>
          </w:p>
        </w:tc>
        <w:tc>
          <w:tcPr>
            <w:tcW w:type="dxa" w:w="1536"/>
          </w:tcPr>
          <w:p>
            <w:pPr>
              <w:pStyle w:val="Compact"/>
              <w:jc w:val="center"/>
            </w:pPr>
            <w:r>
              <w:t xml:space="preserve">0.04</w:t>
            </w:r>
          </w:p>
        </w:tc>
        <w:tc>
          <w:tcPr>
            <w:tcW w:type="dxa" w:w="1536"/>
          </w:tcPr>
          <w:p>
            <w:pPr>
              <w:pStyle w:val="Compact"/>
              <w:jc w:val="center"/>
            </w:pPr>
            <w:r>
              <w:t xml:space="preserve">0.19</w:t>
            </w:r>
          </w:p>
        </w:tc>
      </w:tr>
      <w:tr>
        <w:tc>
          <w:tcPr>
            <w:tcW w:type="dxa" w:w="1536"/>
          </w:tcPr>
          <w:p>
            <w:pPr>
              <w:pStyle w:val="Compact"/>
              <w:jc w:val="left"/>
            </w:pPr>
            <w:r>
              <w:t xml:space="preserve">DPM</w:t>
            </w:r>
          </w:p>
        </w:tc>
        <w:tc>
          <w:tcPr>
            <w:tcW w:type="dxa" w:w="2853"/>
          </w:tcPr>
          <w:p>
            <w:pPr>
              <w:pStyle w:val="Compact"/>
              <w:jc w:val="center"/>
            </w:pPr>
            <w:r>
              <w:t xml:space="preserve">Nov 2025</w:t>
            </w:r>
          </w:p>
        </w:tc>
        <w:tc>
          <w:tcPr>
            <w:tcW w:type="dxa" w:w="1536"/>
          </w:tcPr>
          <w:p>
            <w:pPr>
              <w:pStyle w:val="Compact"/>
              <w:jc w:val="center"/>
            </w:pPr>
            <w:r>
              <w:t xml:space="preserve">−0.21</w:t>
            </w:r>
          </w:p>
        </w:tc>
        <w:tc>
          <w:tcPr>
            <w:tcW w:type="dxa" w:w="1536"/>
          </w:tcPr>
          <w:p>
            <w:pPr>
              <w:pStyle w:val="Compact"/>
              <w:jc w:val="center"/>
            </w:pPr>
            <w:r>
              <w:t xml:space="preserve">−0.86</w:t>
            </w:r>
          </w:p>
        </w:tc>
        <w:tc>
          <w:tcPr>
            <w:tcW w:type="dxa" w:w="1536"/>
          </w:tcPr>
          <w:p>
            <w:pPr>
              <w:pStyle w:val="Compact"/>
              <w:jc w:val="center"/>
            </w:pPr>
            <w:r>
              <w:t xml:space="preserve">−0.74</w:t>
            </w:r>
          </w:p>
        </w:tc>
      </w:tr>
      <w:tr>
        <w:tc>
          <w:tcPr>
            <w:tcW w:type="dxa" w:w="1536"/>
          </w:tcPr>
          <w:p>
            <w:pPr>
              <w:pStyle w:val="Compact"/>
              <w:jc w:val="left"/>
            </w:pPr>
            <w:r>
              <w:t xml:space="preserve">DXG</w:t>
            </w:r>
          </w:p>
        </w:tc>
        <w:tc>
          <w:tcPr>
            <w:tcW w:type="dxa" w:w="2853"/>
          </w:tcPr>
          <w:p>
            <w:pPr>
              <w:pStyle w:val="Compact"/>
              <w:jc w:val="center"/>
            </w:pPr>
            <w:r>
              <w:t xml:space="preserve">Nov 2025</w:t>
            </w:r>
          </w:p>
        </w:tc>
        <w:tc>
          <w:tcPr>
            <w:tcW w:type="dxa" w:w="1536"/>
          </w:tcPr>
          <w:p>
            <w:pPr>
              <w:pStyle w:val="Compact"/>
              <w:jc w:val="center"/>
            </w:pPr>
            <w:r>
              <w:t xml:space="preserve">−0.02</w:t>
            </w:r>
          </w:p>
        </w:tc>
        <w:tc>
          <w:tcPr>
            <w:tcW w:type="dxa" w:w="1536"/>
          </w:tcPr>
          <w:p>
            <w:pPr>
              <w:pStyle w:val="Compact"/>
              <w:jc w:val="center"/>
            </w:pPr>
            <w:r>
              <w:t xml:space="preserve">−0.12</w:t>
            </w:r>
          </w:p>
        </w:tc>
        <w:tc>
          <w:tcPr>
            <w:tcW w:type="dxa" w:w="1536"/>
          </w:tcPr>
          <w:p>
            <w:pPr>
              <w:pStyle w:val="Compact"/>
              <w:jc w:val="center"/>
            </w:pPr>
            <w:r>
              <w:t xml:space="preserve">−0.32</w:t>
            </w:r>
          </w:p>
        </w:tc>
      </w:tr>
      <w:tr>
        <w:tc>
          <w:tcPr>
            <w:tcW w:type="dxa" w:w="1536"/>
          </w:tcPr>
          <w:p>
            <w:pPr>
              <w:pStyle w:val="Compact"/>
              <w:jc w:val="left"/>
            </w:pPr>
            <w:r>
              <w:t xml:space="preserve">EIB</w:t>
            </w:r>
          </w:p>
        </w:tc>
        <w:tc>
          <w:tcPr>
            <w:tcW w:type="dxa" w:w="2853"/>
          </w:tcPr>
          <w:p>
            <w:pPr>
              <w:pStyle w:val="Compact"/>
              <w:jc w:val="center"/>
            </w:pPr>
            <w:r>
              <w:t xml:space="preserve">Nov 2025</w:t>
            </w:r>
          </w:p>
        </w:tc>
        <w:tc>
          <w:tcPr>
            <w:tcW w:type="dxa" w:w="1536"/>
          </w:tcPr>
          <w:p>
            <w:pPr>
              <w:pStyle w:val="Compact"/>
              <w:jc w:val="center"/>
            </w:pPr>
            <w:r>
              <w:t xml:space="preserve">0.22</w:t>
            </w:r>
          </w:p>
        </w:tc>
        <w:tc>
          <w:tcPr>
            <w:tcW w:type="dxa" w:w="1536"/>
          </w:tcPr>
          <w:p>
            <w:pPr>
              <w:pStyle w:val="Compact"/>
              <w:jc w:val="center"/>
            </w:pPr>
            <w:r>
              <w:t xml:space="preserve">−0.24</w:t>
            </w:r>
          </w:p>
        </w:tc>
        <w:tc>
          <w:tcPr>
            <w:tcW w:type="dxa" w:w="1536"/>
          </w:tcPr>
          <w:p>
            <w:pPr>
              <w:pStyle w:val="Compact"/>
              <w:jc w:val="center"/>
            </w:pPr>
            <w:r>
              <w:t xml:space="preserve">−0.61</w:t>
            </w:r>
          </w:p>
        </w:tc>
      </w:tr>
      <w:tr>
        <w:tc>
          <w:tcPr>
            <w:tcW w:type="dxa" w:w="1536"/>
          </w:tcPr>
          <w:p>
            <w:pPr>
              <w:pStyle w:val="Compact"/>
              <w:jc w:val="left"/>
            </w:pPr>
            <w:r>
              <w:t xml:space="preserve">FRT</w:t>
            </w:r>
          </w:p>
        </w:tc>
        <w:tc>
          <w:tcPr>
            <w:tcW w:type="dxa" w:w="2853"/>
          </w:tcPr>
          <w:p>
            <w:pPr>
              <w:pStyle w:val="Compact"/>
              <w:jc w:val="center"/>
            </w:pPr>
            <w:r>
              <w:t xml:space="preserve">Nov 2025</w:t>
            </w:r>
          </w:p>
        </w:tc>
        <w:tc>
          <w:tcPr>
            <w:tcW w:type="dxa" w:w="1536"/>
          </w:tcPr>
          <w:p>
            <w:pPr>
              <w:pStyle w:val="Compact"/>
              <w:jc w:val="center"/>
            </w:pPr>
            <w:r>
              <w:t xml:space="preserve">−0.02</w:t>
            </w:r>
          </w:p>
        </w:tc>
        <w:tc>
          <w:tcPr>
            <w:tcW w:type="dxa" w:w="1536"/>
          </w:tcPr>
          <w:p>
            <w:pPr>
              <w:pStyle w:val="Compact"/>
              <w:jc w:val="center"/>
            </w:pPr>
            <w:r>
              <w:t xml:space="preserve">−0.10</w:t>
            </w:r>
          </w:p>
        </w:tc>
        <w:tc>
          <w:tcPr>
            <w:tcW w:type="dxa" w:w="1536"/>
          </w:tcPr>
          <w:p>
            <w:pPr>
              <w:pStyle w:val="Compact"/>
              <w:jc w:val="center"/>
            </w:pPr>
            <w:r>
              <w:t xml:space="preserve">−0.10</w:t>
            </w:r>
          </w:p>
        </w:tc>
      </w:tr>
      <w:tr>
        <w:tc>
          <w:tcPr>
            <w:tcW w:type="dxa" w:w="1536"/>
          </w:tcPr>
          <w:p>
            <w:pPr>
              <w:pStyle w:val="Compact"/>
              <w:jc w:val="left"/>
            </w:pPr>
            <w:r>
              <w:t xml:space="preserve">KBC</w:t>
            </w:r>
          </w:p>
        </w:tc>
        <w:tc>
          <w:tcPr>
            <w:tcW w:type="dxa" w:w="2853"/>
          </w:tcPr>
          <w:p>
            <w:pPr>
              <w:pStyle w:val="Compact"/>
              <w:jc w:val="center"/>
            </w:pPr>
            <w:r>
              <w:t xml:space="preserve">Nov 2025</w:t>
            </w:r>
          </w:p>
        </w:tc>
        <w:tc>
          <w:tcPr>
            <w:tcW w:type="dxa" w:w="1536"/>
          </w:tcPr>
          <w:p>
            <w:pPr>
              <w:pStyle w:val="Compact"/>
              <w:jc w:val="center"/>
            </w:pPr>
            <w:r>
              <w:t xml:space="preserve">0.31</w:t>
            </w:r>
          </w:p>
        </w:tc>
        <w:tc>
          <w:tcPr>
            <w:tcW w:type="dxa" w:w="1536"/>
          </w:tcPr>
          <w:p>
            <w:pPr>
              <w:pStyle w:val="Compact"/>
              <w:jc w:val="center"/>
            </w:pPr>
            <w:r>
              <w:t xml:space="preserve">0.04</w:t>
            </w:r>
          </w:p>
        </w:tc>
        <w:tc>
          <w:tcPr>
            <w:tcW w:type="dxa" w:w="1536"/>
          </w:tcPr>
          <w:p>
            <w:pPr>
              <w:pStyle w:val="Compact"/>
              <w:jc w:val="center"/>
            </w:pPr>
            <w:r>
              <w:t xml:space="preserve">0.03</w:t>
            </w:r>
          </w:p>
        </w:tc>
      </w:tr>
      <w:tr>
        <w:tc>
          <w:tcPr>
            <w:tcW w:type="dxa" w:w="1536"/>
          </w:tcPr>
          <w:p>
            <w:pPr>
              <w:pStyle w:val="Compact"/>
              <w:jc w:val="left"/>
            </w:pPr>
            <w:r>
              <w:t xml:space="preserve">KDC</w:t>
            </w:r>
          </w:p>
        </w:tc>
        <w:tc>
          <w:tcPr>
            <w:tcW w:type="dxa" w:w="2853"/>
          </w:tcPr>
          <w:p>
            <w:pPr>
              <w:pStyle w:val="Compact"/>
              <w:jc w:val="center"/>
            </w:pPr>
            <w:r>
              <w:t xml:space="preserve">Nov 2025</w:t>
            </w:r>
          </w:p>
        </w:tc>
        <w:tc>
          <w:tcPr>
            <w:tcW w:type="dxa" w:w="1536"/>
          </w:tcPr>
          <w:p>
            <w:pPr>
              <w:pStyle w:val="Compact"/>
              <w:jc w:val="center"/>
            </w:pPr>
            <w:r>
              <w:t xml:space="preserve">0.66</w:t>
            </w:r>
          </w:p>
        </w:tc>
        <w:tc>
          <w:tcPr>
            <w:tcW w:type="dxa" w:w="1536"/>
          </w:tcPr>
          <w:p>
            <w:pPr>
              <w:pStyle w:val="Compact"/>
              <w:jc w:val="center"/>
            </w:pPr>
            <w:r>
              <w:t xml:space="preserve">0.46</w:t>
            </w:r>
          </w:p>
        </w:tc>
        <w:tc>
          <w:tcPr>
            <w:tcW w:type="dxa" w:w="1536"/>
          </w:tcPr>
          <w:p>
            <w:pPr>
              <w:pStyle w:val="Compact"/>
              <w:jc w:val="center"/>
            </w:pPr>
            <w:r>
              <w:t xml:space="preserve">0.10</w:t>
            </w:r>
          </w:p>
        </w:tc>
      </w:tr>
      <w:tr>
        <w:tc>
          <w:tcPr>
            <w:tcW w:type="dxa" w:w="1536"/>
          </w:tcPr>
          <w:p>
            <w:pPr>
              <w:pStyle w:val="Compact"/>
              <w:jc w:val="left"/>
            </w:pPr>
            <w:r>
              <w:t xml:space="preserve">KDH</w:t>
            </w:r>
          </w:p>
        </w:tc>
        <w:tc>
          <w:tcPr>
            <w:tcW w:type="dxa" w:w="2853"/>
          </w:tcPr>
          <w:p>
            <w:pPr>
              <w:pStyle w:val="Compact"/>
              <w:jc w:val="center"/>
            </w:pPr>
            <w:r>
              <w:t xml:space="preserve">Nov 2025</w:t>
            </w:r>
          </w:p>
        </w:tc>
        <w:tc>
          <w:tcPr>
            <w:tcW w:type="dxa" w:w="1536"/>
          </w:tcPr>
          <w:p>
            <w:pPr>
              <w:pStyle w:val="Compact"/>
              <w:jc w:val="center"/>
            </w:pPr>
            <w:r>
              <w:t xml:space="preserve">−0.33</w:t>
            </w:r>
          </w:p>
        </w:tc>
        <w:tc>
          <w:tcPr>
            <w:tcW w:type="dxa" w:w="1536"/>
          </w:tcPr>
          <w:p>
            <w:pPr>
              <w:pStyle w:val="Compact"/>
              <w:jc w:val="center"/>
            </w:pPr>
            <w:r>
              <w:t xml:space="preserve">−0.16</w:t>
            </w:r>
          </w:p>
        </w:tc>
        <w:tc>
          <w:tcPr>
            <w:tcW w:type="dxa" w:w="1536"/>
          </w:tcPr>
          <w:p>
            <w:pPr>
              <w:pStyle w:val="Compact"/>
              <w:jc w:val="center"/>
            </w:pPr>
            <w:r>
              <w:t xml:space="preserve">−0.47</w:t>
            </w:r>
          </w:p>
        </w:tc>
      </w:tr>
      <w:tr>
        <w:tc>
          <w:tcPr>
            <w:tcW w:type="dxa" w:w="1536"/>
          </w:tcPr>
          <w:p>
            <w:pPr>
              <w:pStyle w:val="Compact"/>
              <w:jc w:val="left"/>
            </w:pPr>
            <w:r>
              <w:t xml:space="preserve">PDR</w:t>
            </w:r>
          </w:p>
        </w:tc>
        <w:tc>
          <w:tcPr>
            <w:tcW w:type="dxa" w:w="2853"/>
          </w:tcPr>
          <w:p>
            <w:pPr>
              <w:pStyle w:val="Compact"/>
              <w:jc w:val="center"/>
            </w:pPr>
            <w:r>
              <w:t xml:space="preserve">Nov 2025</w:t>
            </w:r>
          </w:p>
        </w:tc>
        <w:tc>
          <w:tcPr>
            <w:tcW w:type="dxa" w:w="1536"/>
          </w:tcPr>
          <w:p>
            <w:pPr>
              <w:pStyle w:val="Compact"/>
              <w:jc w:val="center"/>
            </w:pPr>
            <w:r>
              <w:t xml:space="preserve">−0.25</w:t>
            </w:r>
          </w:p>
        </w:tc>
        <w:tc>
          <w:tcPr>
            <w:tcW w:type="dxa" w:w="1536"/>
          </w:tcPr>
          <w:p>
            <w:pPr>
              <w:pStyle w:val="Compact"/>
              <w:jc w:val="center"/>
            </w:pPr>
            <w:r>
              <w:t xml:space="preserve">−0.19</w:t>
            </w:r>
          </w:p>
        </w:tc>
        <w:tc>
          <w:tcPr>
            <w:tcW w:type="dxa" w:w="1536"/>
          </w:tcPr>
          <w:p>
            <w:pPr>
              <w:pStyle w:val="Compact"/>
              <w:jc w:val="center"/>
            </w:pPr>
            <w:r>
              <w:t xml:space="preserve">−0.50</w:t>
            </w:r>
          </w:p>
        </w:tc>
      </w:tr>
      <w:tr>
        <w:tc>
          <w:tcPr>
            <w:tcW w:type="dxa" w:w="1536"/>
          </w:tcPr>
          <w:p>
            <w:pPr>
              <w:pStyle w:val="Compact"/>
              <w:jc w:val="left"/>
            </w:pPr>
            <w:r>
              <w:t xml:space="preserve">PLX</w:t>
            </w:r>
          </w:p>
        </w:tc>
        <w:tc>
          <w:tcPr>
            <w:tcW w:type="dxa" w:w="2853"/>
          </w:tcPr>
          <w:p>
            <w:pPr>
              <w:pStyle w:val="Compact"/>
              <w:jc w:val="center"/>
            </w:pPr>
            <w:r>
              <w:t xml:space="preserve">Nov 2025</w:t>
            </w:r>
          </w:p>
        </w:tc>
        <w:tc>
          <w:tcPr>
            <w:tcW w:type="dxa" w:w="1536"/>
          </w:tcPr>
          <w:p>
            <w:pPr>
              <w:pStyle w:val="Compact"/>
              <w:jc w:val="center"/>
            </w:pPr>
            <w:r>
              <w:t xml:space="preserve">−0.37</w:t>
            </w:r>
          </w:p>
        </w:tc>
        <w:tc>
          <w:tcPr>
            <w:tcW w:type="dxa" w:w="1536"/>
          </w:tcPr>
          <w:p>
            <w:pPr>
              <w:pStyle w:val="Compact"/>
              <w:jc w:val="center"/>
            </w:pPr>
            <w:r>
              <w:t xml:space="preserve">−1.12</w:t>
            </w:r>
          </w:p>
        </w:tc>
        <w:tc>
          <w:tcPr>
            <w:tcW w:type="dxa" w:w="1536"/>
          </w:tcPr>
          <w:p>
            <w:pPr>
              <w:pStyle w:val="Compact"/>
              <w:jc w:val="center"/>
            </w:pPr>
            <w:r>
              <w:t xml:space="preserve">−1.04</w:t>
            </w:r>
          </w:p>
        </w:tc>
      </w:tr>
      <w:tr>
        <w:tc>
          <w:tcPr>
            <w:tcW w:type="dxa" w:w="1536"/>
          </w:tcPr>
          <w:p>
            <w:pPr>
              <w:pStyle w:val="Compact"/>
              <w:jc w:val="left"/>
            </w:pPr>
            <w:r>
              <w:t xml:space="preserve">SAB</w:t>
            </w:r>
          </w:p>
        </w:tc>
        <w:tc>
          <w:tcPr>
            <w:tcW w:type="dxa" w:w="2853"/>
          </w:tcPr>
          <w:p>
            <w:pPr>
              <w:pStyle w:val="Compact"/>
              <w:jc w:val="center"/>
            </w:pPr>
            <w:r>
              <w:t xml:space="preserve">Nov 2025</w:t>
            </w:r>
          </w:p>
        </w:tc>
        <w:tc>
          <w:tcPr>
            <w:tcW w:type="dxa" w:w="1536"/>
          </w:tcPr>
          <w:p>
            <w:pPr>
              <w:pStyle w:val="Compact"/>
              <w:jc w:val="center"/>
            </w:pPr>
            <w:r>
              <w:t xml:space="preserve">−0.17</w:t>
            </w:r>
          </w:p>
        </w:tc>
        <w:tc>
          <w:tcPr>
            <w:tcW w:type="dxa" w:w="1536"/>
          </w:tcPr>
          <w:p>
            <w:pPr>
              <w:pStyle w:val="Compact"/>
              <w:jc w:val="center"/>
            </w:pPr>
            <w:r>
              <w:t xml:space="preserve">0.02</w:t>
            </w:r>
          </w:p>
        </w:tc>
        <w:tc>
          <w:tcPr>
            <w:tcW w:type="dxa" w:w="1536"/>
          </w:tcPr>
          <w:p>
            <w:pPr>
              <w:pStyle w:val="Compact"/>
              <w:jc w:val="center"/>
            </w:pPr>
            <w:r>
              <w:t xml:space="preserve">−0.11</w:t>
            </w:r>
          </w:p>
        </w:tc>
      </w:tr>
    </w:tbl>
    <w:p>
      <w:pPr>
        <w:pStyle w:val="BodyText"/>
      </w:pPr>
      <w:r>
        <w:rPr>
          <w:i/>
          <w:iCs/>
        </w:rPr>
        <w:t xml:space="preserve">Notes</w:t>
      </w:r>
      <w:r>
        <w:t xml:space="preserve">: Change in mean log Amihud relative to never-named stocks and to the pre-announcement level of the stock, with S1–S3 as defined in Section 5.2. Source: Authors’ calculations.</w:t>
      </w:r>
    </w:p>
    <w:bookmarkEnd w:id="48"/>
    <w:bookmarkStart w:id="49" w:name="declarations"/>
    <w:p>
      <w:pPr>
        <w:pStyle w:val="Heading2"/>
        <w:jc w:val="left"/>
      </w:pPr>
      <w:r>
        <w:t xml:space="preserve">Declarations</w:t>
      </w:r>
    </w:p>
    <w:p>
      <w:pPr>
        <w:pStyle w:val="FirstParagraph"/>
      </w:pPr>
      <w:r>
        <w:rPr>
          <w:b/>
          <w:bCs/>
        </w:rPr>
        <w:t xml:space="preserve">Data availability.</w:t>
      </w:r>
      <w:r>
        <w:t xml:space="preserve"> </w:t>
      </w:r>
      <w:r>
        <w:t xml:space="preserve">Daily price and volume data are public and were retrieved through the vnstock library (VCI source). The downloaded files and the R code that reproduces all tables and figures (R 4.3.3, fixest 0.14.2, MatchIt 4.5.5, data.table 1.14.10) are available from the corresponding author and will be deposited in a public repository on acceptance.</w:t>
      </w:r>
    </w:p>
    <w:p>
      <w:pPr>
        <w:pStyle w:val="BodyText"/>
      </w:pPr>
      <w:r>
        <w:rPr>
          <w:b/>
          <w:bCs/>
        </w:rPr>
        <w:t xml:space="preserve">Ethics.</w:t>
      </w:r>
      <w:r>
        <w:t xml:space="preserve"> </w:t>
      </w:r>
      <w:r>
        <w:t xml:space="preserve">The study uses public market data and involves no human participants.</w:t>
      </w:r>
    </w:p>
    <w:p>
      <w:pPr>
        <w:pStyle w:val="BodyText"/>
      </w:pPr>
      <w:r>
        <w:rPr>
          <w:b/>
          <w:bCs/>
        </w:rPr>
        <w:t xml:space="preserve">Funding.</w:t>
      </w:r>
      <w:r>
        <w:t xml:space="preserve"> </w:t>
      </w:r>
      <w:r>
        <w:t xml:space="preserve">This research did not receive any specific grant from funding agencies in the public, commercial, or not-for-profit sectors.</w:t>
      </w:r>
    </w:p>
    <w:bookmarkEnd w:id="49"/>
    <w:bookmarkStart w:id="50" w:name="X1f74eb43af444059c7518034463b6c89b1cacf4"/>
    <w:p>
      <w:pPr>
        <w:pStyle w:val="Heading2"/>
        <w:jc w:val="left"/>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0"/>
    <w:bookmarkStart w:id="51" w:name="references"/>
    <w:p>
      <w:pPr>
        <w:pStyle w:val="Heading2"/>
        <w:jc w:val="left"/>
      </w:pPr>
      <w:r>
        <w:t xml:space="preserve">References</w:t>
      </w:r>
    </w:p>
    <w:p>
      <w:pPr>
        <w:pStyle w:val="FirstParagraph"/>
        <w:ind w:left="720" w:hanging="720"/>
        <w:jc w:val="left"/>
      </w:pPr>
      <w:r>
        <w:t xml:space="preserve">Amihud, Y. (2002). Illiquidity and stock returns: Cross-section and time-series effects.</w:t>
      </w:r>
      <w:r>
        <w:t xml:space="preserve"> </w:t>
      </w:r>
      <w:r>
        <w:rPr>
          <w:i/>
          <w:iCs/>
        </w:rPr>
        <w:t xml:space="preserve">Journal of Financial Markets, 5</w:t>
      </w:r>
      <w:r>
        <w:t xml:space="preserve">(1), 31–56. https://doi.org/10.1016/S1386-4181(01)00024-6</w:t>
      </w:r>
    </w:p>
    <w:p>
      <w:pPr>
        <w:pStyle w:val="BodyText"/>
        <w:ind w:left="720" w:hanging="720"/>
        <w:jc w:val="left"/>
      </w:pPr>
      <w:r>
        <w:t xml:space="preserve">Becker-Blease, J. R., &amp; Paul, D. L. (2006). Stock liquidity and investment opportunities: Evidence from index additions.</w:t>
      </w:r>
      <w:r>
        <w:t xml:space="preserve"> </w:t>
      </w:r>
      <w:r>
        <w:rPr>
          <w:i/>
          <w:iCs/>
        </w:rPr>
        <w:t xml:space="preserve">Financial Management, 35</w:t>
      </w:r>
      <w:r>
        <w:t xml:space="preserve">(3), 35–51. https://doi.org/10.1111/j.1755-053X.2006.tb00146.x</w:t>
      </w:r>
    </w:p>
    <w:p>
      <w:pPr>
        <w:pStyle w:val="BodyText"/>
        <w:ind w:left="720" w:hanging="720"/>
        <w:jc w:val="left"/>
      </w:pPr>
      <w:r>
        <w:t xml:space="preserve">Bekaert, G., Harvey, C. R., &amp; Lundblad, C. (2007). Liquidity and expected returns: Lessons from emerging markets.</w:t>
      </w:r>
      <w:r>
        <w:t xml:space="preserve"> </w:t>
      </w:r>
      <w:r>
        <w:rPr>
          <w:i/>
          <w:iCs/>
        </w:rPr>
        <w:t xml:space="preserve">Review of Financial Studies, 20</w:t>
      </w:r>
      <w:r>
        <w:t xml:space="preserve">(6), 1783–1831. https://doi.org/10.1093/rfs/hhm030</w:t>
      </w:r>
    </w:p>
    <w:p>
      <w:pPr>
        <w:pStyle w:val="BodyText"/>
        <w:ind w:left="720" w:hanging="720"/>
        <w:jc w:val="left"/>
      </w:pPr>
      <w:r>
        <w:t xml:space="preserve">Biktimirov, E. N., &amp; Afego, P. N. (2026). Is there an index effect in frontier markets?</w:t>
      </w:r>
      <w:r>
        <w:t xml:space="preserve"> </w:t>
      </w:r>
      <w:r>
        <w:rPr>
          <w:i/>
          <w:iCs/>
        </w:rPr>
        <w:t xml:space="preserve">International Review of Economics &amp; Finance, 110</w:t>
      </w:r>
      <w:r>
        <w:t xml:space="preserve">, 105562. https://doi.org/10.1016/j.iref.2026.105562</w:t>
      </w:r>
    </w:p>
    <w:p>
      <w:pPr>
        <w:pStyle w:val="BodyText"/>
        <w:ind w:left="720" w:hanging="720"/>
        <w:jc w:val="left"/>
      </w:pPr>
      <w:r>
        <w:t xml:space="preserve">Brown, S. J., &amp; Warner, J. B. (1985). Using daily stock returns: The case of event studies.</w:t>
      </w:r>
      <w:r>
        <w:t xml:space="preserve"> </w:t>
      </w:r>
      <w:r>
        <w:rPr>
          <w:i/>
          <w:iCs/>
        </w:rPr>
        <w:t xml:space="preserve">Journal of Financial Economics, 14</w:t>
      </w:r>
      <w:r>
        <w:t xml:space="preserve">(1), 3–31. https://doi.org/10.1016/0304-405X(85)90042-X</w:t>
      </w:r>
    </w:p>
    <w:p>
      <w:pPr>
        <w:pStyle w:val="BodyText"/>
        <w:ind w:left="720" w:hanging="720"/>
        <w:jc w:val="left"/>
      </w:pPr>
      <w:r>
        <w:t xml:space="preserve">Burnham, T. C., Gakidis, H., &amp; Wurgler, J. (2018). Investing in the presence of massive flows: The case of MSCI country reclassifications.</w:t>
      </w:r>
      <w:r>
        <w:t xml:space="preserve"> </w:t>
      </w:r>
      <w:r>
        <w:rPr>
          <w:i/>
          <w:iCs/>
        </w:rPr>
        <w:t xml:space="preserve">Financial Analysts Journal, 74</w:t>
      </w:r>
      <w:r>
        <w:t xml:space="preserve">(1), 77–87. https://doi.org/10.2469/faj.v74.n1.8</w:t>
      </w:r>
    </w:p>
    <w:p>
      <w:pPr>
        <w:pStyle w:val="BodyText"/>
        <w:ind w:left="720" w:hanging="720"/>
        <w:jc w:val="left"/>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pStyle w:val="BodyText"/>
        <w:ind w:left="720" w:hanging="720"/>
        <w:jc w:val="left"/>
      </w:pPr>
      <w:r>
        <w:t xml:space="preserve">Cameron, A. C., Gelbach, J. B., &amp; Miller, D. L. (2008). Bootstrap-based improvements for inference with clustered errors.</w:t>
      </w:r>
      <w:r>
        <w:t xml:space="preserve"> </w:t>
      </w:r>
      <w:r>
        <w:rPr>
          <w:i/>
          <w:iCs/>
        </w:rPr>
        <w:t xml:space="preserve">Review of Economics and Statistics, 90</w:t>
      </w:r>
      <w:r>
        <w:t xml:space="preserve">(3), 414–427. https://doi.org/10.1162/rest.90.3.414</w:t>
      </w:r>
    </w:p>
    <w:p>
      <w:pPr>
        <w:pStyle w:val="BodyText"/>
        <w:ind w:left="720" w:hanging="720"/>
        <w:jc w:val="left"/>
      </w:pPr>
      <w:r>
        <w:t xml:space="preserve">Chen, H., Noronha, G., &amp; Singal, V. (2004). The price response to S&amp;P 500 index additions and deletions: Evidence of asymmetry and a new explanation.</w:t>
      </w:r>
      <w:r>
        <w:t xml:space="preserve"> </w:t>
      </w:r>
      <w:r>
        <w:rPr>
          <w:i/>
          <w:iCs/>
        </w:rPr>
        <w:t xml:space="preserve">The Journal of Finance, 59</w:t>
      </w:r>
      <w:r>
        <w:t xml:space="preserve">(4), 1901–1930. https://doi.org/10.1111/j.1540-6261.2004.00683.x</w:t>
      </w:r>
    </w:p>
    <w:p>
      <w:pPr>
        <w:pStyle w:val="BodyText"/>
        <w:ind w:left="720" w:hanging="720"/>
        <w:jc w:val="left"/>
      </w:pPr>
      <w:r>
        <w:t xml:space="preserve">Chordia, T., Roll, R., &amp; Subrahmanyam, A. (2000). Commonality in liquidity.</w:t>
      </w:r>
      <w:r>
        <w:t xml:space="preserve"> </w:t>
      </w:r>
      <w:r>
        <w:rPr>
          <w:i/>
          <w:iCs/>
        </w:rPr>
        <w:t xml:space="preserve">Journal of Financial Economics, 56</w:t>
      </w:r>
      <w:r>
        <w:t xml:space="preserve">(1), 3–28. https://doi.org/10.1016/S0304-405X(99)00057-4</w:t>
      </w:r>
    </w:p>
    <w:p>
      <w:pPr>
        <w:pStyle w:val="BodyText"/>
        <w:ind w:left="720" w:hanging="720"/>
        <w:jc w:val="left"/>
      </w:pPr>
      <w:r>
        <w:t xml:space="preserve">Corwin, S. A., &amp; Schultz, P. (2012). A simple way to estimate bid-ask spreads from daily high and low prices.</w:t>
      </w:r>
      <w:r>
        <w:t xml:space="preserve"> </w:t>
      </w:r>
      <w:r>
        <w:rPr>
          <w:i/>
          <w:iCs/>
        </w:rPr>
        <w:t xml:space="preserve">The Journal of Finance, 67</w:t>
      </w:r>
      <w:r>
        <w:t xml:space="preserve">(2), 719–760. https://doi.org/10.1111/j.1540-6261.2012.01729.x</w:t>
      </w:r>
    </w:p>
    <w:p>
      <w:pPr>
        <w:pStyle w:val="BodyText"/>
        <w:ind w:left="720" w:hanging="720"/>
        <w:jc w:val="left"/>
      </w:pPr>
      <w:r>
        <w:t xml:space="preserve">Dong, S., Zheng, J., Jia, H., &amp; Zhang, Z. (2023). Impact of capital market internationalization on stock markets: Evidence from the inclusion of China A-shares in the MSCI Emerging Markets Index.</w:t>
      </w:r>
      <w:r>
        <w:t xml:space="preserve"> </w:t>
      </w:r>
      <w:r>
        <w:rPr>
          <w:i/>
          <w:iCs/>
        </w:rPr>
        <w:t xml:space="preserve">Research in International Business and Finance, 66</w:t>
      </w:r>
      <w:r>
        <w:t xml:space="preserve">, 101989. https://doi.org/10.1016/j.ribaf.2023.101989</w:t>
      </w:r>
    </w:p>
    <w:p>
      <w:pPr>
        <w:pStyle w:val="BodyText"/>
        <w:ind w:left="720" w:hanging="720"/>
        <w:jc w:val="left"/>
      </w:pPr>
      <w:r>
        <w:t xml:space="preserve">FTSE Russell. (n.d.).</w:t>
      </w:r>
      <w:r>
        <w:t xml:space="preserve"> </w:t>
      </w:r>
      <w:r>
        <w:rPr>
          <w:i/>
          <w:iCs/>
        </w:rPr>
        <w:t xml:space="preserve">FTSE Global Equity Index Series ground rules</w:t>
      </w:r>
      <w:r>
        <w:t xml:space="preserve">. https://www.lseg.com/content/dam/ftse-russell/en_us/documents/ground-rules/ftse-global-equity-index-series-ground-rules.pdf Accessed 24 September 2026.</w:t>
      </w:r>
    </w:p>
    <w:p>
      <w:pPr>
        <w:pStyle w:val="BodyText"/>
        <w:ind w:left="720" w:hanging="720"/>
        <w:jc w:val="left"/>
      </w:pPr>
      <w:r>
        <w:t xml:space="preserve">FTSE Russell. (2018, September 26).</w:t>
      </w:r>
      <w:r>
        <w:t xml:space="preserve"> </w:t>
      </w:r>
      <w:r>
        <w:rPr>
          <w:i/>
          <w:iCs/>
        </w:rPr>
        <w:t xml:space="preserve">FTSE classification of markets: September 2018</w:t>
      </w:r>
      <w:r>
        <w:t xml:space="preserve">. https://www.lseg.com/content/dam/ftse-russell/en_us/documents/country-classification/ftse-country-classification-update-2018.pdf Accessed 24 September 2026.</w:t>
      </w:r>
    </w:p>
    <w:p>
      <w:pPr>
        <w:pStyle w:val="BodyText"/>
        <w:ind w:left="720" w:hanging="720"/>
        <w:jc w:val="left"/>
      </w:pPr>
      <w:r>
        <w:t xml:space="preserve">FTSE Russell. (2026, April).</w:t>
      </w:r>
      <w:r>
        <w:t xml:space="preserve"> </w:t>
      </w:r>
      <w:r>
        <w:rPr>
          <w:i/>
          <w:iCs/>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ind w:left="720" w:hanging="720"/>
        <w:jc w:val="left"/>
      </w:pPr>
      <w:r>
        <w:t xml:space="preserve">Gregoriou, A., &amp; Nguyen, N. D. (2010). Stock liquidity and investment opportunities: New evidence from FTSE 100 index deletions.</w:t>
      </w:r>
      <w:r>
        <w:t xml:space="preserve"> </w:t>
      </w:r>
      <w:r>
        <w:rPr>
          <w:i/>
          <w:iCs/>
        </w:rPr>
        <w:t xml:space="preserve">Journal of International Financial Markets, Institutions and Money, 20</w:t>
      </w:r>
      <w:r>
        <w:t xml:space="preserve">(3), 267–274. https://doi.org/10.1016/j.intfin.2010.03.005</w:t>
      </w:r>
    </w:p>
    <w:p>
      <w:pPr>
        <w:pStyle w:val="BodyText"/>
        <w:ind w:left="720" w:hanging="720"/>
        <w:jc w:val="left"/>
      </w:pPr>
      <w:r>
        <w:t xml:space="preserve">Harris, L., &amp; Gurel, E. (1986). Price and volume effects associated with changes in the S&amp;P 500 list: New evidence for the existence of price pressures.</w:t>
      </w:r>
      <w:r>
        <w:t xml:space="preserve"> </w:t>
      </w:r>
      <w:r>
        <w:rPr>
          <w:i/>
          <w:iCs/>
        </w:rPr>
        <w:t xml:space="preserve">The Journal of Finance, 41</w:t>
      </w:r>
      <w:r>
        <w:t xml:space="preserve">(4), 815–829. https://doi.org/10.1111/j.1540-6261.1986.tb04550.x</w:t>
      </w:r>
    </w:p>
    <w:p>
      <w:pPr>
        <w:pStyle w:val="BodyText"/>
        <w:ind w:left="720" w:hanging="720"/>
        <w:jc w:val="left"/>
      </w:pPr>
      <w:r>
        <w:t xml:space="preserve">Hau, H., Massa, M., &amp; Peress, J. (2010). Do demand curves for currencies slope down? Evidence from the MSCI global index change.</w:t>
      </w:r>
      <w:r>
        <w:t xml:space="preserve"> </w:t>
      </w:r>
      <w:r>
        <w:rPr>
          <w:i/>
          <w:iCs/>
        </w:rPr>
        <w:t xml:space="preserve">Review of Financial Studies, 23</w:t>
      </w:r>
      <w:r>
        <w:t xml:space="preserve">(4), 1681–1717. https://doi.org/10.1093/rfs/hhp095</w:t>
      </w:r>
    </w:p>
    <w:p>
      <w:pPr>
        <w:pStyle w:val="BodyText"/>
        <w:ind w:left="720" w:hanging="720"/>
        <w:jc w:val="left"/>
      </w:pPr>
      <w:r>
        <w:t xml:space="preserve">Hegde, S. P., &amp; McDermott, J. B. (2003). The liquidity effects of revisions to the S&amp;P 500 index: An empirical analysis.</w:t>
      </w:r>
      <w:r>
        <w:t xml:space="preserve"> </w:t>
      </w:r>
      <w:r>
        <w:rPr>
          <w:i/>
          <w:iCs/>
        </w:rPr>
        <w:t xml:space="preserve">Journal of Financial Markets, 6</w:t>
      </w:r>
      <w:r>
        <w:t xml:space="preserve">(3), 413–459. https://doi.org/10.1016/S1386-4181(02)00046-0</w:t>
      </w:r>
    </w:p>
    <w:p>
      <w:pPr>
        <w:pStyle w:val="BodyText"/>
        <w:ind w:left="720" w:hanging="720"/>
        <w:jc w:val="left"/>
      </w:pPr>
      <w:r>
        <w:t xml:space="preserve">Ho, D. E., Imai, K., King, G., &amp; Stuart, E. A. (2007). Matching as nonparametric preprocessing for reducing model dependence in parametric causal inference.</w:t>
      </w:r>
      <w:r>
        <w:t xml:space="preserve"> </w:t>
      </w:r>
      <w:r>
        <w:rPr>
          <w:i/>
          <w:iCs/>
        </w:rPr>
        <w:t xml:space="preserve">Political Analysis, 15</w:t>
      </w:r>
      <w:r>
        <w:t xml:space="preserve">(3), 199–236. https://doi.org/10.1093/pan/mpl013</w:t>
      </w:r>
    </w:p>
    <w:p>
      <w:pPr>
        <w:pStyle w:val="BodyText"/>
        <w:ind w:left="720" w:hanging="720"/>
        <w:jc w:val="left"/>
      </w:pPr>
      <w:r>
        <w:t xml:space="preserve">Kang, W., &amp; Zhang, H. (2014). Measuring liquidity in emerging markets.</w:t>
      </w:r>
      <w:r>
        <w:t xml:space="preserve"> </w:t>
      </w:r>
      <w:r>
        <w:rPr>
          <w:i/>
          <w:iCs/>
        </w:rPr>
        <w:t xml:space="preserve">Pacific-Basin Finance Journal, 27</w:t>
      </w:r>
      <w:r>
        <w:t xml:space="preserve">, 49–71. https://doi.org/10.1016/j.pacfin.2014.02.001</w:t>
      </w:r>
    </w:p>
    <w:p>
      <w:pPr>
        <w:pStyle w:val="BodyText"/>
        <w:ind w:left="720" w:hanging="720"/>
        <w:jc w:val="left"/>
      </w:pPr>
      <w:r>
        <w:t xml:space="preserve">LSEG. (2025, October 7).</w:t>
      </w:r>
      <w:r>
        <w:t xml:space="preserve"> </w:t>
      </w:r>
      <w:r>
        <w:rPr>
          <w:i/>
          <w:iCs/>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ind w:left="720" w:hanging="720"/>
        <w:jc w:val="left"/>
      </w:pPr>
      <w:r>
        <w:t xml:space="preserve">LSEG. (2026, April 7).</w:t>
      </w:r>
      <w:r>
        <w:t xml:space="preserve"> </w:t>
      </w:r>
      <w:r>
        <w:rPr>
          <w:i/>
          <w:iCs/>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ind w:left="720" w:hanging="720"/>
        <w:jc w:val="left"/>
      </w:pPr>
      <w:r>
        <w:t xml:space="preserve">Nguyen, C. T., Hai, P. T., &amp; Nguyen, H. K. (2021). Stock market returns and liquidity during the COVID-19 outbreak: Evidence from the financial services sector in Vietnam.</w:t>
      </w:r>
      <w:r>
        <w:t xml:space="preserve"> </w:t>
      </w:r>
      <w:r>
        <w:rPr>
          <w:i/>
          <w:iCs/>
        </w:rPr>
        <w:t xml:space="preserve">Asian Journal of Economics and Banking, 5</w:t>
      </w:r>
      <w:r>
        <w:t xml:space="preserve">(3), 324–342. https://doi.org/10.1108/AJEB-06-2021-0070</w:t>
      </w:r>
    </w:p>
    <w:p>
      <w:pPr>
        <w:pStyle w:val="BodyText"/>
        <w:ind w:left="720" w:hanging="720"/>
        <w:jc w:val="left"/>
      </w:pPr>
      <w:r>
        <w:t xml:space="preserve">Raddatz, C., Schmukler, S. L., &amp; Williams, T. (2017). International asset allocations and capital flows: The benchmark effect.</w:t>
      </w:r>
      <w:r>
        <w:t xml:space="preserve"> </w:t>
      </w:r>
      <w:r>
        <w:rPr>
          <w:i/>
          <w:iCs/>
        </w:rPr>
        <w:t xml:space="preserve">Journal of International Economics, 108</w:t>
      </w:r>
      <w:r>
        <w:t xml:space="preserve">, 413–430. https://doi.org/10.1016/j.jinteco.2017.06.007</w:t>
      </w:r>
    </w:p>
    <w:p>
      <w:pPr>
        <w:pStyle w:val="BodyText"/>
        <w:ind w:left="720" w:hanging="720"/>
        <w:jc w:val="left"/>
      </w:pPr>
      <w:r>
        <w:t xml:space="preserve">Roth, J., Sant’Anna, P. H. C., Bilinski, A., &amp; Poe, J. (2023). What’s trending in difference-in-differences? A synthesis of the recent econometrics literature.</w:t>
      </w:r>
      <w:r>
        <w:t xml:space="preserve"> </w:t>
      </w:r>
      <w:r>
        <w:rPr>
          <w:i/>
          <w:iCs/>
        </w:rPr>
        <w:t xml:space="preserve">Journal of Econometrics, 235</w:t>
      </w:r>
      <w:r>
        <w:t xml:space="preserve">(2), 2218–2244. https://doi.org/10.1016/j.jeconom.2023.03.008</w:t>
      </w:r>
    </w:p>
    <w:p>
      <w:pPr>
        <w:pStyle w:val="BodyText"/>
        <w:ind w:left="720" w:hanging="720"/>
        <w:jc w:val="left"/>
      </w:pPr>
      <w:r>
        <w:t xml:space="preserve">Shleifer, A. (1986). Do demand curves for stocks slope down?</w:t>
      </w:r>
      <w:r>
        <w:t xml:space="preserve"> </w:t>
      </w:r>
      <w:r>
        <w:rPr>
          <w:i/>
          <w:iCs/>
        </w:rPr>
        <w:t xml:space="preserve">The Journal of Finance, 41</w:t>
      </w:r>
      <w:r>
        <w:t xml:space="preserve">(3), 579–590. https://doi.org/10.1111/j.1540-6261.1986.tb04518.x</w:t>
      </w:r>
    </w:p>
    <w:p>
      <w:pPr>
        <w:pStyle w:val="BodyText"/>
        <w:ind w:left="720" w:hanging="720"/>
        <w:jc w:val="left"/>
      </w:pPr>
      <w:r>
        <w:t xml:space="preserve">Stereńczak, S., Zaremba, A., &amp; Umar, Z. (2020). Is there an illiquidity premium in frontier markets?</w:t>
      </w:r>
      <w:r>
        <w:t xml:space="preserve"> </w:t>
      </w:r>
      <w:r>
        <w:rPr>
          <w:i/>
          <w:iCs/>
        </w:rPr>
        <w:t xml:space="preserve">Emerging Markets Review, 42</w:t>
      </w:r>
      <w:r>
        <w:t xml:space="preserve">, 100673. https://doi.org/10.1016/j.ememar.2019.100673</w:t>
      </w:r>
    </w:p>
    <w:p>
      <w:pPr>
        <w:pStyle w:val="BodyText"/>
        <w:ind w:left="720" w:hanging="720"/>
        <w:jc w:val="left"/>
      </w:pPr>
      <w:r>
        <w:t xml:space="preserve">The Investor. (2026a, March 4).</w:t>
      </w:r>
      <w:r>
        <w:t xml:space="preserve"> </w:t>
      </w:r>
      <w:r>
        <w:rPr>
          <w:i/>
          <w:iCs/>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ind w:left="720" w:hanging="720"/>
        <w:jc w:val="left"/>
      </w:pPr>
      <w:r>
        <w:t xml:space="preserve">The Investor. (2026b, April 8).</w:t>
      </w:r>
      <w:r>
        <w:t xml:space="preserve"> </w:t>
      </w:r>
      <w:r>
        <w:rPr>
          <w:i/>
          <w:iCs/>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ind w:left="720" w:hanging="720"/>
        <w:jc w:val="left"/>
      </w:pPr>
      <w:r>
        <w:t xml:space="preserve">Viet Nam News. (2025, November 13).</w:t>
      </w:r>
      <w:r>
        <w:t xml:space="preserve"> </w:t>
      </w:r>
      <w:r>
        <w:rPr>
          <w:i/>
          <w:iCs/>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ind w:left="720" w:hanging="720"/>
        <w:jc w:val="left"/>
      </w:pPr>
      <w:r>
        <w:t xml:space="preserve">VietnamPlus. (2024, December 30).</w:t>
      </w:r>
      <w:r>
        <w:t xml:space="preserve"> </w:t>
      </w:r>
      <w:r>
        <w:rPr>
          <w:i/>
          <w:iCs/>
        </w:rPr>
        <w:t xml:space="preserve">Vietnamese billion dollar oil refinery exits UPCoM to join HoSE</w:t>
      </w:r>
      <w:r>
        <w:t xml:space="preserve">. https://en.vietnamplus.vn/vietnamese-billion-dollar-oil-refinery-exits-upcom-to-join-hose-post307514.vnp Accessed 24 September 2026.</w:t>
      </w:r>
    </w:p>
    <w:p>
      <w:pPr>
        <w:pStyle w:val="BodyText"/>
        <w:ind w:left="720" w:hanging="720"/>
        <w:jc w:val="left"/>
      </w:pPr>
      <w:r>
        <w:t xml:space="preserve">VIR. (2026, August 22).</w:t>
      </w:r>
      <w:r>
        <w:t xml:space="preserve"> </w:t>
      </w:r>
      <w:r>
        <w:rPr>
          <w:i/>
          <w:iCs/>
        </w:rPr>
        <w:t xml:space="preserve">FTSE Russell names 27 Vietnamese stocks in review</w:t>
      </w:r>
      <w:r>
        <w:t xml:space="preserve">. https://vir.com.vn/ftse-russell-names-27-vietnamese-stocks-in-review-159265.html Accessed 24 September 2026.</w:t>
      </w:r>
    </w:p>
    <w:bookmarkEnd w:id="51"/>
    <w:bookmarkEnd w:id="52"/>
    <w:sectPr>
      <w:headerReference r:id="rId9" w:type="default"/>
      <w:pgMar w:bottom="1440" w:left="1440" w:right="1440" w:top="1440" w:header="708" w:footer="708" w:gutter="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pPr>
      <w:spacing w:after="20" w:before="20" w:line="240" w:lineRule="auto"/>
    </w:pPr>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color w:val="000000"/>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sz w:val="22"/>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32" Type="http://schemas.openxmlformats.org/officeDocument/2006/relationships/image" Target="media/rId32.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2026-09-24T10:03:50Z</dcterms:created>
  <dcterms:modified xsi:type="dcterms:W3CDTF">2026-09-24T10:03:50Z</dcterms:modified>
</cp:coreProperties>
</file>

<file path=docProps/custom.xml><?xml version="1.0" encoding="utf-8"?>
<Properties xmlns="http://schemas.openxmlformats.org/officeDocument/2006/custom-properties" xmlns:vt="http://schemas.openxmlformats.org/officeDocument/2006/docPropsVTypes"/>
</file>