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Closing</w:t>
      </w:r>
      <w:r>
        <w:t xml:space="preserve"> </w:t>
      </w:r>
      <w:r>
        <w:t xml:space="preserve">at</w:t>
      </w:r>
      <w:r>
        <w:t xml:space="preserve"> </w:t>
      </w:r>
      <w:r>
        <w:t xml:space="preserve">the</w:t>
      </w:r>
      <w:r>
        <w:t xml:space="preserve"> </w:t>
      </w:r>
      <w:r>
        <w:t xml:space="preserve">limit:</w:t>
      </w:r>
      <w:r>
        <w:t xml:space="preserve"> </w:t>
      </w:r>
      <w:r>
        <w:t xml:space="preserve">price</w:t>
      </w:r>
      <w:r>
        <w:t xml:space="preserve"> </w:t>
      </w:r>
      <w:r>
        <w:t xml:space="preserve">limits,</w:t>
      </w:r>
      <w:r>
        <w:t xml:space="preserve"> </w:t>
      </w:r>
      <w:r>
        <w:t xml:space="preserve">overnight</w:t>
      </w:r>
      <w:r>
        <w:t xml:space="preserve"> </w:t>
      </w:r>
      <w:r>
        <w:t xml:space="preserve">gaps</w:t>
      </w:r>
      <w:r>
        <w:t xml:space="preserve"> </w:t>
      </w:r>
      <w:r>
        <w:t xml:space="preserve">and</w:t>
      </w:r>
      <w:r>
        <w:t xml:space="preserve"> </w:t>
      </w:r>
      <w:r>
        <w:t xml:space="preserve">next-day</w:t>
      </w:r>
      <w:r>
        <w:t xml:space="preserve"> </w:t>
      </w:r>
      <w:r>
        <w:t xml:space="preserve">returns</w:t>
      </w:r>
      <w:r>
        <w:t xml:space="preserve"> </w:t>
      </w:r>
      <w:r>
        <w:t xml:space="preserve">on</w:t>
      </w:r>
      <w:r>
        <w:t xml:space="preserve"> </w:t>
      </w:r>
      <w:r>
        <w:t xml:space="preserve">the</w:t>
      </w:r>
      <w:r>
        <w:t xml:space="preserve"> </w:t>
      </w:r>
      <w:r>
        <w:t xml:space="preserve">Ho</w:t>
      </w:r>
      <w:r>
        <w:t xml:space="preserve"> </w:t>
      </w:r>
      <w:r>
        <w:t xml:space="preserve">Chi</w:t>
      </w:r>
      <w:r>
        <w:t xml:space="preserve"> </w:t>
      </w:r>
      <w:r>
        <w:t xml:space="preserve">Minh</w:t>
      </w:r>
      <w:r>
        <w:t xml:space="preserve"> </w:t>
      </w:r>
      <w:r>
        <w:t xml:space="preserve">Stock</w:t>
      </w:r>
      <w:r>
        <w:t xml:space="preserve"> </w:t>
      </w:r>
      <w:r>
        <w:t xml:space="preserve">Exchange</w:t>
      </w:r>
    </w:p>
    <w:p>
      <w:pPr>
        <w:pStyle w:val="Author"/>
      </w:pPr>
      <w:r>
        <w:t xml:space="preserve">[Author</w:t>
      </w:r>
      <w:r>
        <w:t xml:space="preserve"> </w:t>
      </w:r>
      <w:r>
        <w:t xml:space="preserve">names</w:t>
      </w:r>
      <w:r>
        <w:t xml:space="preserve"> </w:t>
      </w:r>
      <w:r>
        <w:t xml:space="preserve">and</w:t>
      </w:r>
      <w:r>
        <w:t xml:space="preserve"> </w:t>
      </w:r>
      <w:r>
        <w:t xml:space="preserve">affiliations]</w:t>
      </w:r>
    </w:p>
    <w:p>
      <w:pPr>
        <w:pStyle w:val="FirstParagraph"/>
      </w:pPr>
      <w:r>
        <w:rPr>
          <w:bCs/>
          <w:b/>
        </w:rPr>
        <w:t xml:space="preserve">Abstract.</w:t>
      </w:r>
      <w:r>
        <w:t xml:space="preserve"> </w:t>
      </w:r>
      <w:r>
        <w:t xml:space="preserve">Daily price limits aim to cool markets but can delay price discovery. Few studies trace prices after limit closes in emerging markets, and, among the studies identified by our search (Appendix B), none tests the limit against other candidate signals. For 347 stocks on the Ho Chi Minh Stock Exchange from August 2024 to September 2026, we run 26 tests under false-discovery-rate control: four price-limit event tests and 22 price- and volume-based characteristics. All four limit tests survive; none of the 22 lower-powered characteristic tests does. After a ceiling close, the next-day abnormal return of 1.7% is an overnight gap of 2.2% less an intraday reversal of 0.5%, and the gap exceeds that after rises of 5% to 6.5% by 2.7 percentage points. A buyer at the next open loses 0.7% against the market by the fifth close. The pattern is consistent with delayed price discovery, but also with news, attention, and opening-auction overshooting; without news or order-book data we cannot separate them.</w:t>
      </w:r>
    </w:p>
    <w:p>
      <w:pPr>
        <w:pStyle w:val="BodyText"/>
      </w:pPr>
      <w:r>
        <w:rPr>
          <w:bCs/>
          <w:b/>
        </w:rPr>
        <w:t xml:space="preserve">Keywords:</w:t>
      </w:r>
      <w:r>
        <w:t xml:space="preserve"> </w:t>
      </w:r>
      <w:r>
        <w:t xml:space="preserve">price limits; overnight returns; multiple testing; market microstructure; Vietnam</w:t>
      </w:r>
    </w:p>
    <w:p>
      <w:pPr>
        <w:pStyle w:val="BodyText"/>
      </w:pPr>
      <w:r>
        <w:rPr>
          <w:bCs/>
          <w:b/>
        </w:rPr>
        <w:t xml:space="preserve">JEL classification:</w:t>
      </w:r>
      <w:r>
        <w:t xml:space="preserve"> </w:t>
      </w:r>
      <w:r>
        <w:t xml:space="preserve">G14; G15; G18</w:t>
      </w:r>
    </w:p>
    <w:bookmarkStart w:id="20" w:name="introduction"/>
    <w:p>
      <w:pPr>
        <w:pStyle w:val="Heading1"/>
        <w:keepNext/>
      </w:pPr>
      <w:r>
        <w:t xml:space="preserve">1. Introduction</w:t>
      </w:r>
    </w:p>
    <w:p>
      <w:pPr>
        <w:pStyle w:val="FirstParagraph"/>
      </w:pPr>
      <w:r>
        <w:t xml:space="preserve">A daily price limit stops a stock from moving beyond a fixed band within one trading day. Exchanges in Tokyo, Taipei, Seoul, Shenzhen, and Ho Chi Minh City have used limits to cool markets after large shocks, and economists ask whether a limit protects prices or postpones their adjustment. The question is sharpest where limit closes are common and call auctions set the opening and closing prices. The Ho Chi Minh Stock Exchange (HOSE) has both features: one 7% band applies to all stocks, and about 2.0% of stock-days in our event window close at the upper limit (a ceiling close; Section 4) and about 1.4% at the lower limit (a floor close).</w:t>
      </w:r>
    </w:p>
    <w:p>
      <w:pPr>
        <w:pStyle w:val="BodyText"/>
      </w:pPr>
      <w:r>
        <w:t xml:space="preserve">Studies of band changes document effects on volatility, liquidity, and crash risk (Jia et al., 2024; Lien et al., 2019; Qi, 2023), and account-level data show that large investors buy on the limit day and sell on the next (Chen et al., 2019). Among the studies identified by the search described in Appendix B, only Huang et al. (2001) describe the overnight-then-intraday pattern after limit hits, and the records we could access give no magnitudes. None measures the overnight gap and the intraday return after a limit close against a benchmark, places the limit result in a family of tests that controls for the other price-based signals a researcher could have examined, or examines the 2025 move of HOSE to a new trading platform.</w:t>
      </w:r>
    </w:p>
    <w:p>
      <w:pPr>
        <w:pStyle w:val="BodyText"/>
      </w:pPr>
      <w:r>
        <w:t xml:space="preserve">We estimate the abnormal return after ceiling and floor closes on HOSE, split it into the overnight gap and the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pPr>
        <w:pStyle w:val="BodyText"/>
      </w:pPr>
      <w:r>
        <w:t xml:space="preserve">Section 2 reviews the literature, Sections 3 and 4 describe the data and design, Section 5 reports results, Section 6 discusses them, and Sections 7 and 8 give limitations and conclusions.</w:t>
      </w:r>
    </w:p>
    <w:bookmarkEnd w:id="20"/>
    <w:bookmarkStart w:id="21" w:name="related-literature-and-hypotheses"/>
    <w:p>
      <w:pPr>
        <w:pStyle w:val="Heading1"/>
        <w:keepNext/>
      </w:pPr>
      <w:r>
        <w:t xml:space="preserve">2. Related literature and hypotheses</w:t>
      </w:r>
    </w:p>
    <w:p>
      <w:pPr>
        <w:pStyle w:val="FirstParagraph"/>
      </w:pPr>
      <w:r>
        <w:rPr>
          <w:bCs/>
          <w:b/>
        </w:rPr>
        <w:t xml:space="preserve">Theory.</w:t>
      </w:r>
      <w:r>
        <w:t xml:space="preserve"> </w:t>
      </w:r>
      <w:r>
        <w:t xml:space="preserve">Models predict protection or distortion, depending on the source of the shock. Brennan (1986) rationalizes limits in futures markets, Kodres and O’Brien (1994) show that well-chosen limits can be Pareto superior when fundamental news drives prices because they partly insure traders against implementation risk, and Greenwald and Stein (1991) link crashes to imperfect transactional mechanisms. Subrahmanyam (1994) shows that halts can advance trades in time and raise price variability, and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bCs/>
          <w:b/>
        </w:rPr>
        <w:t xml:space="preserve">Classic evidence.</w:t>
      </w:r>
      <w:r>
        <w:t xml:space="preserve"> </w:t>
      </w:r>
      <w:r>
        <w:t xml:space="preserve">Kim and Rhee (1997) find support in Tokyo for three criticisms of limits: they spill volatility into later days, delay price discovery, and interfere with trading. Bildik and Gülay (2006) find the same in Istanbul, with stronger evidence from price locks than from limit moves alone. Chen (1993) finds that serial correlation falls as the Taiwanese limit widens, which implies delayed adjustment under the narrower limit, and Berkman and Lee (2002) examine volatility and trading activity around a revision of the Korean limit system. Huang et al. (2001) report for Taiwan that the overnight overreaction after limit hits reverses during the following day, the timing pattern we test. Cho et al. (2003) find a magnet effect: prices accelerate toward the upper limit in five-minute Taiwanese data. Kim and Limpaphayom (2000) show that small, volatile, high-volume stocks hit limits more often, and Deb et al. (2013) argue that rigid limits in Tokyo can disrupt price discovery and liquidity provision.</w:t>
      </w:r>
    </w:p>
    <w:p>
      <w:pPr>
        <w:pStyle w:val="BodyText"/>
      </w:pPr>
      <w:r>
        <w:rPr>
          <w:bCs/>
          <w:b/>
        </w:rPr>
        <w:t xml:space="preserve">Band changes and investor-level data.</w:t>
      </w:r>
      <w:r>
        <w:t xml:space="preserve"> </w:t>
      </w:r>
      <w:r>
        <w:t xml:space="preserve">After ChiNext widened its band from 10% to 20% in August 2020, Qi (2023) confirms delayed price discovery, volatility spillover, and trading interference, stronger at the lower limit and with no magnet effect; Zhang et al. (2022) find higher liquidity, volatility, and probability of informed trading; and Jia et al. (2024) find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stronger long-run reversal (Chen et al., 2019). Stocks with large limit exposure attract attention and earn lower future returns, most where retail investors hold many shares (Lin et al., 2023), and stocks with frequent upper-limit hits also earn lower future returns (Zeng et al., 2024). Liang and Hu (2025) forecast limit hits; the record we could access reports no returns after the hit.</w:t>
      </w:r>
    </w:p>
    <w:p>
      <w:pPr>
        <w:pStyle w:val="BodyText"/>
      </w:pPr>
      <w:r>
        <w:rPr>
          <w:bCs/>
          <w:b/>
        </w:rPr>
        <w:t xml:space="preserve">Overnight and intraday returns.</w:t>
      </w:r>
      <w:r>
        <w:t xml:space="preserve"> </w:t>
      </w:r>
      <w:r>
        <w:t xml:space="preserve">Kelly and Clark (2011) show for index funds that overnight and intraday returns differ. In U.S. stocks, positive overnight returns are followed by intraday reversals, concentrated among stocks with recent retail attention (Berkman et al., 2012). Aboody et al. (2018) tie overnight persistence to sentiment, Lou et al. (2019) find overnight and intraday continuation with an offsetting cross-period reversal, Akbas et al. (2022) find that persistent positive-overnight, negative-daytime patterns predict higher returns, Bogousslavsky (2021) links the split to margin and lending costs, and Lu et al. (2023) link it to market makers who absorb retail imbalances near the open. In China, overnight returns are negative on average, which Qiao and Dam (2020) link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bCs/>
          <w:b/>
        </w:rPr>
        <w:t xml:space="preserve">Multiple testing and weekly regressions.</w:t>
      </w:r>
      <w:r>
        <w:t xml:space="preserve"> </w:t>
      </w:r>
      <w:r>
        <w:t xml:space="preserve">Harvey et al. (2016) argue that a new factor needs a</w:t>
      </w:r>
      <w:r>
        <w:t xml:space="preserve"> </w:t>
      </w:r>
      <w:r>
        <w:rPr>
          <w:iCs/>
          <w:i/>
        </w:rPr>
        <w:t xml:space="preserve">t</w:t>
      </w:r>
      <w:r>
        <w:t xml:space="preserve">-statistic above 3.0, Harvey and Liu (2020) tie the hurdle to a chosen FDR, Chordia et al. (2020) put multiple-testing thresholds for cross-sectional regressions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size effect and an earnings-to-price effect; our search (Appendix B) identified no peer-reviewed study of post-limit returns on HOSE.</w:t>
      </w:r>
    </w:p>
    <w:p>
      <w:pPr>
        <w:pStyle w:val="BodyText"/>
      </w:pPr>
      <w:r>
        <w:rPr>
          <w:bCs/>
          <w:b/>
        </w:rPr>
        <w:t xml:space="preserve">Gap and hypotheses.</w:t>
      </w:r>
      <w:r>
        <w:t xml:space="preserve"> </w:t>
      </w:r>
      <w:r>
        <w:t xml:space="preserve">These studies compare band regimes, sort stocks by limit exposure, or split overnight and intraday returns for all stocks. Among the studies our search identified, only Huang et al. (2001) link limit hits to the overnight-intraday split, and none controls for multiple testing or uses the 2025 platform change.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A limit effect that survives the screen applied to all 22 characteristics is more credible than a single large estimate.</w:t>
      </w:r>
    </w:p>
    <w:bookmarkEnd w:id="21"/>
    <w:bookmarkStart w:id="22" w:name="data-and-institutional-setting"/>
    <w:p>
      <w:pPr>
        <w:pStyle w:val="Heading1"/>
        <w:keepNext/>
      </w:pPr>
      <w:r>
        <w:t xml:space="preserve">3. Data and institutional setting</w:t>
      </w:r>
    </w:p>
    <w:p>
      <w:pPr>
        <w:pStyle w:val="FirstParagraph"/>
      </w:pPr>
      <w:r>
        <w:rPr>
          <w:bCs/>
          <w:b/>
        </w:rPr>
        <w:t xml:space="preserve">Data source.</w:t>
      </w:r>
      <w:r>
        <w:t xml:space="preserve"> </w:t>
      </w:r>
      <w: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bCs/>
          <w:b/>
        </w:rPr>
        <w:t xml:space="preserve">Sample.</w:t>
      </w:r>
      <w:r>
        <w:t xml:space="preserve"> </w:t>
      </w:r>
      <w: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bCs/>
          <w:b/>
        </w:rPr>
        <w:t xml:space="preserve">Institutional setting.</w:t>
      </w:r>
      <w:r>
        <w:t xml:space="preserve"> </w:t>
      </w:r>
      <w:r>
        <w:t xml:space="preserve">HOSE sets a daily price limit of 7% around the reference price, the previous close on normal trading days (Ho Chi Minh City Securities Corporation [HSC], 2025). On 5 May 2025, HOSE moved to the trading platform of the Korea Exchange (KRX). The band stayed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design"/>
    <w:p>
      <w:pPr>
        <w:pStyle w:val="Heading1"/>
        <w:keepNext/>
      </w:pPr>
      <w:r>
        <w:t xml:space="preserve">4. Design</w:t>
      </w:r>
    </w:p>
    <w:p>
      <w:pPr>
        <w:pStyle w:val="FirstParagraph"/>
      </w:pPr>
      <w:r>
        <w:rPr>
          <w:bCs/>
          <w:b/>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A ceiling event has a return (Equation (1)) of</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and a floor event has</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once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stocks with a day-</w:t>
      </w:r>
      <m:oMath>
        <m:r>
          <m:t>d</m:t>
        </m:r>
      </m:oMath>
      <w:r>
        <w:t xml:space="preserve"> </w:t>
      </w:r>
      <w:r>
        <w:t xml:space="preserve">return and a full 60-day history, and</w:t>
      </w:r>
      <w:r>
        <w:t xml:space="preserve"> </w:t>
      </w:r>
      <m:oMath>
        <m:sSub>
          <m:e>
            <m:bar>
              <m:barPr>
                <m:pos m:val="top"/>
              </m:barPr>
              <m:e>
                <m:r>
                  <m:t>V</m:t>
                </m:r>
              </m:e>
            </m:bar>
          </m:e>
          <m:sub>
            <m:r>
              <m:t>j</m:t>
            </m:r>
            <m:r>
              <m:rPr>
                <m:sty m:val="p"/>
              </m:rPr>
              <m:t>,</m:t>
            </m:r>
            <m:r>
              <m:t>d</m:t>
            </m:r>
          </m:sub>
        </m:sSub>
      </m:oMath>
      <w:r>
        <w:t xml:space="preserve"> </w:t>
      </w:r>
      <w:r>
        <w:t xml:space="preserve">is the mean dollar volume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bCs/>
          <w:b/>
        </w:rPr>
        <w:t xml:space="preserve">Exact hits.</w:t>
      </w:r>
      <w:r>
        <w:t xml:space="preserve"> </w:t>
      </w:r>
      <w:r>
        <w:t xml:space="preserve">An exact hit is an event whose close equals the limit price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(after adding and subtracting</w:t>
      </w:r>
      <w:r>
        <w:t xml:space="preserve"> </w:t>
      </w:r>
      <m:oMath>
        <m:sSup>
          <m:e>
            <m:r>
              <m:t>10</m:t>
            </m:r>
          </m:e>
          <m:sup>
            <m:r>
              <m:rPr>
                <m:sty m:val="p"/>
              </m:rPr>
              <m:t>−</m:t>
            </m:r>
            <m:r>
              <m:t>9</m:t>
            </m:r>
          </m:sup>
        </m:sSup>
      </m:oMath>
      <w:r>
        <w:t xml:space="preserve">, respectively, against floating-point error), and the tick</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below 10, from 10 to below 50, and from 50 upward. Other events are near hits (see Section 7 on vendor price adjustment).</w:t>
      </w:r>
    </w:p>
    <w:p>
      <w:pPr>
        <w:pStyle w:val="BodyText"/>
      </w:pPr>
      <w:r>
        <w:rPr>
          <w:bCs/>
          <w:b/>
        </w:rPr>
        <w:t xml:space="preserve">Outcomes.</w:t>
      </w:r>
      <w:r>
        <w:t xml:space="preserve"> </w:t>
      </w:r>
      <w:r>
        <w:t xml:space="preserve">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The day-</w:t>
      </w:r>
      <m:oMath>
        <m:r>
          <m:t>d</m:t>
        </m:r>
        <m:r>
          <m:rPr>
            <m:sty m:val="p"/>
          </m:rPr>
          <m:t>+</m:t>
        </m:r>
        <m:r>
          <m:t>1</m:t>
        </m:r>
      </m:oMath>
      <w:r>
        <w:t xml:space="preserve"> </w:t>
      </w:r>
      <w:r>
        <w:t xml:space="preserve">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abnormal values subtract the market counterpart of each component, the same-interval return across stocks weighted with</w:t>
      </w:r>
      <w:r>
        <w:t xml:space="preserve"> </w:t>
      </w:r>
      <m:oMath>
        <m:sSub>
          <m:e>
            <m:r>
              <m:t>w</m:t>
            </m:r>
          </m:e>
          <m:sub>
            <m:r>
              <m:t>j</m:t>
            </m:r>
            <m:r>
              <m:rPr>
                <m:sty m:val="p"/>
              </m:rPr>
              <m:t>,</m:t>
            </m:r>
            <m:r>
              <m:t>d</m:t>
            </m:r>
          </m:sub>
        </m:sSub>
      </m:oMath>
      <w:r>
        <w:t xml:space="preserve">, known at the event 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The control benchmark is the equal-weighted mean same-interval return of control stocks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w:t>
      </w:r>
      <w:r>
        <w:t xml:space="preserve">on that date; dates with fewer than 30 control stocks have no benchmark.</w:t>
      </w:r>
    </w:p>
    <w:p>
      <w:pPr>
        <w:pStyle w:val="BodyText"/>
      </w:pPr>
      <w:r>
        <w:rPr>
          <w:bCs/>
          <w:b/>
        </w:rPr>
        <w:t xml:space="preserve">Samples.</w:t>
      </w:r>
      <w:r>
        <w:t xml:space="preserve"> </w:t>
      </w:r>
      <w:r>
        <w:t xml:space="preserve">The event definition uses only returns and the close-at-high (close-at-low) condition, which proportional price adjustment by the vendor leaves unchanged except on ex-dates; the exact-hit split is a diagnostic only (Section 7). Event counts differ across exhibits because each outcome needs different data. Table 1 requires returns on all five days after the event (3,187 ceiling and 2,105 floor events). Tables 2 to 4 require the open and close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close, and the control benchmark requires at least 30 control stocks on the date (3,100 and 2,047 events). Figure 2 uses event days up to the second-to-last trading day (3,220 ceiling events). No event is dropped for any other reason.</w:t>
      </w:r>
    </w:p>
    <w:p>
      <w:pPr>
        <w:pStyle w:val="BodyText"/>
      </w:pPr>
      <w:r>
        <w:rPr>
          <w:bCs/>
          <w:b/>
        </w:rPr>
        <w:t xml:space="preserve">Inference.</w:t>
      </w:r>
      <w:r>
        <w:t xml:space="preserve"> </w:t>
      </w:r>
      <w:r>
        <w:t xml:space="preserve">For</w:t>
      </w:r>
      <w:r>
        <w:t xml:space="preserve"> </w:t>
      </w:r>
      <m:oMath>
        <m:r>
          <m:t>N</m:t>
        </m:r>
      </m:oMath>
      <w:r>
        <w:t xml:space="preserve"> </w:t>
      </w:r>
      <w:r>
        <w:t xml:space="preserve">events</w:t>
      </w:r>
      <w:r>
        <w:t xml:space="preserve"> </w:t>
      </w:r>
      <m:oMath>
        <m:r>
          <m:t>e</m:t>
        </m:r>
      </m:oMath>
      <w:r>
        <w:t xml:space="preserve">, each a stock-day pair, with outcome</w:t>
      </w:r>
      <w:r>
        <w:t xml:space="preserve"> </w:t>
      </w:r>
      <m:oMath>
        <m:sSub>
          <m:e>
            <m:r>
              <m:t>y</m:t>
            </m:r>
          </m:e>
          <m:sub>
            <m:r>
              <m:t>e</m:t>
            </m:r>
          </m:sub>
        </m:sSub>
      </m:oMath>
      <w:r>
        <w:t xml:space="preserve"> </w:t>
      </w:r>
      <w:r>
        <w:t xml:space="preserve">and mean</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event dates, ISO calendar weeks, or blocks of ten consecutive trading days. The family</w:t>
      </w:r>
      <w:r>
        <w:t xml:space="preserve"> </w:t>
      </w:r>
      <w:r>
        <w:rPr>
          <w:iCs/>
          <w:i/>
        </w:rPr>
        <w:t xml:space="preserve">p</w:t>
      </w:r>
      <w:r>
        <w:t xml:space="preserve">-values of the four event tests use Equation (6) with event-date clusters, omit</w:t>
      </w:r>
      <w:r>
        <w:t xml:space="preserve"> </w:t>
      </w:r>
      <m:oMath>
        <m:r>
          <m:t>G</m:t>
        </m:r>
        <m:r>
          <m:rPr>
            <m:sty m:val="p"/>
          </m:rPr>
          <m:t>/</m:t>
        </m:r>
        <m:d>
          <m:dPr>
            <m:begChr m:val="("/>
            <m:endChr m:val=")"/>
            <m:sepChr m:val=""/>
            <m:grow/>
          </m:dPr>
          <m:e>
            <m:r>
              <m:t>G</m:t>
            </m:r>
            <m:r>
              <m:rPr>
                <m:sty m:val="p"/>
              </m:rPr>
              <m:t>−</m:t>
            </m:r>
            <m:r>
              <m:t>1</m:t>
            </m:r>
          </m:e>
        </m:d>
      </m:oMath>
      <w:r>
        <w:t xml:space="preserve">,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m:oMath>
        <m:r>
          <m:t>G</m:t>
        </m:r>
        <m:r>
          <m:rPr>
            <m:sty m:val="p"/>
          </m:rPr>
          <m:t>−</m:t>
        </m:r>
        <m:r>
          <m:t>1</m:t>
        </m:r>
      </m:oMath>
      <w:r>
        <w:t xml:space="preserve"> </w:t>
      </w:r>
      <w:r>
        <w:t xml:space="preserve">degrees of freedom. Two-way clustering by date and stock follows Cameron et al. (2011), without the factor and with the variance bounded below at</w:t>
      </w:r>
      <w:r>
        <w:t xml:space="preserve"> </w:t>
      </w:r>
      <m:oMath>
        <m:sSup>
          <m:e>
            <m:r>
              <m:t>10</m:t>
            </m:r>
          </m:e>
          <m:sup>
            <m:r>
              <m:rPr>
                <m:sty m:val="p"/>
              </m:rPr>
              <m:t>−</m:t>
            </m:r>
            <m:r>
              <m:t>12</m:t>
            </m:r>
          </m:sup>
        </m:sSup>
      </m:oMath>
      <w:r>
        <w:t xml:space="preserve">. Table 3 reports</w:t>
      </w:r>
      <w:r>
        <w:t xml:space="preserve"> </w:t>
      </w:r>
      <m:oMath>
        <m:acc>
          <m:accPr>
            <m:chr m:val="̂"/>
          </m:accPr>
          <m:e>
            <m:r>
              <m:t>β</m:t>
            </m:r>
          </m:e>
        </m:acc>
      </m:oMath>
      <w:r>
        <w:t xml:space="preserve"> </w:t>
      </w:r>
      <w:r>
        <w:t xml:space="preserve">from</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and 0 for the comparison moves,</w:t>
      </w:r>
      <w:r>
        <w:t xml:space="preserve"> </w:t>
      </w:r>
      <m:oMath>
        <m:r>
          <m:t>α</m:t>
        </m:r>
      </m:oMath>
      <w:r>
        <w:t xml:space="preserve"> </w:t>
      </w:r>
      <w:r>
        <w:t xml:space="preserve">is the intercept, and</w:t>
      </w:r>
      <w:r>
        <w:t xml:space="preserve"> </w:t>
      </w:r>
      <m:oMath>
        <m:sSub>
          <m:e>
            <m:r>
              <m:t>u</m:t>
            </m:r>
          </m:e>
          <m:sub>
            <m:r>
              <m:t>e</m:t>
            </m:r>
          </m:sub>
        </m:sSub>
      </m:oMath>
      <w:r>
        <w:t xml:space="preserve"> </w:t>
      </w:r>
      <w:r>
        <w:t xml:space="preserve">is the error, with date-clustered HC1 standard errors (R package</w:t>
      </w:r>
      <w:r>
        <w:t xml:space="preserve"> </w:t>
      </w:r>
      <w:r>
        <w:rPr>
          <w:iCs/>
          <w:i/>
        </w:rPr>
        <w:t xml:space="preserve">sandwich</w:t>
      </w:r>
      <w:r>
        <w:t xml:space="preserve">).</w:t>
      </w:r>
    </w:p>
    <w:p>
      <w:pPr>
        <w:pStyle w:val="BodyText"/>
      </w:pPr>
      <w:r>
        <w:rPr>
          <w:bCs/>
          <w:b/>
        </w:rPr>
        <w:t xml:space="preserve">Characteristics.</w:t>
      </w:r>
      <w:r>
        <w:t xml:space="preserve"> </w:t>
      </w:r>
      <w:r>
        <w:t xml:space="preserve">We form cross-sections on trading days 120 (so that every lookback is complete), 125, and so on to 510:</w:t>
      </w:r>
      <w:r>
        <w:t xml:space="preserve"> </w:t>
      </w:r>
      <m:oMath>
        <m:r>
          <m:t>T</m:t>
        </m:r>
        <m:r>
          <m:rPr>
            <m:sty m:val="p"/>
          </m:rPr>
          <m:t>=</m:t>
        </m:r>
        <m:r>
          <m:t>79</m:t>
        </m:r>
      </m:oMath>
      <w:r>
        <w:t xml:space="preserve"> </w:t>
      </w:r>
      <w:r>
        <w:t xml:space="preserve">formation weeks</w:t>
      </w:r>
      <w:r>
        <w:t xml:space="preserve"> </w:t>
      </w:r>
      <m:oMath>
        <m:r>
          <m:t>τ</m:t>
        </m:r>
      </m:oMath>
      <w:r>
        <w:t xml:space="preserve"> </w:t>
      </w:r>
      <w:r>
        <w:t xml:space="preserve">(five-trading-day periods, not the calendar weeks used for clustering), each followed by a non-overlapping five-day holding period.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(all 115 days of the longest lookback, trades on at least 50 of the last 60 days, and next-five-day returns) as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with ties at average ranks and</w:t>
      </w:r>
      <w:r>
        <w:t xml:space="preserve"> </w:t>
      </w:r>
      <m:oMath>
        <m:sSup>
          <m:e>
            <m:r>
              <m:t>Φ</m:t>
            </m:r>
          </m:e>
          <m:sup>
            <m:r>
              <m:rPr>
                <m:sty m:val="p"/>
              </m:rPr>
              <m:t>−</m:t>
            </m:r>
            <m:r>
              <m:t>1</m:t>
            </m:r>
          </m:sup>
        </m:sSup>
      </m:oMath>
      <w:r>
        <w:t xml:space="preserve"> </w:t>
      </w:r>
      <w:r>
        <w:t xml:space="preserve">the inverse standard normal distribution function. The outcome</w:t>
      </w:r>
      <w:r>
        <w:t xml:space="preserve"> </w:t>
      </w:r>
      <m:oMath>
        <m:sSub>
          <m:e>
            <m:r>
              <m:t>y</m:t>
            </m:r>
          </m:e>
          <m:sub>
            <m:r>
              <m:t>i</m:t>
            </m:r>
            <m:r>
              <m:rPr>
                <m:sty m:val="p"/>
              </m:rPr>
              <m:t>,</m:t>
            </m:r>
            <m:r>
              <m:t>τ</m:t>
            </m:r>
          </m:sub>
        </m:sSub>
      </m:oMath>
      <w:r>
        <w:t xml:space="preserve"> </w:t>
      </w:r>
      <w:r>
        <w:t xml:space="preserve">is the stock’s compounded return over the next five trading days minus the</w:t>
      </w:r>
      <w:r>
        <w:t xml:space="preserve"> </w:t>
      </w:r>
      <m:oMath>
        <m:bar>
          <m:barPr>
            <m:pos m:val="top"/>
          </m:barPr>
          <m:e>
            <m:r>
              <m:t>V</m:t>
            </m:r>
          </m:e>
        </m:bar>
      </m:oMath>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with weekly intercept</w:t>
      </w:r>
      <w:r>
        <w:t xml:space="preserve"> </w:t>
      </w:r>
      <m:oMath>
        <m:sSub>
          <m:e>
            <m:r>
              <m:t>a</m:t>
            </m:r>
          </m:e>
          <m:sub>
            <m:r>
              <m:t>τ</m:t>
            </m:r>
          </m:sub>
        </m:sSub>
      </m:oMath>
      <w:r>
        <w:t xml:space="preserve">, slope</w:t>
      </w:r>
      <w:r>
        <w:t xml:space="preserve"> </w:t>
      </w:r>
      <m:oMath>
        <m:sSub>
          <m:e>
            <m:r>
              <m:t>γ</m:t>
            </m:r>
          </m:e>
          <m:sub>
            <m:r>
              <m:t>τ</m:t>
            </m:r>
          </m:sub>
        </m:sSub>
      </m:oMath>
      <w:r>
        <w:t xml:space="preserve">, and residual</w:t>
      </w:r>
      <w:r>
        <w:t xml:space="preserve"> </w:t>
      </w:r>
      <m:oMath>
        <m:sSub>
          <m:e>
            <m:r>
              <m:t>ε</m:t>
            </m:r>
          </m:e>
          <m:sub>
            <m:r>
              <m:t>i</m:t>
            </m:r>
            <m:r>
              <m:rPr>
                <m:sty m:val="p"/>
              </m:rPr>
              <m:t>,</m:t>
            </m:r>
            <m:r>
              <m:t>τ</m:t>
            </m:r>
          </m:sub>
        </m:sSub>
      </m:oMath>
      <w:r>
        <w:t xml:space="preserve">. The</w:t>
      </w:r>
      <w:r>
        <w:t xml:space="preserve"> </w:t>
      </w:r>
      <w:r>
        <w:rPr>
          <w:iCs/>
          <w:i/>
        </w:rPr>
        <w:t xml:space="preserve">t</w:t>
      </w:r>
      <w:r>
        <w:t xml:space="preserve">-statistic of</w:t>
      </w:r>
      <w:r>
        <w:t xml:space="preserve"> </w:t>
      </w:r>
      <m:oMath>
        <m:acc>
          <m:accPr>
            <m:chr m:val="̂"/>
          </m:accPr>
          <m:e>
            <m:r>
              <m:t>γ</m:t>
            </m:r>
          </m:e>
        </m:acc>
      </m:oMath>
      <w:r>
        <w:t xml:space="preserve"> </w:t>
      </w:r>
      <w:r>
        <w:t xml:space="preserve">uses Newey and West (1987) standard errors (four lags, Bartlett weights, no prewhitening) and 78 degrees of freedom. Appendix A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with</w:t>
      </w:r>
      <w:r>
        <w:t xml:space="preserve"> </w:t>
      </w:r>
      <m:oMath>
        <m:acc>
          <m:accPr>
            <m:chr m:val="̂"/>
          </m:accPr>
          <m:e>
            <m:r>
              <m:rPr>
                <m:nor/>
                <m:sty m:val="p"/>
              </m:rPr>
              <m:t>SE</m:t>
            </m:r>
          </m:e>
        </m:acc>
      </m:oMath>
      <w:r>
        <w:t xml:space="preserve"> </w:t>
      </w:r>
      <w:r>
        <w:t xml:space="preserve">the Newey–West standard error.</w:t>
      </w:r>
    </w:p>
    <w:p>
      <w:pPr>
        <w:pStyle w:val="BodyText"/>
      </w:pPr>
      <w:r>
        <w:rPr>
          <w:bCs/>
          <w:b/>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With</w:t>
      </w:r>
      <w:r>
        <w:t xml:space="preserve"> </w:t>
      </w:r>
      <w:r>
        <w:rPr>
          <w:iCs/>
          <w:i/>
        </w:rPr>
        <w:t xml:space="preserve">p</w:t>
      </w:r>
      <w:r>
        <w:t xml:space="preserve">-values ordered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the Benjamini–Hochberg (BH) adjusted</w:t>
      </w:r>
      <w:r>
        <w:t xml:space="preserve"> </w:t>
      </w:r>
      <w:r>
        <w:rPr>
          <w:iCs/>
          <w:i/>
        </w:rPr>
        <w:t xml:space="preserve">p</w:t>
      </w:r>
      <w:r>
        <w:t xml:space="preserve">-value at rank</w:t>
      </w:r>
      <w:r>
        <w:t xml:space="preserve"> </w:t>
      </w:r>
      <m:oMath>
        <m:r>
          <m:t>r</m:t>
        </m:r>
      </m:oMath>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and we also report Holm (1979) adjustments and the |</w:t>
      </w:r>
      <w:r>
        <w:rPr>
          <w:iCs/>
          <w:i/>
        </w:rPr>
        <w:t xml:space="preserve">t</w:t>
      </w:r>
      <w:r>
        <w:t xml:space="preserve">| = 3 hurdle of Harvey et al. (2016). A test survives if</w:t>
      </w:r>
      <w:r>
        <w:t xml:space="preserve"> </w:t>
      </w:r>
      <m:oMath>
        <m:acc>
          <m:accPr>
            <m:chr m:val="̃"/>
          </m:accPr>
          <m:e>
            <m:r>
              <m:t>p</m:t>
            </m:r>
          </m:e>
        </m:acc>
        <m:r>
          <m:rPr>
            <m:sty m:val="p"/>
          </m:rPr>
          <m:t>&lt;</m:t>
        </m:r>
        <m:r>
          <m:t>0.05</m:t>
        </m:r>
      </m:oMath>
      <w:r>
        <w:t xml:space="preserve">,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5 reports the event tests under alternative family definitions.</w:t>
      </w:r>
    </w:p>
    <w:p>
      <w:pPr>
        <w:pStyle w:val="BodyText"/>
      </w:pPr>
      <w:r>
        <w:rPr>
          <w:bCs/>
          <w:b/>
        </w:rPr>
        <w:t xml:space="preserve">Analysis plan.</w:t>
      </w:r>
      <w:r>
        <w:t xml:space="preserve"> </w:t>
      </w:r>
      <w: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bookmarkEnd w:id="23"/>
    <w:bookmarkStart w:id="30" w:name="results"/>
    <w:p>
      <w:pPr>
        <w:pStyle w:val="Heading1"/>
        <w:keepNext/>
      </w:pPr>
      <w:r>
        <w:t xml:space="preserve">5. Results</w:t>
      </w:r>
    </w:p>
    <w:p>
      <w:pPr>
        <w:pStyle w:val="FirstParagraph"/>
      </w:pPr>
      <w:r>
        <w:t xml:space="preserve">The event sample holds 3,187 ceiling events on 446 dates and 2,105 floor events on 319 dates. Limit closes cluster in market episodes, so our standard errors allow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pPr>
        <w:pStyle w:val="CaptionedFigure"/>
      </w:pPr>
      <w:r>
        <w:drawing>
          <wp:inline>
            <wp:extent cx="5753100" cy="4071424"/>
            <wp:effectExtent b="0" l="0" r="0" t="0"/>
            <wp:docPr descr="Figure 1. t-statistics of the Fama and MacBeth regressions for the 22 characteristics in the full sample, the discovery half (first 39 weeks), and the confirmation half, ordered by absolute full-sample t. Appendix A defines the labels. Dashed lines mark |t| = 1.96 and dotted lines |t| = 3." title="" id="25" name="Picture"/>
            <a:graphic>
              <a:graphicData uri="http://schemas.openxmlformats.org/drawingml/2006/picture">
                <pic:pic>
                  <pic:nvPicPr>
                    <pic:cNvPr descr="../output/figures/F1_characteristics.png" id="26" name="Picture"/>
                    <pic:cNvPicPr>
                      <a:picLocks noChangeArrowheads="1" noChangeAspect="1"/>
                    </pic:cNvPicPr>
                  </pic:nvPicPr>
                  <pic:blipFill>
                    <a:blip r:embed="rId24"/>
                    <a:stretch>
                      <a:fillRect/>
                    </a:stretch>
                  </pic:blipFill>
                  <pic:spPr bwMode="auto">
                    <a:xfrm>
                      <a:off x="0" y="0"/>
                      <a:ext cx="5753100" cy="4071424"/>
                    </a:xfrm>
                    <a:prstGeom prst="rect">
                      <a:avLst/>
                    </a:prstGeom>
                    <a:noFill/>
                    <a:ln w="9525">
                      <a:noFill/>
                      <a:headEnd/>
                      <a:tailEnd/>
                    </a:ln>
                  </pic:spPr>
                </pic:pic>
              </a:graphicData>
            </a:graphic>
          </wp:inline>
        </w:drawing>
      </w:r>
    </w:p>
    <w:p>
      <w:pPr>
        <w:pStyle w:val="ImageCaption"/>
      </w:pPr>
      <w:r>
        <w:rPr>
          <w:sz w:val="19"/>
        </w:rPr>
        <w:t xml:space="preserve">Figure 1.</w:t>
      </w:r>
      <w:r>
        <w:rPr>
          <w:sz w:val="19"/>
        </w:rPr>
        <w:t xml:space="preserve"> </w:t>
      </w:r>
      <w:r>
        <w:rPr>
          <w:iCs/>
          <w:i/>
          <w:sz w:val="19"/>
        </w:rPr>
        <w:t xml:space="preserve">t</w:t>
      </w:r>
      <w:r>
        <w:rPr>
          <w:sz w:val="19"/>
        </w:rPr>
        <w:t xml:space="preserve">-statistics of the Fama and MacBeth regressions for the 22 characteristics in the full sample, the discovery half (first 39 weeks), and the confirmation half, ordered by absolute full-sample</w:t>
      </w:r>
      <w:r>
        <w:rPr>
          <w:sz w:val="19"/>
        </w:rPr>
        <w:t xml:space="preserve"> </w:t>
      </w:r>
      <w:r>
        <w:rPr>
          <w:iCs/>
          <w:i/>
          <w:sz w:val="19"/>
        </w:rPr>
        <w:t xml:space="preserve">t</w:t>
      </w:r>
      <w:r>
        <w:rPr>
          <w:sz w:val="19"/>
        </w:rPr>
        <w:t xml:space="preserve">. Appendix A defines the labels. Dashed lines mark |</w:t>
      </w:r>
      <w:r>
        <w:rPr>
          <w:iCs/>
          <w:i/>
          <w:sz w:val="19"/>
        </w:rPr>
        <w:t xml:space="preserve">t</w:t>
      </w:r>
      <w:r>
        <w:rPr>
          <w:sz w:val="19"/>
        </w:rPr>
        <w:t xml:space="preserve">| = 1.96 and dotted lines |</w:t>
      </w:r>
      <w:r>
        <w:rPr>
          <w:iCs/>
          <w:i/>
          <w:sz w:val="19"/>
        </w:rPr>
        <w:t xml:space="preserve">t</w:t>
      </w:r>
      <w:r>
        <w:rPr>
          <w:sz w:val="19"/>
        </w:rPr>
        <w:t xml:space="preserve">| = 3.</w:t>
      </w:r>
    </w:p>
    <w:p>
      <w:pPr>
        <w:pStyle w:val="BodyText"/>
      </w:pPr>
      <w:r>
        <w:t xml:space="preserve">Table 1 reports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keep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and floor closes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keepNext/>
        <w:spacing w:after="60"/>
      </w:pPr>
      <w:r>
        <w:rPr>
          <w:sz w:val="19"/>
        </w:rPr>
        <w:t xml:space="preserve">Table 1. Market-adjusted returns (percent) after ceiling and floor closes.</w:t>
      </w:r>
      <w:r>
        <w:rPr>
          <w:sz w:val="19"/>
        </w:rPr>
        <w:t xml:space="preserve"> </w:t>
      </w:r>
      <w:r>
        <w:rPr>
          <w:iCs/>
          <w:i/>
          <w:sz w:val="19"/>
        </w:rPr>
        <w:t xml:space="preserve">t</w:t>
      </w:r>
      <w:r>
        <w:rPr>
          <w:sz w:val="19"/>
        </w:rPr>
        <w:t xml:space="preserve"> </w:t>
      </w:r>
      <w:r>
        <w:rPr>
          <w:sz w:val="19"/>
        </w:rPr>
        <w:t xml:space="preserve">(date),</w:t>
      </w:r>
      <w:r>
        <w:rPr>
          <w:sz w:val="19"/>
        </w:rPr>
        <w:t xml:space="preserve"> </w:t>
      </w:r>
      <w:r>
        <w:rPr>
          <w:iCs/>
          <w:i/>
          <w:sz w:val="19"/>
        </w:rPr>
        <w:t xml:space="preserve">t</w:t>
      </w:r>
      <w:r>
        <w:rPr>
          <w:sz w:val="19"/>
        </w:rPr>
        <w:t xml:space="preserve"> </w:t>
      </w:r>
      <w:r>
        <w:rPr>
          <w:sz w:val="19"/>
        </w:rPr>
        <w:t xml:space="preserve">(week), and</w:t>
      </w:r>
      <w:r>
        <w:rPr>
          <w:sz w:val="19"/>
        </w:rPr>
        <w:t xml:space="preserve"> </w:t>
      </w:r>
      <w:r>
        <w:rPr>
          <w:iCs/>
          <w:i/>
          <w:sz w:val="19"/>
        </w:rPr>
        <w:t xml:space="preserve">t</w:t>
      </w:r>
      <w:r>
        <w:rPr>
          <w:sz w:val="19"/>
        </w:rPr>
        <w:t xml:space="preserve"> </w:t>
      </w:r>
      <w:r>
        <w:rPr>
          <w:sz w:val="19"/>
        </w:rPr>
        <w:t xml:space="preserve">(10-day) cluster by event date, calendar week, and 10-day block, with the factor</w:t>
      </w:r>
      <w:r>
        <w:rPr>
          <w:sz w:val="19"/>
        </w:rPr>
        <w:t xml:space="preserve"> </w:t>
      </w:r>
      <w:r>
        <w:rPr>
          <w:iCs/>
          <w:i/>
          <w:sz w:val="19"/>
        </w:rPr>
        <w:t xml:space="preserve">G</w:t>
      </w:r>
      <w:r>
        <w:rPr>
          <w:sz w:val="19"/>
        </w:rPr>
        <w:t xml:space="preserve">/(</w:t>
      </w:r>
      <w:r>
        <w:rPr>
          <w:iCs/>
          <w:i/>
          <w:sz w:val="19"/>
        </w:rPr>
        <w:t xml:space="preserve">G</w:t>
      </w:r>
      <w:r>
        <w:rPr>
          <w:sz w:val="19"/>
        </w:rPr>
        <w:t xml:space="preserve"> </w:t>
      </w:r>
      <w:r>
        <w:rPr>
          <w:sz w:val="19"/>
        </w:rPr>
        <w:t xml:space="preserve">− 1) for</w:t>
      </w:r>
      <w:r>
        <w:rPr>
          <w:sz w:val="19"/>
        </w:rPr>
        <w:t xml:space="preserve"> </w:t>
      </w:r>
      <w:r>
        <w:rPr>
          <w:iCs/>
          <w:i/>
          <w:sz w:val="19"/>
        </w:rPr>
        <w:t xml:space="preserve">G</w:t>
      </w:r>
      <w:r>
        <w:rPr>
          <w:sz w:val="19"/>
        </w:rPr>
        <w:t xml:space="preserve"> </w:t>
      </w:r>
      <w:r>
        <w:rPr>
          <w:sz w:val="19"/>
        </w:rPr>
        <w:t xml:space="preserve">clusters and a</w:t>
      </w:r>
      <w:r>
        <w:rPr>
          <w:sz w:val="19"/>
        </w:rPr>
        <w:t xml:space="preserve"> </w:t>
      </w:r>
      <w:r>
        <w:rPr>
          <w:iCs/>
          <w:i/>
          <w:sz w:val="19"/>
        </w:rPr>
        <w:t xml:space="preserve">t</w:t>
      </w:r>
      <w:r>
        <w:rPr>
          <w:sz w:val="19"/>
        </w:rPr>
        <w:t xml:space="preserve"> </w:t>
      </w:r>
      <w:r>
        <w:rPr>
          <w:sz w:val="19"/>
        </w:rPr>
        <w:t xml:space="preserve">reference with</w:t>
      </w:r>
      <w:r>
        <w:rPr>
          <w:sz w:val="19"/>
        </w:rPr>
        <w:t xml:space="preserve"> </w:t>
      </w:r>
      <w:r>
        <w:rPr>
          <w:iCs/>
          <w:i/>
          <w:sz w:val="19"/>
        </w:rPr>
        <w:t xml:space="preserve">G</w:t>
      </w:r>
      <w:r>
        <w:rPr>
          <w:sz w:val="19"/>
        </w:rPr>
        <w:t xml:space="preserve"> </w:t>
      </w:r>
      <w:r>
        <w:rPr>
          <w:sz w:val="19"/>
        </w:rPr>
        <w:t xml:space="preserve">− 1 degrees of freedom.</w:t>
      </w:r>
      <w:r>
        <w:rPr>
          <w:sz w:val="19"/>
        </w:rPr>
        <w:t xml:space="preserve"> </w:t>
      </w:r>
      <w:r>
        <w:rPr>
          <w:iCs/>
          <w:i/>
          <w:sz w:val="19"/>
        </w:rPr>
        <w:t xml:space="preserve">t</w:t>
      </w:r>
      <w:r>
        <w:rPr>
          <w:sz w:val="19"/>
        </w:rPr>
        <w:t xml:space="preserve"> </w:t>
      </w:r>
      <w:r>
        <w:rPr>
          <w:sz w:val="19"/>
        </w:rPr>
        <w:t xml:space="preserve">(halves) gives week-clustered statistics for the first and second half of event dates. Events require complete returns for days</w:t>
      </w:r>
      <w:r>
        <w:rPr>
          <w:sz w:val="19"/>
        </w:rPr>
        <w:t xml:space="preserve"> </w:t>
      </w:r>
      <w:r>
        <w:rPr>
          <w:iCs/>
          <w:i/>
          <w:sz w:val="19"/>
        </w:rPr>
        <w:t xml:space="preserve">d</w:t>
      </w:r>
      <w:r>
        <w:rPr>
          <w:sz w:val="19"/>
        </w:rPr>
        <w:t xml:space="preserve">+1 to</w:t>
      </w:r>
      <w:r>
        <w:rPr>
          <w:sz w:val="19"/>
        </w:rPr>
        <w:t xml:space="preserve"> </w:t>
      </w:r>
      <w:r>
        <w:rPr>
          <w:iCs/>
          <w:i/>
          <w:sz w:val="19"/>
        </w:rPr>
        <w:t xml:space="preserve">d</w:t>
      </w:r>
      <w:r>
        <w:rPr>
          <w:sz w:val="19"/>
        </w:rPr>
        <w:t xml:space="preserve">+5.</w:t>
      </w:r>
    </w:p>
    <w:tbl>
      <w:tblPr>
        <w:tblStyle w:val="Table"/>
        <w:tblW w:type="dxa" w:w="9070"/>
        <w:tblLook w:firstRow="1" w:lastRow="0" w:firstColumn="0" w:lastColumn="0" w:noHBand="0" w:noVBand="0" w:val="0020"/>
        <w:jc w:val="start"/>
        <w:tblLayout w:type="fixed"/>
      </w:tblPr>
      <w:tblGrid>
        <w:gridCol w:w="1604"/>
        <w:gridCol w:w="1114"/>
        <w:gridCol w:w="891"/>
        <w:gridCol w:w="1002"/>
        <w:gridCol w:w="1002"/>
        <w:gridCol w:w="1225"/>
        <w:gridCol w:w="1225"/>
        <w:gridCol w:w="1002"/>
      </w:tblGrid>
      <w:tr>
        <w:trPr>
          <w:tblHeader w:val="true"/>
          <w:tblHeader/>
          <w:cantSplit/>
        </w:trPr>
        <w:tc>
          <w:tcPr>
            <w:tcW w:type="dxa" w:w="160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11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Horizon</w:t>
            </w:r>
          </w:p>
        </w:tc>
        <w:tc>
          <w:tcPr>
            <w:tcW w:type="dxa" w:w="891"/>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Mean (%)</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(date)</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(week)</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(10-day)</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(halves)</w:t>
            </w:r>
          </w:p>
        </w:tc>
        <w:tc>
          <w:tcPr>
            <w:tcW w:type="dxa" w:w="10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1.66</w:t>
            </w:r>
          </w:p>
        </w:tc>
        <w:tc>
          <w:tcPr>
            <w:tcW w:type="dxa" w:w="1002"/>
          </w:tcPr>
          <w:p>
            <w:pPr>
              <w:pStyle w:val="Compact"/>
              <w:keepNext/>
              <w:spacing w:after="20" w:before="20" w:line="240" w:lineRule="auto"/>
              <w:jc w:val="center"/>
            </w:pPr>
            <w:r>
              <w:rPr>
                <w:rFonts w:ascii="Times New Roman" w:hAnsi="Times New Roman"/>
                <w:sz w:val="17"/>
              </w:rPr>
              <w:t xml:space="preserve">4.90</w:t>
            </w:r>
          </w:p>
        </w:tc>
        <w:tc>
          <w:tcPr>
            <w:tcW w:type="dxa" w:w="1002"/>
          </w:tcPr>
          <w:p>
            <w:pPr>
              <w:pStyle w:val="Compact"/>
              <w:keepNext/>
              <w:spacing w:after="20" w:before="20" w:line="240" w:lineRule="auto"/>
              <w:jc w:val="center"/>
            </w:pPr>
            <w:r>
              <w:rPr>
                <w:rFonts w:ascii="Times New Roman" w:hAnsi="Times New Roman"/>
                <w:sz w:val="17"/>
              </w:rPr>
              <w:t xml:space="preserve">4.67</w:t>
            </w:r>
          </w:p>
        </w:tc>
        <w:tc>
          <w:tcPr>
            <w:tcW w:type="dxa" w:w="1225"/>
          </w:tcPr>
          <w:p>
            <w:pPr>
              <w:pStyle w:val="Compact"/>
              <w:keepNext/>
              <w:spacing w:after="20" w:before="20" w:line="240" w:lineRule="auto"/>
              <w:jc w:val="center"/>
            </w:pPr>
            <w:r>
              <w:rPr>
                <w:rFonts w:ascii="Times New Roman" w:hAnsi="Times New Roman"/>
                <w:sz w:val="17"/>
              </w:rPr>
              <w:t xml:space="preserve">4.61</w:t>
            </w:r>
          </w:p>
        </w:tc>
        <w:tc>
          <w:tcPr>
            <w:tcW w:type="dxa" w:w="1225"/>
          </w:tcPr>
          <w:p>
            <w:pPr>
              <w:pStyle w:val="Compact"/>
              <w:keepNext/>
              <w:spacing w:after="20" w:before="20" w:line="240" w:lineRule="auto"/>
              <w:jc w:val="center"/>
            </w:pPr>
            <w:r>
              <w:rPr>
                <w:rFonts w:ascii="Times New Roman" w:hAnsi="Times New Roman"/>
                <w:sz w:val="17"/>
              </w:rPr>
              <w:t xml:space="preserve">2.2 / 13.7</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1.45</w:t>
            </w:r>
          </w:p>
        </w:tc>
        <w:tc>
          <w:tcPr>
            <w:tcW w:type="dxa" w:w="1002"/>
          </w:tcPr>
          <w:p>
            <w:pPr>
              <w:pStyle w:val="Compact"/>
              <w:keepNext/>
              <w:spacing w:after="20" w:before="20" w:line="240" w:lineRule="auto"/>
              <w:jc w:val="center"/>
            </w:pPr>
            <w:r>
              <w:rPr>
                <w:rFonts w:ascii="Times New Roman" w:hAnsi="Times New Roman"/>
                <w:sz w:val="17"/>
              </w:rPr>
              <w:t xml:space="preserve">4.00</w:t>
            </w:r>
          </w:p>
        </w:tc>
        <w:tc>
          <w:tcPr>
            <w:tcW w:type="dxa" w:w="1002"/>
          </w:tcPr>
          <w:p>
            <w:pPr>
              <w:pStyle w:val="Compact"/>
              <w:keepNext/>
              <w:spacing w:after="20" w:before="20" w:line="240" w:lineRule="auto"/>
              <w:jc w:val="center"/>
            </w:pPr>
            <w:r>
              <w:rPr>
                <w:rFonts w:ascii="Times New Roman" w:hAnsi="Times New Roman"/>
                <w:sz w:val="17"/>
              </w:rPr>
              <w:t xml:space="preserve">3.67</w:t>
            </w:r>
          </w:p>
        </w:tc>
        <w:tc>
          <w:tcPr>
            <w:tcW w:type="dxa" w:w="1225"/>
          </w:tcPr>
          <w:p>
            <w:pPr>
              <w:pStyle w:val="Compact"/>
              <w:keepNext/>
              <w:spacing w:after="20" w:before="20" w:line="240" w:lineRule="auto"/>
              <w:jc w:val="center"/>
            </w:pPr>
            <w:r>
              <w:rPr>
                <w:rFonts w:ascii="Times New Roman" w:hAnsi="Times New Roman"/>
                <w:sz w:val="17"/>
              </w:rPr>
              <w:t xml:space="preserve">3.81</w:t>
            </w:r>
          </w:p>
        </w:tc>
        <w:tc>
          <w:tcPr>
            <w:tcW w:type="dxa" w:w="1225"/>
          </w:tcPr>
          <w:p>
            <w:pPr>
              <w:pStyle w:val="Compact"/>
              <w:keepNext/>
              <w:spacing w:after="20" w:before="20" w:line="240" w:lineRule="auto"/>
              <w:jc w:val="center"/>
            </w:pPr>
            <w:r>
              <w:rPr>
                <w:rFonts w:ascii="Times New Roman" w:hAnsi="Times New Roman"/>
                <w:sz w:val="17"/>
              </w:rPr>
              <w:t xml:space="preserve">1.7 / 5.0</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−0.24</w:t>
            </w:r>
          </w:p>
        </w:tc>
        <w:tc>
          <w:tcPr>
            <w:tcW w:type="dxa" w:w="1002"/>
          </w:tcPr>
          <w:p>
            <w:pPr>
              <w:pStyle w:val="Compact"/>
              <w:keepNext/>
              <w:spacing w:after="20" w:before="20" w:line="240" w:lineRule="auto"/>
              <w:jc w:val="center"/>
            </w:pPr>
            <w:r>
              <w:rPr>
                <w:rFonts w:ascii="Times New Roman" w:hAnsi="Times New Roman"/>
                <w:sz w:val="17"/>
              </w:rPr>
              <w:t xml:space="preserve">−1.53</w:t>
            </w:r>
          </w:p>
        </w:tc>
        <w:tc>
          <w:tcPr>
            <w:tcW w:type="dxa" w:w="1002"/>
          </w:tcPr>
          <w:p>
            <w:pPr>
              <w:pStyle w:val="Compact"/>
              <w:keepNext/>
              <w:spacing w:after="20" w:before="20" w:line="240" w:lineRule="auto"/>
              <w:jc w:val="center"/>
            </w:pPr>
            <w:r>
              <w:rPr>
                <w:rFonts w:ascii="Times New Roman" w:hAnsi="Times New Roman"/>
                <w:sz w:val="17"/>
              </w:rPr>
              <w:t xml:space="preserve">−1.11</w:t>
            </w:r>
          </w:p>
        </w:tc>
        <w:tc>
          <w:tcPr>
            <w:tcW w:type="dxa" w:w="1225"/>
          </w:tcPr>
          <w:p>
            <w:pPr>
              <w:pStyle w:val="Compact"/>
              <w:keepNext/>
              <w:spacing w:after="20" w:before="20" w:line="240" w:lineRule="auto"/>
              <w:jc w:val="center"/>
            </w:pPr>
            <w:r>
              <w:rPr>
                <w:rFonts w:ascii="Times New Roman" w:hAnsi="Times New Roman"/>
                <w:sz w:val="17"/>
              </w:rPr>
              <w:t xml:space="preserve">−1.25</w:t>
            </w:r>
          </w:p>
        </w:tc>
        <w:tc>
          <w:tcPr>
            <w:tcW w:type="dxa" w:w="1225"/>
          </w:tcPr>
          <w:p>
            <w:pPr>
              <w:pStyle w:val="Compact"/>
              <w:keepNext/>
              <w:spacing w:after="20" w:before="20" w:line="240" w:lineRule="auto"/>
              <w:jc w:val="center"/>
            </w:pPr>
            <w:r>
              <w:rPr>
                <w:rFonts w:ascii="Times New Roman" w:hAnsi="Times New Roman"/>
                <w:sz w:val="17"/>
              </w:rPr>
              <w:t xml:space="preserve">−1.1 / −0.4</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−0.71</w:t>
            </w:r>
          </w:p>
        </w:tc>
        <w:tc>
          <w:tcPr>
            <w:tcW w:type="dxa" w:w="1002"/>
          </w:tcPr>
          <w:p>
            <w:pPr>
              <w:pStyle w:val="Compact"/>
              <w:keepNext/>
              <w:spacing w:after="20" w:before="20" w:line="240" w:lineRule="auto"/>
              <w:jc w:val="center"/>
            </w:pPr>
            <w:r>
              <w:rPr>
                <w:rFonts w:ascii="Times New Roman" w:hAnsi="Times New Roman"/>
                <w:sz w:val="17"/>
              </w:rPr>
              <w:t xml:space="preserve">−5.32</w:t>
            </w:r>
          </w:p>
        </w:tc>
        <w:tc>
          <w:tcPr>
            <w:tcW w:type="dxa" w:w="1002"/>
          </w:tcPr>
          <w:p>
            <w:pPr>
              <w:pStyle w:val="Compact"/>
              <w:keepNext/>
              <w:spacing w:after="20" w:before="20" w:line="240" w:lineRule="auto"/>
              <w:jc w:val="center"/>
            </w:pPr>
            <w:r>
              <w:rPr>
                <w:rFonts w:ascii="Times New Roman" w:hAnsi="Times New Roman"/>
                <w:sz w:val="17"/>
              </w:rPr>
              <w:t xml:space="preserve">−4.66</w:t>
            </w:r>
          </w:p>
        </w:tc>
        <w:tc>
          <w:tcPr>
            <w:tcW w:type="dxa" w:w="1225"/>
          </w:tcPr>
          <w:p>
            <w:pPr>
              <w:pStyle w:val="Compact"/>
              <w:keepNext/>
              <w:spacing w:after="20" w:before="20" w:line="240" w:lineRule="auto"/>
              <w:jc w:val="center"/>
            </w:pPr>
            <w:r>
              <w:rPr>
                <w:rFonts w:ascii="Times New Roman" w:hAnsi="Times New Roman"/>
                <w:sz w:val="17"/>
              </w:rPr>
              <w:t xml:space="preserve">−6.25</w:t>
            </w:r>
          </w:p>
        </w:tc>
        <w:tc>
          <w:tcPr>
            <w:tcW w:type="dxa" w:w="1225"/>
          </w:tcPr>
          <w:p>
            <w:pPr>
              <w:pStyle w:val="Compact"/>
              <w:keepNext/>
              <w:spacing w:after="20" w:before="20" w:line="240" w:lineRule="auto"/>
              <w:jc w:val="center"/>
            </w:pPr>
            <w:r>
              <w:rPr>
                <w:rFonts w:ascii="Times New Roman" w:hAnsi="Times New Roman"/>
                <w:sz w:val="17"/>
              </w:rPr>
              <w:t xml:space="preserve">−2.7 / −4.6</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−1.76</w:t>
            </w:r>
          </w:p>
        </w:tc>
        <w:tc>
          <w:tcPr>
            <w:tcW w:type="dxa" w:w="1002"/>
          </w:tcPr>
          <w:p>
            <w:pPr>
              <w:pStyle w:val="Compact"/>
              <w:keepNext/>
              <w:spacing w:after="20" w:before="20" w:line="240" w:lineRule="auto"/>
              <w:jc w:val="center"/>
            </w:pPr>
            <w:r>
              <w:rPr>
                <w:rFonts w:ascii="Times New Roman" w:hAnsi="Times New Roman"/>
                <w:sz w:val="17"/>
              </w:rPr>
              <w:t xml:space="preserve">−4.74</w:t>
            </w:r>
          </w:p>
        </w:tc>
        <w:tc>
          <w:tcPr>
            <w:tcW w:type="dxa" w:w="1002"/>
          </w:tcPr>
          <w:p>
            <w:pPr>
              <w:pStyle w:val="Compact"/>
              <w:keepNext/>
              <w:spacing w:after="20" w:before="20" w:line="240" w:lineRule="auto"/>
              <w:jc w:val="center"/>
            </w:pPr>
            <w:r>
              <w:rPr>
                <w:rFonts w:ascii="Times New Roman" w:hAnsi="Times New Roman"/>
                <w:sz w:val="17"/>
              </w:rPr>
              <w:t xml:space="preserve">−4.80</w:t>
            </w:r>
          </w:p>
        </w:tc>
        <w:tc>
          <w:tcPr>
            <w:tcW w:type="dxa" w:w="1225"/>
          </w:tcPr>
          <w:p>
            <w:pPr>
              <w:pStyle w:val="Compact"/>
              <w:keepNext/>
              <w:spacing w:after="20" w:before="20" w:line="240" w:lineRule="auto"/>
              <w:jc w:val="center"/>
            </w:pPr>
            <w:r>
              <w:rPr>
                <w:rFonts w:ascii="Times New Roman" w:hAnsi="Times New Roman"/>
                <w:sz w:val="17"/>
              </w:rPr>
              <w:t xml:space="preserve">−4.92</w:t>
            </w:r>
          </w:p>
        </w:tc>
        <w:tc>
          <w:tcPr>
            <w:tcW w:type="dxa" w:w="1225"/>
          </w:tcPr>
          <w:p>
            <w:pPr>
              <w:pStyle w:val="Compact"/>
              <w:keepNext/>
              <w:spacing w:after="20" w:before="20" w:line="240" w:lineRule="auto"/>
              <w:jc w:val="center"/>
            </w:pPr>
            <w:r>
              <w:rPr>
                <w:rFonts w:ascii="Times New Roman" w:hAnsi="Times New Roman"/>
                <w:sz w:val="17"/>
              </w:rPr>
              <w:t xml:space="preserve">−12.3 / −2.2</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114"/>
            <w:tcBorders>
              <w:bottom w:val="single" w:sz="8" w:color="000000" w:space="0"/>
            </w:tcBorders>
          </w:tcPr>
          <w:p>
            <w:pPr>
              <w:pStyle w:val="Compac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Borders>
              <w:bottom w:val="single" w:sz="8" w:color="000000" w:space="0"/>
            </w:tcBorders>
          </w:tcPr>
          <w:p>
            <w:pPr>
              <w:pStyle w:val="Compact"/>
              <w:spacing w:after="20" w:before="20" w:line="240" w:lineRule="auto"/>
              <w:jc w:val="center"/>
            </w:pPr>
            <w:r>
              <w:rPr>
                <w:rFonts w:ascii="Times New Roman" w:hAnsi="Times New Roman"/>
                <w:sz w:val="17"/>
              </w:rPr>
              <w:t xml:space="preserve">−1.10</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−2.91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−3.01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−2.81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−8.7 / −1.1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2,105</w:t>
            </w:r>
          </w:p>
        </w:tc>
      </w:tr>
    </w:tbl>
    <w:p>
      <w:pPr>
        <w:pStyle w:val="BodyText"/>
        <w:spacing w:before="160"/>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sits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keepNext/>
        <w:spacing w:after="60"/>
      </w:pPr>
      <w:r>
        <w:rPr>
          <w:sz w:val="19"/>
        </w:rPr>
        <w:t xml:space="preserve">Table 2. Next-day abnormal returns (percent) by component and sample, with two-way-clustered</w:t>
      </w:r>
      <w:r>
        <w:rPr>
          <w:sz w:val="19"/>
        </w:rPr>
        <w:t xml:space="preserve"> </w:t>
      </w:r>
      <w:r>
        <w:rPr>
          <w:iCs/>
          <w:i/>
          <w:sz w:val="19"/>
        </w:rPr>
        <w:t xml:space="preserve">t</w:t>
      </w:r>
      <w:r>
        <w:rPr>
          <w:sz w:val="19"/>
        </w:rPr>
        <w:t xml:space="preserve">-statistics in parentheses. Benchmarks are the dollar-volume-weighted market (weights lagged to day</w:t>
      </w:r>
      <w:r>
        <w:rPr>
          <w:sz w:val="19"/>
        </w:rPr>
        <w:t xml:space="preserve"> </w:t>
      </w:r>
      <w:r>
        <w:rPr>
          <w:iCs/>
          <w:i/>
          <w:sz w:val="19"/>
        </w:rPr>
        <w:t xml:space="preserve">d</w:t>
      </w:r>
      <w:r>
        <w:rPr>
          <w:sz w:val="19"/>
        </w:rPr>
        <w:t xml:space="preserve">) or same-date control stocks in the same liquidity tercile (Section 4). Open to day</w:t>
      </w:r>
      <w:r>
        <w:rPr>
          <w:sz w:val="19"/>
        </w:rPr>
        <w:t xml:space="preserve"> </w:t>
      </w:r>
      <w:r>
        <w:rPr>
          <w:iCs/>
          <w:i/>
          <w:sz w:val="19"/>
        </w:rPr>
        <w:t xml:space="preserve">d</w:t>
      </w:r>
      <w:r>
        <w:rPr>
          <w:sz w:val="19"/>
        </w:rPr>
        <w:t xml:space="preserve">+5 runs from the day-</w:t>
      </w:r>
      <w:r>
        <w:rPr>
          <w:iCs/>
          <w:i/>
          <w:sz w:val="19"/>
        </w:rPr>
        <w:t xml:space="preserve">d</w:t>
      </w:r>
      <w:r>
        <w:rPr>
          <w:sz w:val="19"/>
        </w:rPr>
        <w:t xml:space="preserve">+1 open to the day-</w:t>
      </w:r>
      <w:r>
        <w:rPr>
          <w:iCs/>
          <w:i/>
          <w:sz w:val="19"/>
        </w:rPr>
        <w:t xml:space="preserve">d</w:t>
      </w:r>
      <w:r>
        <w:rPr>
          <w:sz w:val="19"/>
        </w:rPr>
        <w:t xml:space="preserve">+5 close. Crash days have a market return (Equation (2)) below −2%. Close-to-close need not equal the sum of the components because returns compound. Events are the stock-days that meet the event definition and have the stated return.</w:t>
      </w:r>
    </w:p>
    <w:tbl>
      <w:tblPr>
        <w:tblStyle w:val="Table"/>
        <w:tblW w:type="dxa" w:w="9070"/>
        <w:tblLook w:firstRow="1" w:lastRow="0" w:firstColumn="0" w:lastColumn="0" w:noHBand="0" w:noVBand="0" w:val="0020"/>
        <w:jc w:val="start"/>
        <w:tblLayout w:type="fixed"/>
      </w:tblPr>
      <w:tblGrid>
        <w:gridCol w:w="2222"/>
        <w:gridCol w:w="868"/>
        <w:gridCol w:w="1446"/>
        <w:gridCol w:w="1446"/>
        <w:gridCol w:w="1639"/>
        <w:gridCol w:w="1446"/>
      </w:tblGrid>
      <w:tr>
        <w:trPr>
          <w:tblHeader w:val="true"/>
          <w:tblHeader/>
          <w:cantSplit/>
        </w:trPr>
        <w:tc>
          <w:tcPr>
            <w:tcW w:type="dxa" w:w="2222"/>
            <w:tcBorders>
              <w:top w:val="single" w:sz="8" w:color="000000" w:space="0"/>
              <w:bottom w:val="single" w:sz="6" w:color="000000" w:space="0"/>
            </w:tcBorders>
          </w:tcPr>
          <w:p>
            <w:pPr>
              <w:pStyle w:val="Compact"/>
              <w:spacing w:after="20" w:before="20" w:line="240" w:lineRule="auto"/>
              <w:jc w:val="left"/>
            </w:pPr>
            <w:r>
              <w:rPr>
                <w:rFonts w:ascii="Times New Roman" w:hAnsi="Times New Roman"/>
                <w:b/>
                <w:sz w:val="17"/>
              </w:rPr>
              <w:t xml:space="preserve">Sample</w:t>
            </w:r>
          </w:p>
        </w:tc>
        <w:tc>
          <w:tcPr>
            <w:tcW w:type="dxa" w:w="868"/>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Events</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Overnight gap</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Intraday</w:t>
            </w:r>
          </w:p>
        </w:tc>
        <w:tc>
          <w:tcPr>
            <w:tcW w:type="dxa" w:w="1639"/>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Close-to-close</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r>
      <w:tr>
        <w:trPr>
          <w:cantSplit/>
        </w:trPr>
        <w:tc>
          <w:tcPr>
            <w:tcW w:type="dxa" w:w="2222"/>
          </w:tcPr>
          <w:p>
            <w:pPr>
              <w:pStyle w:val="Compact"/>
              <w:spacing w:after="20" w:before="20" w:line="240" w:lineRule="auto"/>
              <w:jc w:val="left"/>
            </w:pPr>
            <w:r>
              <w:rPr>
                <w:rFonts w:ascii="Times New Roman" w:hAnsi="Times New Roman"/>
                <w:sz w:val="17"/>
              </w:rPr>
              <w:t xml:space="preserve">Ceiling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3,199</w:t>
            </w:r>
          </w:p>
        </w:tc>
        <w:tc>
          <w:tcPr>
            <w:tcW w:type="dxa" w:w="1446"/>
          </w:tcPr>
          <w:p>
            <w:pPr>
              <w:pStyle w:val="Compact"/>
              <w:spacing w:after="20" w:before="20" w:line="240" w:lineRule="auto"/>
              <w:jc w:val="center"/>
            </w:pPr>
            <w:r>
              <w:rPr>
                <w:rFonts w:ascii="Times New Roman" w:hAnsi="Times New Roman"/>
                <w:sz w:val="17"/>
              </w:rPr>
              <w:t xml:space="preserve">2.24 (9.7)</w:t>
            </w:r>
          </w:p>
        </w:tc>
        <w:tc>
          <w:tcPr>
            <w:tcW w:type="dxa" w:w="1446"/>
          </w:tcPr>
          <w:p>
            <w:pPr>
              <w:pStyle w:val="Compact"/>
              <w:spacing w:after="20" w:before="20" w:line="240" w:lineRule="auto"/>
              <w:jc w:val="center"/>
            </w:pPr>
            <w:r>
              <w:rPr>
                <w:rFonts w:ascii="Times New Roman" w:hAnsi="Times New Roman"/>
                <w:sz w:val="17"/>
              </w:rPr>
              <w:t xml:space="preserve">−0.54 (−3.5)</w:t>
            </w:r>
          </w:p>
        </w:tc>
        <w:tc>
          <w:tcPr>
            <w:tcW w:type="dxa" w:w="1639"/>
          </w:tcPr>
          <w:p>
            <w:pPr>
              <w:pStyle w:val="Compact"/>
              <w:spacing w:after="20" w:before="20" w:line="240" w:lineRule="auto"/>
              <w:jc w:val="center"/>
            </w:pPr>
            <w:r>
              <w:rPr>
                <w:rFonts w:ascii="Times New Roman" w:hAnsi="Times New Roman"/>
                <w:sz w:val="17"/>
              </w:rPr>
              <w:t xml:space="preserve">1.66 (4.8)</w:t>
            </w:r>
          </w:p>
        </w:tc>
        <w:tc>
          <w:tcPr>
            <w:tcW w:type="dxa" w:w="1446"/>
          </w:tcPr>
          <w:p>
            <w:pPr>
              <w:pStyle w:val="Compact"/>
              <w:spacing w:after="20" w:before="20" w:line="240" w:lineRule="auto"/>
              <w:jc w:val="center"/>
            </w:pPr>
            <w:r>
              <w:rPr>
                <w:rFonts w:ascii="Times New Roman" w:hAnsi="Times New Roman"/>
                <w:sz w:val="17"/>
              </w:rPr>
              <w:t xml:space="preserve">−0.75 (−2.7)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3,100</w:t>
            </w:r>
          </w:p>
        </w:tc>
        <w:tc>
          <w:tcPr>
            <w:tcW w:type="dxa" w:w="1446"/>
          </w:tcPr>
          <w:p>
            <w:pPr>
              <w:pStyle w:val="Compact"/>
              <w:spacing w:after="20" w:before="20" w:line="240" w:lineRule="auto"/>
              <w:jc w:val="center"/>
            </w:pPr>
            <w:r>
              <w:rPr>
                <w:rFonts w:ascii="Times New Roman" w:hAnsi="Times New Roman"/>
                <w:sz w:val="17"/>
              </w:rPr>
              <w:t xml:space="preserve">2.70 (20.2)</w:t>
            </w:r>
          </w:p>
        </w:tc>
        <w:tc>
          <w:tcPr>
            <w:tcW w:type="dxa" w:w="1446"/>
          </w:tcPr>
          <w:p>
            <w:pPr>
              <w:pStyle w:val="Compact"/>
              <w:spacing w:after="20" w:before="20" w:line="240" w:lineRule="auto"/>
              <w:jc w:val="center"/>
            </w:pPr>
            <w:r>
              <w:rPr>
                <w:rFonts w:ascii="Times New Roman" w:hAnsi="Times New Roman"/>
                <w:sz w:val="17"/>
              </w:rPr>
              <w:t xml:space="preserve">−0.50 (−6.0)</w:t>
            </w:r>
          </w:p>
        </w:tc>
        <w:tc>
          <w:tcPr>
            <w:tcW w:type="dxa" w:w="1639"/>
          </w:tcPr>
          <w:p>
            <w:pPr>
              <w:pStyle w:val="Compact"/>
              <w:spacing w:after="20" w:before="20" w:line="240" w:lineRule="auto"/>
              <w:jc w:val="center"/>
            </w:pPr>
            <w:r>
              <w:rPr>
                <w:rFonts w:ascii="Times New Roman" w:hAnsi="Times New Roman"/>
                <w:sz w:val="17"/>
              </w:rPr>
              <w:t xml:space="preserve">2.16 (18.0)</w:t>
            </w:r>
          </w:p>
        </w:tc>
        <w:tc>
          <w:tcPr>
            <w:tcW w:type="dxa" w:w="1446"/>
          </w:tcPr>
          <w:p>
            <w:pPr>
              <w:pStyle w:val="Compact"/>
              <w:spacing w:after="20" w:before="20" w:line="240" w:lineRule="auto"/>
              <w:jc w:val="center"/>
            </w:pPr>
            <w:r>
              <w:rPr>
                <w:rFonts w:ascii="Times New Roman" w:hAnsi="Times New Roman"/>
                <w:sz w:val="17"/>
              </w:rPr>
              <w:t xml:space="preserve">−0.53 (−1.8)</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1,642</w:t>
            </w:r>
          </w:p>
        </w:tc>
        <w:tc>
          <w:tcPr>
            <w:tcW w:type="dxa" w:w="1446"/>
          </w:tcPr>
          <w:p>
            <w:pPr>
              <w:pStyle w:val="Compact"/>
              <w:spacing w:after="20" w:before="20" w:line="240" w:lineRule="auto"/>
              <w:jc w:val="center"/>
            </w:pPr>
            <w:r>
              <w:rPr>
                <w:rFonts w:ascii="Times New Roman" w:hAnsi="Times New Roman"/>
                <w:sz w:val="17"/>
              </w:rPr>
              <w:t xml:space="preserve">2.79 (13.8)</w:t>
            </w:r>
          </w:p>
        </w:tc>
        <w:tc>
          <w:tcPr>
            <w:tcW w:type="dxa" w:w="1446"/>
          </w:tcPr>
          <w:p>
            <w:pPr>
              <w:pStyle w:val="Compact"/>
              <w:spacing w:after="20" w:before="20" w:line="240" w:lineRule="auto"/>
              <w:jc w:val="center"/>
            </w:pPr>
            <w:r>
              <w:rPr>
                <w:rFonts w:ascii="Times New Roman" w:hAnsi="Times New Roman"/>
                <w:sz w:val="17"/>
              </w:rPr>
              <w:t xml:space="preserve">−0.74 (−5.3)</w:t>
            </w:r>
          </w:p>
        </w:tc>
        <w:tc>
          <w:tcPr>
            <w:tcW w:type="dxa" w:w="1639"/>
          </w:tcPr>
          <w:p>
            <w:pPr>
              <w:pStyle w:val="Compact"/>
              <w:spacing w:after="20" w:before="20" w:line="240" w:lineRule="auto"/>
              <w:jc w:val="center"/>
            </w:pPr>
            <w:r>
              <w:rPr>
                <w:rFonts w:ascii="Times New Roman" w:hAnsi="Times New Roman"/>
                <w:sz w:val="17"/>
              </w:rPr>
              <w:t xml:space="preserve">2.00 (7.1)</w:t>
            </w:r>
          </w:p>
        </w:tc>
        <w:tc>
          <w:tcPr>
            <w:tcW w:type="dxa" w:w="1446"/>
          </w:tcPr>
          <w:p>
            <w:pPr>
              <w:pStyle w:val="Compact"/>
              <w:spacing w:after="20" w:before="20" w:line="240" w:lineRule="auto"/>
              <w:jc w:val="center"/>
            </w:pPr>
            <w:r>
              <w:rPr>
                <w:rFonts w:ascii="Times New Roman" w:hAnsi="Times New Roman"/>
                <w:sz w:val="17"/>
              </w:rPr>
              <w:t xml:space="preserve">−1.02 (−3.0)</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1,557</w:t>
            </w:r>
          </w:p>
        </w:tc>
        <w:tc>
          <w:tcPr>
            <w:tcW w:type="dxa" w:w="1446"/>
          </w:tcPr>
          <w:p>
            <w:pPr>
              <w:pStyle w:val="Compact"/>
              <w:spacing w:after="20" w:before="20" w:line="240" w:lineRule="auto"/>
              <w:jc w:val="center"/>
            </w:pPr>
            <w:r>
              <w:rPr>
                <w:rFonts w:ascii="Times New Roman" w:hAnsi="Times New Roman"/>
                <w:sz w:val="17"/>
              </w:rPr>
              <w:t xml:space="preserve">1.67 (6.4)</w:t>
            </w:r>
          </w:p>
        </w:tc>
        <w:tc>
          <w:tcPr>
            <w:tcW w:type="dxa" w:w="1446"/>
          </w:tcPr>
          <w:p>
            <w:pPr>
              <w:pStyle w:val="Compact"/>
              <w:spacing w:after="20" w:before="20" w:line="240" w:lineRule="auto"/>
              <w:jc w:val="center"/>
            </w:pPr>
            <w:r>
              <w:rPr>
                <w:rFonts w:ascii="Times New Roman" w:hAnsi="Times New Roman"/>
                <w:sz w:val="17"/>
              </w:rPr>
              <w:t xml:space="preserve">−0.32 (−1.6)</w:t>
            </w:r>
          </w:p>
        </w:tc>
        <w:tc>
          <w:tcPr>
            <w:tcW w:type="dxa" w:w="1639"/>
          </w:tcPr>
          <w:p>
            <w:pPr>
              <w:pStyle w:val="Compact"/>
              <w:spacing w:after="20" w:before="20" w:line="240" w:lineRule="auto"/>
              <w:jc w:val="center"/>
            </w:pPr>
            <w:r>
              <w:rPr>
                <w:rFonts w:ascii="Times New Roman" w:hAnsi="Times New Roman"/>
                <w:sz w:val="17"/>
              </w:rPr>
              <w:t xml:space="preserve">1.31 (3.1)</w:t>
            </w:r>
          </w:p>
        </w:tc>
        <w:tc>
          <w:tcPr>
            <w:tcW w:type="dxa" w:w="1446"/>
          </w:tcPr>
          <w:p>
            <w:pPr>
              <w:pStyle w:val="Compact"/>
              <w:spacing w:after="20" w:before="20" w:line="240" w:lineRule="auto"/>
              <w:jc w:val="center"/>
            </w:pPr>
            <w:r>
              <w:rPr>
                <w:rFonts w:ascii="Times New Roman" w:hAnsi="Times New Roman"/>
                <w:sz w:val="17"/>
              </w:rPr>
              <w:t xml:space="preserve">−0.46 (−1.3)</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522</w:t>
            </w:r>
          </w:p>
        </w:tc>
        <w:tc>
          <w:tcPr>
            <w:tcW w:type="dxa" w:w="1446"/>
          </w:tcPr>
          <w:p>
            <w:pPr>
              <w:pStyle w:val="Compact"/>
              <w:spacing w:after="20" w:before="20" w:line="240" w:lineRule="auto"/>
              <w:jc w:val="center"/>
            </w:pPr>
            <w:r>
              <w:rPr>
                <w:rFonts w:ascii="Times New Roman" w:hAnsi="Times New Roman"/>
                <w:sz w:val="17"/>
              </w:rPr>
              <w:t xml:space="preserve">2.91 (3.0)</w:t>
            </w:r>
          </w:p>
        </w:tc>
        <w:tc>
          <w:tcPr>
            <w:tcW w:type="dxa" w:w="1446"/>
          </w:tcPr>
          <w:p>
            <w:pPr>
              <w:pStyle w:val="Compact"/>
              <w:spacing w:after="20" w:before="20" w:line="240" w:lineRule="auto"/>
              <w:jc w:val="center"/>
            </w:pPr>
            <w:r>
              <w:rPr>
                <w:rFonts w:ascii="Times New Roman" w:hAnsi="Times New Roman"/>
                <w:sz w:val="17"/>
              </w:rPr>
              <w:t xml:space="preserve">−1.30 (−5.9)</w:t>
            </w:r>
          </w:p>
        </w:tc>
        <w:tc>
          <w:tcPr>
            <w:tcW w:type="dxa" w:w="1639"/>
          </w:tcPr>
          <w:p>
            <w:pPr>
              <w:pStyle w:val="Compact"/>
              <w:spacing w:after="20" w:before="20" w:line="240" w:lineRule="auto"/>
              <w:jc w:val="center"/>
            </w:pPr>
            <w:r>
              <w:rPr>
                <w:rFonts w:ascii="Times New Roman" w:hAnsi="Times New Roman"/>
                <w:sz w:val="17"/>
              </w:rPr>
              <w:t xml:space="preserve">1.54 (1.4)</w:t>
            </w:r>
          </w:p>
        </w:tc>
        <w:tc>
          <w:tcPr>
            <w:tcW w:type="dxa" w:w="1446"/>
          </w:tcPr>
          <w:p>
            <w:pPr>
              <w:pStyle w:val="Compact"/>
              <w:spacing w:after="20" w:before="20" w:line="240" w:lineRule="auto"/>
              <w:jc w:val="center"/>
            </w:pPr>
            <w:r>
              <w:rPr>
                <w:rFonts w:ascii="Times New Roman" w:hAnsi="Times New Roman"/>
                <w:sz w:val="17"/>
              </w:rPr>
              <w:t xml:space="preserve">−0.76 (−1.5)</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1,615</w:t>
            </w:r>
          </w:p>
        </w:tc>
        <w:tc>
          <w:tcPr>
            <w:tcW w:type="dxa" w:w="1446"/>
          </w:tcPr>
          <w:p>
            <w:pPr>
              <w:pStyle w:val="Compact"/>
              <w:spacing w:after="20" w:before="20" w:line="240" w:lineRule="auto"/>
              <w:jc w:val="center"/>
            </w:pPr>
            <w:r>
              <w:rPr>
                <w:rFonts w:ascii="Times New Roman" w:hAnsi="Times New Roman"/>
                <w:sz w:val="17"/>
              </w:rPr>
              <w:t xml:space="preserve">2.24 (5.4)</w:t>
            </w:r>
          </w:p>
        </w:tc>
        <w:tc>
          <w:tcPr>
            <w:tcW w:type="dxa" w:w="1446"/>
          </w:tcPr>
          <w:p>
            <w:pPr>
              <w:pStyle w:val="Compact"/>
              <w:spacing w:after="20" w:before="20" w:line="240" w:lineRule="auto"/>
              <w:jc w:val="center"/>
            </w:pPr>
            <w:r>
              <w:rPr>
                <w:rFonts w:ascii="Times New Roman" w:hAnsi="Times New Roman"/>
                <w:sz w:val="17"/>
              </w:rPr>
              <w:t xml:space="preserve">−0.77 (−3.3)</w:t>
            </w:r>
          </w:p>
        </w:tc>
        <w:tc>
          <w:tcPr>
            <w:tcW w:type="dxa" w:w="1639"/>
          </w:tcPr>
          <w:p>
            <w:pPr>
              <w:pStyle w:val="Compact"/>
              <w:spacing w:after="20" w:before="20" w:line="240" w:lineRule="auto"/>
              <w:jc w:val="center"/>
            </w:pPr>
            <w:r>
              <w:rPr>
                <w:rFonts w:ascii="Times New Roman" w:hAnsi="Times New Roman"/>
                <w:sz w:val="17"/>
              </w:rPr>
              <w:t xml:space="preserve">1.42 (2.3)</w:t>
            </w:r>
          </w:p>
        </w:tc>
        <w:tc>
          <w:tcPr>
            <w:tcW w:type="dxa" w:w="1446"/>
          </w:tcPr>
          <w:p>
            <w:pPr>
              <w:pStyle w:val="Compact"/>
              <w:spacing w:after="20" w:before="20" w:line="240" w:lineRule="auto"/>
              <w:jc w:val="center"/>
            </w:pPr>
            <w:r>
              <w:rPr>
                <w:rFonts w:ascii="Times New Roman" w:hAnsi="Times New Roman"/>
                <w:sz w:val="17"/>
              </w:rPr>
              <w:t xml:space="preserve">−1.13 (−2.9)</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1,584</w:t>
            </w:r>
          </w:p>
        </w:tc>
        <w:tc>
          <w:tcPr>
            <w:tcW w:type="dxa" w:w="1446"/>
          </w:tcPr>
          <w:p>
            <w:pPr>
              <w:pStyle w:val="Compact"/>
              <w:spacing w:after="20" w:before="20" w:line="240" w:lineRule="auto"/>
              <w:jc w:val="center"/>
            </w:pPr>
            <w:r>
              <w:rPr>
                <w:rFonts w:ascii="Times New Roman" w:hAnsi="Times New Roman"/>
                <w:sz w:val="17"/>
              </w:rPr>
              <w:t xml:space="preserve">2.25 (13.0)</w:t>
            </w:r>
          </w:p>
        </w:tc>
        <w:tc>
          <w:tcPr>
            <w:tcW w:type="dxa" w:w="1446"/>
          </w:tcPr>
          <w:p>
            <w:pPr>
              <w:pStyle w:val="Compact"/>
              <w:spacing w:after="20" w:before="20" w:line="240" w:lineRule="auto"/>
              <w:jc w:val="center"/>
            </w:pPr>
            <w:r>
              <w:rPr>
                <w:rFonts w:ascii="Times New Roman" w:hAnsi="Times New Roman"/>
                <w:sz w:val="17"/>
              </w:rPr>
              <w:t xml:space="preserve">−0.29 (−2.5)</w:t>
            </w:r>
          </w:p>
        </w:tc>
        <w:tc>
          <w:tcPr>
            <w:tcW w:type="dxa" w:w="1639"/>
          </w:tcPr>
          <w:p>
            <w:pPr>
              <w:pStyle w:val="Compact"/>
              <w:spacing w:after="20" w:before="20" w:line="240" w:lineRule="auto"/>
              <w:jc w:val="center"/>
            </w:pPr>
            <w:r>
              <w:rPr>
                <w:rFonts w:ascii="Times New Roman" w:hAnsi="Times New Roman"/>
                <w:sz w:val="17"/>
              </w:rPr>
              <w:t xml:space="preserve">1.91 (11.3)</w:t>
            </w:r>
          </w:p>
        </w:tc>
        <w:tc>
          <w:tcPr>
            <w:tcW w:type="dxa" w:w="1446"/>
          </w:tcPr>
          <w:p>
            <w:pPr>
              <w:pStyle w:val="Compact"/>
              <w:spacing w:after="20" w:before="20" w:line="240" w:lineRule="auto"/>
              <w:jc w:val="center"/>
            </w:pPr>
            <w:r>
              <w:rPr>
                <w:rFonts w:ascii="Times New Roman" w:hAnsi="Times New Roman"/>
                <w:sz w:val="17"/>
              </w:rPr>
              <w:t xml:space="preserve">−0.36 (−1.2)</w:t>
            </w:r>
          </w:p>
        </w:tc>
      </w:tr>
      <w:tr>
        <w:trPr>
          <w:cantSplit/>
        </w:trPr>
        <w:tc>
          <w:tcPr>
            <w:tcW w:type="dxa" w:w="2222"/>
          </w:tcPr>
          <w:p>
            <w:pPr>
              <w:pStyle w:val="Compact"/>
              <w:spacing w:after="20" w:before="20" w:line="240" w:lineRule="auto"/>
              <w:jc w:val="left"/>
            </w:pPr>
            <w:r>
              <w:rPr>
                <w:rFonts w:ascii="Times New Roman" w:hAnsi="Times New Roman"/>
                <w:sz w:val="17"/>
              </w:rPr>
              <w:t xml:space="preserve">Excluding days with market &lt; −2%</w:t>
            </w:r>
          </w:p>
        </w:tc>
        <w:tc>
          <w:tcPr>
            <w:tcW w:type="dxa" w:w="868"/>
          </w:tcPr>
          <w:p>
            <w:pPr>
              <w:pStyle w:val="Compact"/>
              <w:spacing w:after="20" w:before="20" w:line="240" w:lineRule="auto"/>
              <w:jc w:val="center"/>
            </w:pPr>
            <w:r>
              <w:rPr>
                <w:rFonts w:ascii="Times New Roman" w:hAnsi="Times New Roman"/>
                <w:sz w:val="17"/>
              </w:rPr>
              <w:t xml:space="preserve">3,125</w:t>
            </w:r>
          </w:p>
        </w:tc>
        <w:tc>
          <w:tcPr>
            <w:tcW w:type="dxa" w:w="1446"/>
          </w:tcPr>
          <w:p>
            <w:pPr>
              <w:pStyle w:val="Compact"/>
              <w:spacing w:after="20" w:before="20" w:line="240" w:lineRule="auto"/>
              <w:jc w:val="center"/>
            </w:pPr>
            <w:r>
              <w:rPr>
                <w:rFonts w:ascii="Times New Roman" w:hAnsi="Times New Roman"/>
                <w:sz w:val="17"/>
              </w:rPr>
              <w:t xml:space="preserve">2.24 (9.6)</w:t>
            </w:r>
          </w:p>
        </w:tc>
        <w:tc>
          <w:tcPr>
            <w:tcW w:type="dxa" w:w="1446"/>
          </w:tcPr>
          <w:p>
            <w:pPr>
              <w:pStyle w:val="Compact"/>
              <w:spacing w:after="20" w:before="20" w:line="240" w:lineRule="auto"/>
              <w:jc w:val="center"/>
            </w:pPr>
            <w:r>
              <w:rPr>
                <w:rFonts w:ascii="Times New Roman" w:hAnsi="Times New Roman"/>
                <w:sz w:val="17"/>
              </w:rPr>
              <w:t xml:space="preserve">−0.53 (−3.4)</w:t>
            </w:r>
          </w:p>
        </w:tc>
        <w:tc>
          <w:tcPr>
            <w:tcW w:type="dxa" w:w="1639"/>
          </w:tcPr>
          <w:p>
            <w:pPr>
              <w:pStyle w:val="Compact"/>
              <w:spacing w:after="20" w:before="20" w:line="240" w:lineRule="auto"/>
              <w:jc w:val="center"/>
            </w:pPr>
            <w:r>
              <w:rPr>
                <w:rFonts w:ascii="Times New Roman" w:hAnsi="Times New Roman"/>
                <w:sz w:val="17"/>
              </w:rPr>
              <w:t xml:space="preserve">1.67 (4.7)</w:t>
            </w:r>
          </w:p>
        </w:tc>
        <w:tc>
          <w:tcPr>
            <w:tcW w:type="dxa" w:w="1446"/>
          </w:tcPr>
          <w:p>
            <w:pPr>
              <w:pStyle w:val="Compact"/>
              <w:spacing w:after="20" w:before="20" w:line="240" w:lineRule="auto"/>
              <w:jc w:val="center"/>
            </w:pPr>
            <w:r>
              <w:rPr>
                <w:rFonts w:ascii="Times New Roman" w:hAnsi="Times New Roman"/>
                <w:sz w:val="17"/>
              </w:rPr>
              <w:t xml:space="preserve">−0.70 (−2.6)</w:t>
            </w:r>
          </w:p>
        </w:tc>
      </w:tr>
      <w:tr>
        <w:trPr>
          <w:cantSplit/>
        </w:trPr>
        <w:tc>
          <w:tcPr>
            <w:tcW w:type="dxa" w:w="2222"/>
          </w:tcPr>
          <w:p>
            <w:pPr>
              <w:pStyle w:val="Compact"/>
              <w:spacing w:after="20" w:before="20" w:line="240" w:lineRule="auto"/>
              <w:jc w:val="left"/>
            </w:pPr>
            <w:r>
              <w:rPr>
                <w:rFonts w:ascii="Times New Roman" w:hAnsi="Times New Roman"/>
                <w:sz w:val="17"/>
              </w:rPr>
              <w:t xml:space="preserve">Floor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2,111</w:t>
            </w:r>
          </w:p>
        </w:tc>
        <w:tc>
          <w:tcPr>
            <w:tcW w:type="dxa" w:w="1446"/>
          </w:tcPr>
          <w:p>
            <w:pPr>
              <w:pStyle w:val="Compact"/>
              <w:spacing w:after="20" w:before="20" w:line="240" w:lineRule="auto"/>
              <w:jc w:val="center"/>
            </w:pPr>
            <w:r>
              <w:rPr>
                <w:rFonts w:ascii="Times New Roman" w:hAnsi="Times New Roman"/>
                <w:sz w:val="17"/>
              </w:rPr>
              <w:t xml:space="preserve">−0.97 (−4.6)</w:t>
            </w:r>
          </w:p>
        </w:tc>
        <w:tc>
          <w:tcPr>
            <w:tcW w:type="dxa" w:w="1446"/>
          </w:tcPr>
          <w:p>
            <w:pPr>
              <w:pStyle w:val="Compact"/>
              <w:spacing w:after="20" w:before="20" w:line="240" w:lineRule="auto"/>
              <w:jc w:val="center"/>
            </w:pPr>
            <w:r>
              <w:rPr>
                <w:rFonts w:ascii="Times New Roman" w:hAnsi="Times New Roman"/>
                <w:sz w:val="17"/>
              </w:rPr>
              <w:t xml:space="preserve">0.30 (1.4)</w:t>
            </w:r>
          </w:p>
        </w:tc>
        <w:tc>
          <w:tcPr>
            <w:tcW w:type="dxa" w:w="1639"/>
          </w:tcPr>
          <w:p>
            <w:pPr>
              <w:pStyle w:val="Compact"/>
              <w:spacing w:after="20" w:before="20" w:line="240" w:lineRule="auto"/>
              <w:jc w:val="center"/>
            </w:pPr>
            <w:r>
              <w:rPr>
                <w:rFonts w:ascii="Times New Roman" w:hAnsi="Times New Roman"/>
                <w:sz w:val="17"/>
              </w:rPr>
              <w:t xml:space="preserve">−0.69 (−4.8)</w:t>
            </w:r>
          </w:p>
        </w:tc>
        <w:tc>
          <w:tcPr>
            <w:tcW w:type="dxa" w:w="1446"/>
          </w:tcPr>
          <w:p>
            <w:pPr>
              <w:pStyle w:val="Compact"/>
              <w:spacing w:after="20" w:before="20" w:line="240" w:lineRule="auto"/>
              <w:jc w:val="center"/>
            </w:pPr>
            <w:r>
              <w:rPr>
                <w:rFonts w:ascii="Times New Roman" w:hAnsi="Times New Roman"/>
                <w:sz w:val="17"/>
              </w:rPr>
              <w:t xml:space="preserve">−0.82 (−1.7)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2,047</w:t>
            </w:r>
          </w:p>
        </w:tc>
        <w:tc>
          <w:tcPr>
            <w:tcW w:type="dxa" w:w="1446"/>
          </w:tcPr>
          <w:p>
            <w:pPr>
              <w:pStyle w:val="Compact"/>
              <w:spacing w:after="20" w:before="20" w:line="240" w:lineRule="auto"/>
              <w:jc w:val="center"/>
            </w:pPr>
            <w:r>
              <w:rPr>
                <w:rFonts w:ascii="Times New Roman" w:hAnsi="Times New Roman"/>
                <w:sz w:val="17"/>
              </w:rPr>
              <w:t xml:space="preserve">−1.75 (−4.0)</w:t>
            </w:r>
          </w:p>
        </w:tc>
        <w:tc>
          <w:tcPr>
            <w:tcW w:type="dxa" w:w="1446"/>
          </w:tcPr>
          <w:p>
            <w:pPr>
              <w:pStyle w:val="Compact"/>
              <w:spacing w:after="20" w:before="20" w:line="240" w:lineRule="auto"/>
              <w:jc w:val="center"/>
            </w:pPr>
            <w:r>
              <w:rPr>
                <w:rFonts w:ascii="Times New Roman" w:hAnsi="Times New Roman"/>
                <w:sz w:val="17"/>
              </w:rPr>
              <w:t xml:space="preserve">0.14 (0.6)</w:t>
            </w:r>
          </w:p>
        </w:tc>
        <w:tc>
          <w:tcPr>
            <w:tcW w:type="dxa" w:w="1639"/>
          </w:tcPr>
          <w:p>
            <w:pPr>
              <w:pStyle w:val="Compact"/>
              <w:spacing w:after="20" w:before="20" w:line="240" w:lineRule="auto"/>
              <w:jc w:val="center"/>
            </w:pPr>
            <w:r>
              <w:rPr>
                <w:rFonts w:ascii="Times New Roman" w:hAnsi="Times New Roman"/>
                <w:sz w:val="17"/>
              </w:rPr>
              <w:t xml:space="preserve">−1.65 (−3.4)</w:t>
            </w:r>
          </w:p>
        </w:tc>
        <w:tc>
          <w:tcPr>
            <w:tcW w:type="dxa" w:w="1446"/>
          </w:tcPr>
          <w:p>
            <w:pPr>
              <w:pStyle w:val="Compact"/>
              <w:spacing w:after="20" w:before="20" w:line="240" w:lineRule="auto"/>
              <w:jc w:val="center"/>
            </w:pPr>
            <w:r>
              <w:rPr>
                <w:rFonts w:ascii="Times New Roman" w:hAnsi="Times New Roman"/>
                <w:sz w:val="17"/>
              </w:rPr>
              <w:t xml:space="preserve">−0.36 (−0.6)</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1,025</w:t>
            </w:r>
          </w:p>
        </w:tc>
        <w:tc>
          <w:tcPr>
            <w:tcW w:type="dxa" w:w="1446"/>
          </w:tcPr>
          <w:p>
            <w:pPr>
              <w:pStyle w:val="Compact"/>
              <w:spacing w:after="20" w:before="20" w:line="240" w:lineRule="auto"/>
              <w:jc w:val="center"/>
            </w:pPr>
            <w:r>
              <w:rPr>
                <w:rFonts w:ascii="Times New Roman" w:hAnsi="Times New Roman"/>
                <w:sz w:val="17"/>
              </w:rPr>
              <w:t xml:space="preserve">−1.30 (−5.1)</w:t>
            </w:r>
          </w:p>
        </w:tc>
        <w:tc>
          <w:tcPr>
            <w:tcW w:type="dxa" w:w="1446"/>
          </w:tcPr>
          <w:p>
            <w:pPr>
              <w:pStyle w:val="Compact"/>
              <w:spacing w:after="20" w:before="20" w:line="240" w:lineRule="auto"/>
              <w:jc w:val="center"/>
            </w:pPr>
            <w:r>
              <w:rPr>
                <w:rFonts w:ascii="Times New Roman" w:hAnsi="Times New Roman"/>
                <w:sz w:val="17"/>
              </w:rPr>
              <w:t xml:space="preserve">0.41 (1.7)</w:t>
            </w:r>
          </w:p>
        </w:tc>
        <w:tc>
          <w:tcPr>
            <w:tcW w:type="dxa" w:w="1639"/>
          </w:tcPr>
          <w:p>
            <w:pPr>
              <w:pStyle w:val="Compact"/>
              <w:spacing w:after="20" w:before="20" w:line="240" w:lineRule="auto"/>
              <w:jc w:val="center"/>
            </w:pPr>
            <w:r>
              <w:rPr>
                <w:rFonts w:ascii="Times New Roman" w:hAnsi="Times New Roman"/>
                <w:sz w:val="17"/>
              </w:rPr>
              <w:t xml:space="preserve">−0.93 (−5.7)</w:t>
            </w:r>
          </w:p>
        </w:tc>
        <w:tc>
          <w:tcPr>
            <w:tcW w:type="dxa" w:w="1446"/>
          </w:tcPr>
          <w:p>
            <w:pPr>
              <w:pStyle w:val="Compact"/>
              <w:spacing w:after="20" w:before="20" w:line="240" w:lineRule="auto"/>
              <w:jc w:val="center"/>
            </w:pPr>
            <w:r>
              <w:rPr>
                <w:rFonts w:ascii="Times New Roman" w:hAnsi="Times New Roman"/>
                <w:sz w:val="17"/>
              </w:rPr>
              <w:t xml:space="preserve">−0.98 (−1.9)</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1,086</w:t>
            </w:r>
          </w:p>
        </w:tc>
        <w:tc>
          <w:tcPr>
            <w:tcW w:type="dxa" w:w="1446"/>
          </w:tcPr>
          <w:p>
            <w:pPr>
              <w:pStyle w:val="Compact"/>
              <w:spacing w:after="20" w:before="20" w:line="240" w:lineRule="auto"/>
              <w:jc w:val="center"/>
            </w:pPr>
            <w:r>
              <w:rPr>
                <w:rFonts w:ascii="Times New Roman" w:hAnsi="Times New Roman"/>
                <w:sz w:val="17"/>
              </w:rPr>
              <w:t xml:space="preserve">−0.66 (−3.7)</w:t>
            </w:r>
          </w:p>
        </w:tc>
        <w:tc>
          <w:tcPr>
            <w:tcW w:type="dxa" w:w="1446"/>
          </w:tcPr>
          <w:p>
            <w:pPr>
              <w:pStyle w:val="Compact"/>
              <w:spacing w:after="20" w:before="20" w:line="240" w:lineRule="auto"/>
              <w:jc w:val="center"/>
            </w:pPr>
            <w:r>
              <w:rPr>
                <w:rFonts w:ascii="Times New Roman" w:hAnsi="Times New Roman"/>
                <w:sz w:val="17"/>
              </w:rPr>
              <w:t xml:space="preserve">0.20 (0.9)</w:t>
            </w:r>
          </w:p>
        </w:tc>
        <w:tc>
          <w:tcPr>
            <w:tcW w:type="dxa" w:w="1639"/>
          </w:tcPr>
          <w:p>
            <w:pPr>
              <w:pStyle w:val="Compact"/>
              <w:spacing w:after="20" w:before="20" w:line="240" w:lineRule="auto"/>
              <w:jc w:val="center"/>
            </w:pPr>
            <w:r>
              <w:rPr>
                <w:rFonts w:ascii="Times New Roman" w:hAnsi="Times New Roman"/>
                <w:sz w:val="17"/>
              </w:rPr>
              <w:t xml:space="preserve">−0.47 (−2.9)</w:t>
            </w:r>
          </w:p>
        </w:tc>
        <w:tc>
          <w:tcPr>
            <w:tcW w:type="dxa" w:w="1446"/>
          </w:tcPr>
          <w:p>
            <w:pPr>
              <w:pStyle w:val="Compact"/>
              <w:spacing w:after="20" w:before="20" w:line="240" w:lineRule="auto"/>
              <w:jc w:val="center"/>
            </w:pPr>
            <w:r>
              <w:rPr>
                <w:rFonts w:ascii="Times New Roman" w:hAnsi="Times New Roman"/>
                <w:sz w:val="17"/>
              </w:rPr>
              <w:t xml:space="preserve">−0.66 (−1.4)</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260</w:t>
            </w:r>
          </w:p>
        </w:tc>
        <w:tc>
          <w:tcPr>
            <w:tcW w:type="dxa" w:w="1446"/>
          </w:tcPr>
          <w:p>
            <w:pPr>
              <w:pStyle w:val="Compact"/>
              <w:spacing w:after="20" w:before="20" w:line="240" w:lineRule="auto"/>
              <w:jc w:val="center"/>
            </w:pPr>
            <w:r>
              <w:rPr>
                <w:rFonts w:ascii="Times New Roman" w:hAnsi="Times New Roman"/>
                <w:sz w:val="17"/>
              </w:rPr>
              <w:t xml:space="preserve">−2.50 (−4.8)</w:t>
            </w:r>
          </w:p>
        </w:tc>
        <w:tc>
          <w:tcPr>
            <w:tcW w:type="dxa" w:w="1446"/>
          </w:tcPr>
          <w:p>
            <w:pPr>
              <w:pStyle w:val="Compact"/>
              <w:spacing w:after="20" w:before="20" w:line="240" w:lineRule="auto"/>
              <w:jc w:val="center"/>
            </w:pPr>
            <w:r>
              <w:rPr>
                <w:rFonts w:ascii="Times New Roman" w:hAnsi="Times New Roman"/>
                <w:sz w:val="17"/>
              </w:rPr>
              <w:t xml:space="preserve">1.11 (2.4)</w:t>
            </w:r>
          </w:p>
        </w:tc>
        <w:tc>
          <w:tcPr>
            <w:tcW w:type="dxa" w:w="1639"/>
          </w:tcPr>
          <w:p>
            <w:pPr>
              <w:pStyle w:val="Compact"/>
              <w:spacing w:after="20" w:before="20" w:line="240" w:lineRule="auto"/>
              <w:jc w:val="center"/>
            </w:pPr>
            <w:r>
              <w:rPr>
                <w:rFonts w:ascii="Times New Roman" w:hAnsi="Times New Roman"/>
                <w:sz w:val="17"/>
              </w:rPr>
              <w:t xml:space="preserve">−1.44 (−3.4)</w:t>
            </w:r>
          </w:p>
        </w:tc>
        <w:tc>
          <w:tcPr>
            <w:tcW w:type="dxa" w:w="1446"/>
          </w:tcPr>
          <w:p>
            <w:pPr>
              <w:pStyle w:val="Compact"/>
              <w:spacing w:after="20" w:before="20" w:line="240" w:lineRule="auto"/>
              <w:jc w:val="center"/>
            </w:pPr>
            <w:r>
              <w:rPr>
                <w:rFonts w:ascii="Times New Roman" w:hAnsi="Times New Roman"/>
                <w:sz w:val="17"/>
              </w:rPr>
              <w:t xml:space="preserve">−3.91 (−3.0)</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1,059</w:t>
            </w:r>
          </w:p>
        </w:tc>
        <w:tc>
          <w:tcPr>
            <w:tcW w:type="dxa" w:w="1446"/>
          </w:tcPr>
          <w:p>
            <w:pPr>
              <w:pStyle w:val="Compact"/>
              <w:spacing w:after="20" w:before="20" w:line="240" w:lineRule="auto"/>
              <w:jc w:val="center"/>
            </w:pPr>
            <w:r>
              <w:rPr>
                <w:rFonts w:ascii="Times New Roman" w:hAnsi="Times New Roman"/>
                <w:sz w:val="17"/>
              </w:rPr>
              <w:t xml:space="preserve">−0.55 (−2.4)</w:t>
            </w:r>
          </w:p>
        </w:tc>
        <w:tc>
          <w:tcPr>
            <w:tcW w:type="dxa" w:w="1446"/>
          </w:tcPr>
          <w:p>
            <w:pPr>
              <w:pStyle w:val="Compact"/>
              <w:spacing w:after="20" w:before="20" w:line="240" w:lineRule="auto"/>
              <w:jc w:val="center"/>
            </w:pPr>
            <w:r>
              <w:rPr>
                <w:rFonts w:ascii="Times New Roman" w:hAnsi="Times New Roman"/>
                <w:sz w:val="17"/>
              </w:rPr>
              <w:t xml:space="preserve">−0.09 (−0.3)</w:t>
            </w:r>
          </w:p>
        </w:tc>
        <w:tc>
          <w:tcPr>
            <w:tcW w:type="dxa" w:w="1639"/>
          </w:tcPr>
          <w:p>
            <w:pPr>
              <w:pStyle w:val="Compact"/>
              <w:spacing w:after="20" w:before="20" w:line="240" w:lineRule="auto"/>
              <w:jc w:val="center"/>
            </w:pPr>
            <w:r>
              <w:rPr>
                <w:rFonts w:ascii="Times New Roman" w:hAnsi="Times New Roman"/>
                <w:sz w:val="17"/>
              </w:rPr>
              <w:t xml:space="preserve">−0.63 (−2.9)</w:t>
            </w:r>
          </w:p>
        </w:tc>
        <w:tc>
          <w:tcPr>
            <w:tcW w:type="dxa" w:w="1446"/>
          </w:tcPr>
          <w:p>
            <w:pPr>
              <w:pStyle w:val="Compact"/>
              <w:spacing w:after="20" w:before="20" w:line="240" w:lineRule="auto"/>
              <w:jc w:val="center"/>
            </w:pPr>
            <w:r>
              <w:rPr>
                <w:rFonts w:ascii="Times New Roman" w:hAnsi="Times New Roman"/>
                <w:sz w:val="17"/>
              </w:rPr>
              <w:t xml:space="preserve">−1.69 (−5.1)</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1,052</w:t>
            </w:r>
          </w:p>
        </w:tc>
        <w:tc>
          <w:tcPr>
            <w:tcW w:type="dxa" w:w="1446"/>
          </w:tcPr>
          <w:p>
            <w:pPr>
              <w:pStyle w:val="Compact"/>
              <w:spacing w:after="20" w:before="20" w:line="240" w:lineRule="auto"/>
              <w:jc w:val="center"/>
            </w:pPr>
            <w:r>
              <w:rPr>
                <w:rFonts w:ascii="Times New Roman" w:hAnsi="Times New Roman"/>
                <w:sz w:val="17"/>
              </w:rPr>
              <w:t xml:space="preserve">−1.40 (−6.5)</w:t>
            </w:r>
          </w:p>
        </w:tc>
        <w:tc>
          <w:tcPr>
            <w:tcW w:type="dxa" w:w="1446"/>
          </w:tcPr>
          <w:p>
            <w:pPr>
              <w:pStyle w:val="Compact"/>
              <w:spacing w:after="20" w:before="20" w:line="240" w:lineRule="auto"/>
              <w:jc w:val="center"/>
            </w:pPr>
            <w:r>
              <w:rPr>
                <w:rFonts w:ascii="Times New Roman" w:hAnsi="Times New Roman"/>
                <w:sz w:val="17"/>
              </w:rPr>
              <w:t xml:space="preserve">0.70 (4.9)</w:t>
            </w:r>
          </w:p>
        </w:tc>
        <w:tc>
          <w:tcPr>
            <w:tcW w:type="dxa" w:w="1639"/>
          </w:tcPr>
          <w:p>
            <w:pPr>
              <w:pStyle w:val="Compact"/>
              <w:spacing w:after="20" w:before="20" w:line="240" w:lineRule="auto"/>
              <w:jc w:val="center"/>
            </w:pPr>
            <w:r>
              <w:rPr>
                <w:rFonts w:ascii="Times New Roman" w:hAnsi="Times New Roman"/>
                <w:sz w:val="17"/>
              </w:rPr>
              <w:t xml:space="preserve">−0.75 (−4.3)</w:t>
            </w:r>
          </w:p>
        </w:tc>
        <w:tc>
          <w:tcPr>
            <w:tcW w:type="dxa" w:w="1446"/>
          </w:tcPr>
          <w:p>
            <w:pPr>
              <w:pStyle w:val="Compact"/>
              <w:spacing w:after="20" w:before="20" w:line="240" w:lineRule="auto"/>
              <w:jc w:val="center"/>
            </w:pPr>
            <w:r>
              <w:rPr>
                <w:rFonts w:ascii="Times New Roman" w:hAnsi="Times New Roman"/>
                <w:sz w:val="17"/>
              </w:rPr>
              <w:t xml:space="preserve">0.07 (0.1)</w:t>
            </w:r>
          </w:p>
        </w:tc>
      </w:tr>
      <w:tr>
        <w:trPr>
          <w:cantSplit/>
        </w:trPr>
        <w:tc>
          <w:tcPr>
            <w:tcW w:type="dxa" w:w="2222"/>
            <w:tcBorders>
              <w:bottom w:val="single" w:sz="8" w:color="000000" w:space="0"/>
            </w:tcBorders>
          </w:tcPr>
          <w:p>
            <w:pPr>
              <w:pStyle w:val="Compact"/>
              <w:spacing w:after="20" w:before="20" w:line="240" w:lineRule="auto"/>
              <w:jc w:val="left"/>
            </w:pPr>
            <w:r>
              <w:rPr>
                <w:rFonts w:ascii="Times New Roman" w:hAnsi="Times New Roman"/>
                <w:sz w:val="17"/>
              </w:rPr>
              <w:t xml:space="preserve">Excluding days with market &lt; −2%</w:t>
            </w:r>
          </w:p>
        </w:tc>
        <w:tc>
          <w:tcPr>
            <w:tcW w:type="dxa" w:w="868"/>
            <w:tcBorders>
              <w:bottom w:val="single" w:sz="8" w:color="000000" w:space="0"/>
            </w:tcBorders>
          </w:tcPr>
          <w:p>
            <w:pPr>
              <w:pStyle w:val="Compact"/>
              <w:spacing w:after="20" w:before="20" w:line="240" w:lineRule="auto"/>
              <w:jc w:val="center"/>
            </w:pPr>
            <w:r>
              <w:rPr>
                <w:rFonts w:ascii="Times New Roman" w:hAnsi="Times New Roman"/>
                <w:sz w:val="17"/>
              </w:rPr>
              <w:t xml:space="preserve">740</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−1.83 (−8.7)</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0.90 (5.3)</w:t>
            </w:r>
          </w:p>
        </w:tc>
        <w:tc>
          <w:tcPr>
            <w:tcW w:type="dxa" w:w="1639"/>
            <w:tcBorders>
              <w:bottom w:val="single" w:sz="8" w:color="000000" w:space="0"/>
            </w:tcBorders>
          </w:tcPr>
          <w:p>
            <w:pPr>
              <w:pStyle w:val="Compact"/>
              <w:spacing w:after="20" w:before="20" w:line="240" w:lineRule="auto"/>
              <w:jc w:val="center"/>
            </w:pPr>
            <w:r>
              <w:rPr>
                <w:rFonts w:ascii="Times New Roman" w:hAnsi="Times New Roman"/>
                <w:sz w:val="17"/>
              </w:rPr>
              <w:t xml:space="preserve">−0.99 (−4.5)</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−0.81 (−1.7)</w:t>
            </w:r>
          </w:p>
        </w:tc>
      </w:tr>
    </w:tbl>
    <w:p>
      <w:pPr>
        <w:pStyle w:val="BodyText"/>
        <w:spacing w:before="160"/>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CaptionedFigure"/>
      </w:pPr>
      <w:r>
        <w:drawing>
          <wp:inline>
            <wp:extent cx="5753100" cy="2478258"/>
            <wp:effectExtent b="0" l="0" r="0" t="0"/>
            <wp:docPr descr="Figure 2. Next-day abnormal return (overnight gap, intraday, and close-to-close) by the size of the day-d move. Circles are 1-percentage-point bins inside the band, triangles are ceiling and floor events, and squares are other moves of 6.5% to 10% in absolute value. Bars show 95% confidence intervals clustered by date (normal reference, no small-sample factor). Market weights are lagged to day d; the figure uses event days up to the second-to-last trading day." title="" id="28" name="Picture"/>
            <a:graphic>
              <a:graphicData uri="http://schemas.openxmlformats.org/drawingml/2006/picture">
                <pic:pic>
                  <pic:nvPicPr>
                    <pic:cNvPr descr="../output/figures/F2_break_at_limit.png" id="29" name="Picture"/>
                    <pic:cNvPicPr>
                      <a:picLocks noChangeArrowheads="1" noChangeAspect="1"/>
                    </pic:cNvPicPr>
                  </pic:nvPicPr>
                  <pic:blipFill>
                    <a:blip r:embed="rId27"/>
                    <a:stretch>
                      <a:fillRect/>
                    </a:stretch>
                  </pic:blipFill>
                  <pic:spPr bwMode="auto">
                    <a:xfrm>
                      <a:off x="0" y="0"/>
                      <a:ext cx="5753100" cy="2478258"/>
                    </a:xfrm>
                    <a:prstGeom prst="rect">
                      <a:avLst/>
                    </a:prstGeom>
                    <a:noFill/>
                    <a:ln w="9525">
                      <a:noFill/>
                      <a:headEnd/>
                      <a:tailEnd/>
                    </a:ln>
                  </pic:spPr>
                </pic:pic>
              </a:graphicData>
            </a:graphic>
          </wp:inline>
        </w:drawing>
      </w:r>
    </w:p>
    <w:p>
      <w:pPr>
        <w:pStyle w:val="ImageCaption"/>
      </w:pPr>
      <w:r>
        <w:rPr>
          <w:sz w:val="19"/>
        </w:rPr>
        <w:t xml:space="preserve">Figure 2. Next-day abnormal return (overnight gap, intraday, and close-to-close) by the size of the day-</w:t>
      </w:r>
      <w:r>
        <w:rPr>
          <w:iCs/>
          <w:i/>
          <w:sz w:val="19"/>
        </w:rPr>
        <w:t xml:space="preserve">d</w:t>
      </w:r>
      <w:r>
        <w:rPr>
          <w:sz w:val="19"/>
        </w:rPr>
        <w:t xml:space="preserve"> </w:t>
      </w:r>
      <w:r>
        <w:rPr>
          <w:sz w:val="19"/>
        </w:rPr>
        <w:t xml:space="preserve">move. Circles are 1-percentage-point bins inside the band, triangles are ceiling and floor events, and squares are other moves of 6.5% to 10% in absolute value. Bars show 95% confidence intervals clustered by date (normal reference, no small-sample factor). Market weights are lagged to day</w:t>
      </w:r>
      <w:r>
        <w:rPr>
          <w:sz w:val="19"/>
        </w:rPr>
        <w:t xml:space="preserve"> </w:t>
      </w:r>
      <w:r>
        <w:rPr>
          <w:iCs/>
          <w:i/>
          <w:sz w:val="19"/>
        </w:rPr>
        <w:t xml:space="preserve">d</w:t>
      </w:r>
      <w:r>
        <w:rPr>
          <w:sz w:val="19"/>
        </w:rPr>
        <w:t xml:space="preserve">; the figure uses event days up to the second-to-last trading day.</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there.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keepNext/>
        <w:spacing w:after="60"/>
      </w:pPr>
      <w:r>
        <w:rPr>
          <w:sz w:val="19"/>
        </w:rPr>
        <w:t xml:space="preserve">Table 3. Differences in next-day abnormal returns (percentage points) between limit closes and same-direction moves of 3–5% or 5–6.5% that did not close at the limit, with date-clustered</w:t>
      </w:r>
      <w:r>
        <w:rPr>
          <w:sz w:val="19"/>
        </w:rPr>
        <w:t xml:space="preserve"> </w:t>
      </w:r>
      <w:r>
        <w:rPr>
          <w:iCs/>
          <w:i/>
          <w:sz w:val="19"/>
        </w:rPr>
        <w:t xml:space="preserve">t</w:t>
      </w:r>
      <w:r>
        <w:rPr>
          <w:sz w:val="19"/>
        </w:rPr>
        <w:t xml:space="preserve">-statistics in parentheses. Returns are market-adjusted with lagged weights.</w:t>
      </w:r>
    </w:p>
    <w:tbl>
      <w:tblPr>
        <w:tblStyle w:val="Table"/>
        <w:tblW w:type="dxa" w:w="9070"/>
        <w:tblLook w:firstRow="1" w:lastRow="0" w:firstColumn="0" w:lastColumn="0" w:noHBand="0" w:noVBand="0" w:val="0020"/>
        <w:jc w:val="start"/>
        <w:tblLayout w:type="fixed"/>
      </w:tblPr>
      <w:tblGrid>
        <w:gridCol w:w="2231"/>
        <w:gridCol w:w="1367"/>
        <w:gridCol w:w="1367"/>
        <w:gridCol w:w="1549"/>
        <w:gridCol w:w="1367"/>
        <w:gridCol w:w="1185"/>
      </w:tblGrid>
      <w:tr>
        <w:trPr>
          <w:tblHeader w:val="true"/>
          <w:tblHeader/>
          <w:cantSplit/>
        </w:trPr>
        <w:tc>
          <w:tcPr>
            <w:tcW w:type="dxa" w:w="223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Contrast</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Overnight gap</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Intraday</w:t>
            </w:r>
          </w:p>
        </w:tc>
        <w:tc>
          <w:tcPr>
            <w:tcW w:type="dxa" w:w="15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Close-to-close</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c>
          <w:tcPr>
            <w:tcW w:type="dxa" w:w="1185"/>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Comparison stock-days</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5–6.5% rises</w:t>
            </w:r>
          </w:p>
        </w:tc>
        <w:tc>
          <w:tcPr>
            <w:tcW w:type="dxa" w:w="1367"/>
          </w:tcPr>
          <w:p>
            <w:pPr>
              <w:pStyle w:val="Compact"/>
              <w:keepNext/>
              <w:spacing w:after="20" w:before="20" w:line="240" w:lineRule="auto"/>
              <w:jc w:val="center"/>
            </w:pPr>
            <w:r>
              <w:rPr>
                <w:rFonts w:ascii="Times New Roman" w:hAnsi="Times New Roman"/>
                <w:sz w:val="17"/>
              </w:rPr>
              <w:t xml:space="preserve">2.66 (14.0)</w:t>
            </w:r>
          </w:p>
        </w:tc>
        <w:tc>
          <w:tcPr>
            <w:tcW w:type="dxa" w:w="1367"/>
          </w:tcPr>
          <w:p>
            <w:pPr>
              <w:pStyle w:val="Compact"/>
              <w:keepNext/>
              <w:spacing w:after="20" w:before="20" w:line="240" w:lineRule="auto"/>
              <w:jc w:val="center"/>
            </w:pPr>
            <w:r>
              <w:rPr>
                <w:rFonts w:ascii="Times New Roman" w:hAnsi="Times New Roman"/>
                <w:sz w:val="17"/>
              </w:rPr>
              <w:t xml:space="preserve">−0.31 (−2.1)</w:t>
            </w:r>
          </w:p>
        </w:tc>
        <w:tc>
          <w:tcPr>
            <w:tcW w:type="dxa" w:w="1549"/>
          </w:tcPr>
          <w:p>
            <w:pPr>
              <w:pStyle w:val="Compact"/>
              <w:keepNext/>
              <w:spacing w:after="20" w:before="20" w:line="240" w:lineRule="auto"/>
              <w:jc w:val="center"/>
            </w:pPr>
            <w:r>
              <w:rPr>
                <w:rFonts w:ascii="Times New Roman" w:hAnsi="Times New Roman"/>
                <w:sz w:val="17"/>
              </w:rPr>
              <w:t xml:space="preserve">2.32 (7.6)</w:t>
            </w:r>
          </w:p>
        </w:tc>
        <w:tc>
          <w:tcPr>
            <w:tcW w:type="dxa" w:w="1367"/>
          </w:tcPr>
          <w:p>
            <w:pPr>
              <w:pStyle w:val="Compact"/>
              <w:keepNext/>
              <w:spacing w:after="20" w:before="20" w:line="240" w:lineRule="auto"/>
              <w:jc w:val="center"/>
            </w:pPr>
            <w:r>
              <w:rPr>
                <w:rFonts w:ascii="Times New Roman" w:hAnsi="Times New Roman"/>
                <w:sz w:val="17"/>
              </w:rPr>
              <w:t xml:space="preserve">−0.02 (−0.1)</w:t>
            </w:r>
          </w:p>
        </w:tc>
        <w:tc>
          <w:tcPr>
            <w:tcW w:type="dxa" w:w="1185"/>
          </w:tcPr>
          <w:p>
            <w:pPr>
              <w:pStyle w:val="Compact"/>
              <w:keepNext/>
              <w:spacing w:after="20" w:before="20" w:line="240" w:lineRule="auto"/>
              <w:jc w:val="center"/>
            </w:pPr>
            <w:r>
              <w:rPr>
                <w:rFonts w:ascii="Times New Roman" w:hAnsi="Times New Roman"/>
                <w:sz w:val="17"/>
              </w:rPr>
              <w:t xml:space="preserve">1,751</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3.14 (14.5)</w:t>
            </w:r>
          </w:p>
        </w:tc>
        <w:tc>
          <w:tcPr>
            <w:tcW w:type="dxa" w:w="1367"/>
          </w:tcPr>
          <w:p>
            <w:pPr>
              <w:pStyle w:val="Compact"/>
              <w:keepNext/>
              <w:spacing w:after="20" w:before="20" w:line="240" w:lineRule="auto"/>
              <w:jc w:val="center"/>
            </w:pPr>
            <w:r>
              <w:rPr>
                <w:rFonts w:ascii="Times New Roman" w:hAnsi="Times New Roman"/>
                <w:sz w:val="17"/>
              </w:rPr>
              <w:t xml:space="preserve">−0.66 (−3.4)</w:t>
            </w:r>
          </w:p>
        </w:tc>
        <w:tc>
          <w:tcPr>
            <w:tcW w:type="dxa" w:w="1549"/>
          </w:tcPr>
          <w:p>
            <w:pPr>
              <w:pStyle w:val="Compact"/>
              <w:keepNext/>
              <w:spacing w:after="20" w:before="20" w:line="240" w:lineRule="auto"/>
              <w:jc w:val="center"/>
            </w:pPr>
            <w:r>
              <w:rPr>
                <w:rFonts w:ascii="Times New Roman" w:hAnsi="Times New Roman"/>
                <w:sz w:val="17"/>
              </w:rPr>
              <w:t xml:space="preserve">2.47 (7.2)</w:t>
            </w:r>
          </w:p>
        </w:tc>
        <w:tc>
          <w:tcPr>
            <w:tcW w:type="dxa" w:w="1367"/>
          </w:tcPr>
          <w:p>
            <w:pPr>
              <w:pStyle w:val="Compact"/>
              <w:keepNext/>
              <w:spacing w:after="20" w:before="20" w:line="240" w:lineRule="auto"/>
              <w:jc w:val="center"/>
            </w:pPr>
            <w:r>
              <w:rPr>
                <w:rFonts w:ascii="Times New Roman" w:hAnsi="Times New Roman"/>
                <w:sz w:val="17"/>
              </w:rPr>
              <w:t xml:space="preserve">−0.49 (−1.5)</w:t>
            </w:r>
          </w:p>
        </w:tc>
        <w:tc>
          <w:tcPr>
            <w:tcW w:type="dxa" w:w="1185"/>
          </w:tcPr>
          <w:p>
            <w:pPr>
              <w:pStyle w:val="Compact"/>
              <w:keepNext/>
              <w:spacing w:after="20" w:before="20" w:line="240" w:lineRule="auto"/>
              <w:jc w:val="center"/>
            </w:pPr>
            <w:r>
              <w:rPr>
                <w:rFonts w:ascii="Times New Roman" w:hAnsi="Times New Roman"/>
                <w:sz w:val="17"/>
              </w:rPr>
              <w:t xml:space="preserve">679</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3–5% rises</w:t>
            </w:r>
          </w:p>
        </w:tc>
        <w:tc>
          <w:tcPr>
            <w:tcW w:type="dxa" w:w="1367"/>
          </w:tcPr>
          <w:p>
            <w:pPr>
              <w:pStyle w:val="Compact"/>
              <w:keepNext/>
              <w:spacing w:after="20" w:before="20" w:line="240" w:lineRule="auto"/>
              <w:jc w:val="center"/>
            </w:pPr>
            <w:r>
              <w:rPr>
                <w:rFonts w:ascii="Times New Roman" w:hAnsi="Times New Roman"/>
                <w:sz w:val="17"/>
              </w:rPr>
              <w:t xml:space="preserve">2.40 (11.6)</w:t>
            </w:r>
          </w:p>
        </w:tc>
        <w:tc>
          <w:tcPr>
            <w:tcW w:type="dxa" w:w="1367"/>
          </w:tcPr>
          <w:p>
            <w:pPr>
              <w:pStyle w:val="Compact"/>
              <w:keepNext/>
              <w:spacing w:after="20" w:before="20" w:line="240" w:lineRule="auto"/>
              <w:jc w:val="center"/>
            </w:pPr>
            <w:r>
              <w:rPr>
                <w:rFonts w:ascii="Times New Roman" w:hAnsi="Times New Roman"/>
                <w:sz w:val="17"/>
              </w:rPr>
              <w:t xml:space="preserve">−0.32 (−2.2)</w:t>
            </w:r>
          </w:p>
        </w:tc>
        <w:tc>
          <w:tcPr>
            <w:tcW w:type="dxa" w:w="1549"/>
          </w:tcPr>
          <w:p>
            <w:pPr>
              <w:pStyle w:val="Compact"/>
              <w:keepNext/>
              <w:spacing w:after="20" w:before="20" w:line="240" w:lineRule="auto"/>
              <w:jc w:val="center"/>
            </w:pPr>
            <w:r>
              <w:rPr>
                <w:rFonts w:ascii="Times New Roman" w:hAnsi="Times New Roman"/>
                <w:sz w:val="17"/>
              </w:rPr>
              <w:t xml:space="preserve">2.05 (6.1)</w:t>
            </w:r>
          </w:p>
        </w:tc>
        <w:tc>
          <w:tcPr>
            <w:tcW w:type="dxa" w:w="1367"/>
          </w:tcPr>
          <w:p>
            <w:pPr>
              <w:pStyle w:val="Compact"/>
              <w:keepNext/>
              <w:spacing w:after="20" w:before="20" w:line="240" w:lineRule="auto"/>
              <w:jc w:val="center"/>
            </w:pPr>
            <w:r>
              <w:rPr>
                <w:rFonts w:ascii="Times New Roman" w:hAnsi="Times New Roman"/>
                <w:sz w:val="17"/>
              </w:rPr>
              <w:t xml:space="preserve">−0.45 (−2.2)</w:t>
            </w:r>
          </w:p>
        </w:tc>
        <w:tc>
          <w:tcPr>
            <w:tcW w:type="dxa" w:w="1185"/>
          </w:tcPr>
          <w:p>
            <w:pPr>
              <w:pStyle w:val="Compact"/>
              <w:keepNext/>
              <w:spacing w:after="20" w:before="20" w:line="240" w:lineRule="auto"/>
              <w:jc w:val="center"/>
            </w:pPr>
            <w:r>
              <w:rPr>
                <w:rFonts w:ascii="Times New Roman" w:hAnsi="Times New Roman"/>
                <w:sz w:val="17"/>
              </w:rPr>
              <w:t xml:space="preserve">5,932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2.81 (13.1)</w:t>
            </w:r>
          </w:p>
        </w:tc>
        <w:tc>
          <w:tcPr>
            <w:tcW w:type="dxa" w:w="1367"/>
          </w:tcPr>
          <w:p>
            <w:pPr>
              <w:pStyle w:val="Compact"/>
              <w:keepNext/>
              <w:spacing w:after="20" w:before="20" w:line="240" w:lineRule="auto"/>
              <w:jc w:val="center"/>
            </w:pPr>
            <w:r>
              <w:rPr>
                <w:rFonts w:ascii="Times New Roman" w:hAnsi="Times New Roman"/>
                <w:sz w:val="17"/>
              </w:rPr>
              <w:t xml:space="preserve">−0.61 (−3.8)</w:t>
            </w:r>
          </w:p>
        </w:tc>
        <w:tc>
          <w:tcPr>
            <w:tcW w:type="dxa" w:w="1549"/>
          </w:tcPr>
          <w:p>
            <w:pPr>
              <w:pStyle w:val="Compact"/>
              <w:keepNext/>
              <w:spacing w:after="20" w:before="20" w:line="240" w:lineRule="auto"/>
              <w:jc w:val="center"/>
            </w:pPr>
            <w:r>
              <w:rPr>
                <w:rFonts w:ascii="Times New Roman" w:hAnsi="Times New Roman"/>
                <w:sz w:val="17"/>
              </w:rPr>
              <w:t xml:space="preserve">2.17 (6.4)</w:t>
            </w:r>
          </w:p>
        </w:tc>
        <w:tc>
          <w:tcPr>
            <w:tcW w:type="dxa" w:w="1367"/>
          </w:tcPr>
          <w:p>
            <w:pPr>
              <w:pStyle w:val="Compact"/>
              <w:keepNext/>
              <w:spacing w:after="20" w:before="20" w:line="240" w:lineRule="auto"/>
              <w:jc w:val="center"/>
            </w:pPr>
            <w:r>
              <w:rPr>
                <w:rFonts w:ascii="Times New Roman" w:hAnsi="Times New Roman"/>
                <w:sz w:val="17"/>
              </w:rPr>
              <w:t xml:space="preserve">−0.64 (−2.7)</w:t>
            </w:r>
          </w:p>
        </w:tc>
        <w:tc>
          <w:tcPr>
            <w:tcW w:type="dxa" w:w="1185"/>
          </w:tcPr>
          <w:p>
            <w:pPr>
              <w:pStyle w:val="Compact"/>
              <w:keepNext/>
              <w:spacing w:after="20" w:before="20" w:line="240" w:lineRule="auto"/>
              <w:jc w:val="center"/>
            </w:pPr>
            <w:r>
              <w:rPr>
                <w:rFonts w:ascii="Times New Roman" w:hAnsi="Times New Roman"/>
                <w:sz w:val="17"/>
              </w:rPr>
              <w:t xml:space="preserve">1,795</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5–6.5% falls</w:t>
            </w:r>
          </w:p>
        </w:tc>
        <w:tc>
          <w:tcPr>
            <w:tcW w:type="dxa" w:w="1367"/>
          </w:tcPr>
          <w:p>
            <w:pPr>
              <w:pStyle w:val="Compact"/>
              <w:keepNext/>
              <w:spacing w:after="20" w:before="20" w:line="240" w:lineRule="auto"/>
              <w:jc w:val="center"/>
            </w:pPr>
            <w:r>
              <w:rPr>
                <w:rFonts w:ascii="Times New Roman" w:hAnsi="Times New Roman"/>
                <w:sz w:val="17"/>
              </w:rPr>
              <w:t xml:space="preserve">−1.59 (−9.7)</w:t>
            </w:r>
          </w:p>
        </w:tc>
        <w:tc>
          <w:tcPr>
            <w:tcW w:type="dxa" w:w="1367"/>
          </w:tcPr>
          <w:p>
            <w:pPr>
              <w:pStyle w:val="Compact"/>
              <w:keepNext/>
              <w:spacing w:after="20" w:before="20" w:line="240" w:lineRule="auto"/>
              <w:jc w:val="center"/>
            </w:pPr>
            <w:r>
              <w:rPr>
                <w:rFonts w:ascii="Times New Roman" w:hAnsi="Times New Roman"/>
                <w:sz w:val="17"/>
              </w:rPr>
              <w:t xml:space="preserve">−0.07 (−0.3)</w:t>
            </w:r>
          </w:p>
        </w:tc>
        <w:tc>
          <w:tcPr>
            <w:tcW w:type="dxa" w:w="1549"/>
          </w:tcPr>
          <w:p>
            <w:pPr>
              <w:pStyle w:val="Compact"/>
              <w:keepNext/>
              <w:spacing w:after="20" w:before="20" w:line="240" w:lineRule="auto"/>
              <w:jc w:val="center"/>
            </w:pPr>
            <w:r>
              <w:rPr>
                <w:rFonts w:ascii="Times New Roman" w:hAnsi="Times New Roman"/>
                <w:sz w:val="17"/>
              </w:rPr>
              <w:t xml:space="preserve">−1.66 (−11.6)</w:t>
            </w:r>
          </w:p>
        </w:tc>
        <w:tc>
          <w:tcPr>
            <w:tcW w:type="dxa" w:w="1367"/>
          </w:tcPr>
          <w:p>
            <w:pPr>
              <w:pStyle w:val="Compact"/>
              <w:keepNext/>
              <w:spacing w:after="20" w:before="20" w:line="240" w:lineRule="auto"/>
              <w:jc w:val="center"/>
            </w:pPr>
            <w:r>
              <w:rPr>
                <w:rFonts w:ascii="Times New Roman" w:hAnsi="Times New Roman"/>
                <w:sz w:val="17"/>
              </w:rPr>
              <w:t xml:space="preserve">−1.01 (−2.6)</w:t>
            </w:r>
          </w:p>
        </w:tc>
        <w:tc>
          <w:tcPr>
            <w:tcW w:type="dxa" w:w="1185"/>
          </w:tcPr>
          <w:p>
            <w:pPr>
              <w:pStyle w:val="Compact"/>
              <w:keepNext/>
              <w:spacing w:after="20" w:before="20" w:line="240" w:lineRule="auto"/>
              <w:jc w:val="center"/>
            </w:pPr>
            <w:r>
              <w:rPr>
                <w:rFonts w:ascii="Times New Roman" w:hAnsi="Times New Roman"/>
                <w:sz w:val="17"/>
              </w:rPr>
              <w:t xml:space="preserve">1,522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low</w:t>
            </w:r>
          </w:p>
        </w:tc>
        <w:tc>
          <w:tcPr>
            <w:tcW w:type="dxa" w:w="1367"/>
          </w:tcPr>
          <w:p>
            <w:pPr>
              <w:pStyle w:val="Compact"/>
              <w:keepNext/>
              <w:spacing w:after="20" w:before="20" w:line="240" w:lineRule="auto"/>
              <w:jc w:val="center"/>
            </w:pPr>
            <w:r>
              <w:rPr>
                <w:rFonts w:ascii="Times New Roman" w:hAnsi="Times New Roman"/>
                <w:sz w:val="17"/>
              </w:rPr>
              <w:t xml:space="preserve">−1.81 (−8.7)</w:t>
            </w:r>
          </w:p>
        </w:tc>
        <w:tc>
          <w:tcPr>
            <w:tcW w:type="dxa" w:w="1367"/>
          </w:tcPr>
          <w:p>
            <w:pPr>
              <w:pStyle w:val="Compact"/>
              <w:keepNext/>
              <w:spacing w:after="20" w:before="20" w:line="240" w:lineRule="auto"/>
              <w:jc w:val="center"/>
            </w:pPr>
            <w:r>
              <w:rPr>
                <w:rFonts w:ascii="Times New Roman" w:hAnsi="Times New Roman"/>
                <w:sz w:val="17"/>
              </w:rPr>
              <w:t xml:space="preserve">−0.13 (−0.6)</w:t>
            </w:r>
          </w:p>
        </w:tc>
        <w:tc>
          <w:tcPr>
            <w:tcW w:type="dxa" w:w="1549"/>
          </w:tcPr>
          <w:p>
            <w:pPr>
              <w:pStyle w:val="Compact"/>
              <w:keepNext/>
              <w:spacing w:after="20" w:before="20" w:line="240" w:lineRule="auto"/>
              <w:jc w:val="center"/>
            </w:pPr>
            <w:r>
              <w:rPr>
                <w:rFonts w:ascii="Times New Roman" w:hAnsi="Times New Roman"/>
                <w:sz w:val="17"/>
              </w:rPr>
              <w:t xml:space="preserve">−1.95 (−10.7)</w:t>
            </w:r>
          </w:p>
        </w:tc>
        <w:tc>
          <w:tcPr>
            <w:tcW w:type="dxa" w:w="1367"/>
          </w:tcPr>
          <w:p>
            <w:pPr>
              <w:pStyle w:val="Compact"/>
              <w:keepNext/>
              <w:spacing w:after="20" w:before="20" w:line="240" w:lineRule="auto"/>
              <w:jc w:val="center"/>
            </w:pPr>
            <w:r>
              <w:rPr>
                <w:rFonts w:ascii="Times New Roman" w:hAnsi="Times New Roman"/>
                <w:sz w:val="17"/>
              </w:rPr>
              <w:t xml:space="preserve">−1.23 (−2.8)</w:t>
            </w:r>
          </w:p>
        </w:tc>
        <w:tc>
          <w:tcPr>
            <w:tcW w:type="dxa" w:w="1185"/>
          </w:tcPr>
          <w:p>
            <w:pPr>
              <w:pStyle w:val="Compact"/>
              <w:keepNext/>
              <w:spacing w:after="20" w:before="20" w:line="240" w:lineRule="auto"/>
              <w:jc w:val="center"/>
            </w:pPr>
            <w:r>
              <w:rPr>
                <w:rFonts w:ascii="Times New Roman" w:hAnsi="Times New Roman"/>
                <w:sz w:val="17"/>
              </w:rPr>
              <w:t xml:space="preserve">722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3–5% falls</w:t>
            </w:r>
          </w:p>
        </w:tc>
        <w:tc>
          <w:tcPr>
            <w:tcW w:type="dxa" w:w="1367"/>
          </w:tcPr>
          <w:p>
            <w:pPr>
              <w:pStyle w:val="Compact"/>
              <w:keepNext/>
              <w:spacing w:after="20" w:before="20" w:line="240" w:lineRule="auto"/>
              <w:jc w:val="center"/>
            </w:pPr>
            <w:r>
              <w:rPr>
                <w:rFonts w:ascii="Times New Roman" w:hAnsi="Times New Roman"/>
                <w:sz w:val="17"/>
              </w:rPr>
              <w:t xml:space="preserve">−1.14 (−6.4)</w:t>
            </w:r>
          </w:p>
        </w:tc>
        <w:tc>
          <w:tcPr>
            <w:tcW w:type="dxa" w:w="1367"/>
          </w:tcPr>
          <w:p>
            <w:pPr>
              <w:pStyle w:val="Compact"/>
              <w:keepNext/>
              <w:spacing w:after="20" w:before="20" w:line="240" w:lineRule="auto"/>
              <w:jc w:val="center"/>
            </w:pPr>
            <w:r>
              <w:rPr>
                <w:rFonts w:ascii="Times New Roman" w:hAnsi="Times New Roman"/>
                <w:sz w:val="17"/>
              </w:rPr>
              <w:t xml:space="preserve">0.14 (0.6)</w:t>
            </w:r>
          </w:p>
        </w:tc>
        <w:tc>
          <w:tcPr>
            <w:tcW w:type="dxa" w:w="1549"/>
          </w:tcPr>
          <w:p>
            <w:pPr>
              <w:pStyle w:val="Compact"/>
              <w:keepNext/>
              <w:spacing w:after="20" w:before="20" w:line="240" w:lineRule="auto"/>
              <w:jc w:val="center"/>
            </w:pPr>
            <w:r>
              <w:rPr>
                <w:rFonts w:ascii="Times New Roman" w:hAnsi="Times New Roman"/>
                <w:sz w:val="17"/>
              </w:rPr>
              <w:t xml:space="preserve">−1.01 (−7.5)</w:t>
            </w:r>
          </w:p>
        </w:tc>
        <w:tc>
          <w:tcPr>
            <w:tcW w:type="dxa" w:w="1367"/>
          </w:tcPr>
          <w:p>
            <w:pPr>
              <w:pStyle w:val="Compact"/>
              <w:keepNext/>
              <w:spacing w:after="20" w:before="20" w:line="240" w:lineRule="auto"/>
              <w:jc w:val="center"/>
            </w:pPr>
            <w:r>
              <w:rPr>
                <w:rFonts w:ascii="Times New Roman" w:hAnsi="Times New Roman"/>
                <w:sz w:val="17"/>
              </w:rPr>
              <w:t xml:space="preserve">−0.90 (−2.2)</w:t>
            </w:r>
          </w:p>
        </w:tc>
        <w:tc>
          <w:tcPr>
            <w:tcW w:type="dxa" w:w="1185"/>
          </w:tcPr>
          <w:p>
            <w:pPr>
              <w:pStyle w:val="Compact"/>
              <w:keepNext/>
              <w:spacing w:after="20" w:before="20" w:line="240" w:lineRule="auto"/>
              <w:jc w:val="center"/>
            </w:pPr>
            <w:r>
              <w:rPr>
                <w:rFonts w:ascii="Times New Roman" w:hAnsi="Times New Roman"/>
                <w:sz w:val="17"/>
              </w:rPr>
              <w:t xml:space="preserve">5,237</w:t>
            </w:r>
          </w:p>
        </w:tc>
      </w:tr>
      <w:tr>
        <w:trPr>
          <w:cantSplit/>
        </w:trPr>
        <w:tc>
          <w:tcPr>
            <w:tcW w:type="dxa" w:w="2231"/>
            <w:tcBorders>
              <w:bottom w:val="single" w:sz="8" w:color="000000" w:space="0"/>
            </w:tcBorders>
          </w:tcPr>
          <w:p>
            <w:pPr>
              <w:pStyle w:val="Compact"/>
              <w:spacing w:after="20" w:before="20" w:line="240" w:lineRule="auto"/>
              <w:jc w:val="left"/>
            </w:pPr>
            <w:r>
              <w:rPr>
                <w:rFonts w:ascii="Times New Roman" w:hAnsi="Times New Roman"/>
                <w:sz w:val="17"/>
              </w:rPr>
              <w:t xml:space="preserve">same, comparison closes at its low</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−1.35 (−7.4)</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0.18 (0.8)</w:t>
            </w:r>
          </w:p>
        </w:tc>
        <w:tc>
          <w:tcPr>
            <w:tcW w:type="dxa" w:w="1549"/>
            <w:tcBorders>
              <w:bottom w:val="single" w:sz="8" w:color="000000" w:space="0"/>
            </w:tcBorders>
          </w:tcPr>
          <w:p>
            <w:pPr>
              <w:pStyle w:val="Compact"/>
              <w:spacing w:after="20" w:before="20" w:line="240" w:lineRule="auto"/>
              <w:jc w:val="center"/>
            </w:pPr>
            <w:r>
              <w:rPr>
                <w:rFonts w:ascii="Times New Roman" w:hAnsi="Times New Roman"/>
                <w:sz w:val="17"/>
              </w:rPr>
              <w:t xml:space="preserve">−1.19 (−8.0)</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−1.06 (−2.5)</w:t>
            </w:r>
          </w:p>
        </w:tc>
        <w:tc>
          <w:tcPr>
            <w:tcW w:type="dxa" w:w="1185"/>
            <w:tcBorders>
              <w:bottom w:val="single" w:sz="8" w:color="000000" w:space="0"/>
            </w:tcBorders>
          </w:tcPr>
          <w:p>
            <w:pPr>
              <w:pStyle w:val="Compact"/>
              <w:spacing w:after="20" w:before="20" w:line="240" w:lineRule="auto"/>
              <w:jc w:val="center"/>
            </w:pPr>
            <w:r>
              <w:rPr>
                <w:rFonts w:ascii="Times New Roman" w:hAnsi="Times New Roman"/>
                <w:sz w:val="17"/>
              </w:rPr>
              <w:t xml:space="preserve">2,228</w:t>
            </w:r>
          </w:p>
        </w:tc>
      </w:tr>
    </w:tbl>
    <w:p>
      <w:pPr>
        <w:pStyle w:val="BodyText"/>
        <w:spacing w:before="160"/>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needs intraday prices, which we lack.</w:t>
      </w:r>
    </w:p>
    <w:p>
      <w:pPr>
        <w:pStyle w:val="BodyText"/>
      </w:pPr>
      <w:r>
        <w:t xml:space="preserve">Table 4 splits the events at 5 May 2025, when HOSE moved to the KRX platform.</w:t>
      </w:r>
    </w:p>
    <w:p>
      <w:pPr>
        <w:pStyle w:val="BodyText"/>
        <w:keepNext/>
        <w:spacing w:after="60"/>
      </w:pPr>
      <w:r>
        <w:rPr>
          <w:sz w:val="19"/>
        </w:rPr>
        <w:t xml:space="preserve">Table 4. Next-day abnormal returns (percent) before and after the move to the KRX platform on 5 May 2025, with two-way-clustered</w:t>
      </w:r>
      <w:r>
        <w:rPr>
          <w:sz w:val="19"/>
        </w:rPr>
        <w:t xml:space="preserve"> </w:t>
      </w:r>
      <w:r>
        <w:rPr>
          <w:iCs/>
          <w:i/>
          <w:sz w:val="19"/>
        </w:rPr>
        <w:t xml:space="preserve">t</w:t>
      </w:r>
      <w:r>
        <w:rPr>
          <w:sz w:val="19"/>
        </w:rPr>
        <w:t xml:space="preserve">-statistics in parentheses. The split uses the date of the opening that defines the gap; the difference</w:t>
      </w:r>
      <w:r>
        <w:rPr>
          <w:sz w:val="19"/>
        </w:rPr>
        <w:t xml:space="preserve"> </w:t>
      </w:r>
      <w:r>
        <w:rPr>
          <w:iCs/>
          <w:i/>
          <w:sz w:val="19"/>
        </w:rPr>
        <w:t xml:space="preserve">t</w:t>
      </w:r>
      <w:r>
        <w:rPr>
          <w:sz w:val="19"/>
        </w:rPr>
        <w:t xml:space="preserve">-statistic treats the periods as independent.</w:t>
      </w:r>
    </w:p>
    <w:tbl>
      <w:tblPr>
        <w:tblStyle w:val="Table"/>
        <w:tblW w:type="dxa" w:w="9070"/>
        <w:tblLook w:firstRow="1" w:lastRow="0" w:firstColumn="0" w:lastColumn="0" w:noHBand="0" w:noVBand="0" w:val="0020"/>
        <w:jc w:val="start"/>
        <w:tblLayout w:type="fixed"/>
      </w:tblPr>
      <w:tblGrid>
        <w:gridCol w:w="1511"/>
        <w:gridCol w:w="1784"/>
        <w:gridCol w:w="1574"/>
        <w:gridCol w:w="1574"/>
        <w:gridCol w:w="1574"/>
        <w:gridCol w:w="1049"/>
      </w:tblGrid>
      <w:tr>
        <w:trPr>
          <w:tblHeader w:val="true"/>
          <w:tblHeader/>
          <w:cantSplit/>
        </w:trPr>
        <w:tc>
          <w:tcPr>
            <w:tcW w:type="dxa" w:w="151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78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Outcome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Before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After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Difference</w:t>
            </w:r>
          </w:p>
        </w:tc>
        <w:tc>
          <w:tcPr>
            <w:tcW w:type="dxa" w:w="10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 (before / after)</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1.65 (3.2)</w:t>
            </w:r>
          </w:p>
        </w:tc>
        <w:tc>
          <w:tcPr>
            <w:tcW w:type="dxa" w:w="1574"/>
          </w:tcPr>
          <w:p>
            <w:pPr>
              <w:pStyle w:val="Compact"/>
              <w:keepNext/>
              <w:spacing w:after="20" w:before="20" w:line="240" w:lineRule="auto"/>
              <w:jc w:val="center"/>
            </w:pPr>
            <w:r>
              <w:rPr>
                <w:rFonts w:ascii="Times New Roman" w:hAnsi="Times New Roman"/>
                <w:sz w:val="17"/>
              </w:rPr>
              <w:t xml:space="preserve">2.49 (17.9)</w:t>
            </w:r>
          </w:p>
        </w:tc>
        <w:tc>
          <w:tcPr>
            <w:tcW w:type="dxa" w:w="1574"/>
          </w:tcPr>
          <w:p>
            <w:pPr>
              <w:pStyle w:val="Compact"/>
              <w:keepNext/>
              <w:spacing w:after="20" w:before="20" w:line="240" w:lineRule="auto"/>
              <w:jc w:val="center"/>
            </w:pPr>
            <w:r>
              <w:rPr>
                <w:rFonts w:ascii="Times New Roman" w:hAnsi="Times New Roman"/>
                <w:sz w:val="17"/>
              </w:rPr>
              <w:t xml:space="preserve">0.85 (1.6)</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−0.77 (−2.0)</w:t>
            </w:r>
          </w:p>
        </w:tc>
        <w:tc>
          <w:tcPr>
            <w:tcW w:type="dxa" w:w="1574"/>
          </w:tcPr>
          <w:p>
            <w:pPr>
              <w:pStyle w:val="Compact"/>
              <w:keepNext/>
              <w:spacing w:after="20" w:before="20" w:line="240" w:lineRule="auto"/>
              <w:jc w:val="center"/>
            </w:pPr>
            <w:r>
              <w:rPr>
                <w:rFonts w:ascii="Times New Roman" w:hAnsi="Times New Roman"/>
                <w:sz w:val="17"/>
              </w:rPr>
              <w:t xml:space="preserve">−0.44 (−4.3)</w:t>
            </w:r>
          </w:p>
        </w:tc>
        <w:tc>
          <w:tcPr>
            <w:tcW w:type="dxa" w:w="1574"/>
          </w:tcPr>
          <w:p>
            <w:pPr>
              <w:pStyle w:val="Compact"/>
              <w:keepNext/>
              <w:spacing w:after="20" w:before="20" w:line="240" w:lineRule="auto"/>
              <w:jc w:val="center"/>
            </w:pPr>
            <w:r>
              <w:rPr>
                <w:rFonts w:ascii="Times New Roman" w:hAnsi="Times New Roman"/>
                <w:sz w:val="17"/>
              </w:rPr>
              <w:t xml:space="preserve">0.34 (0.8)</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0.83 (1.0)</w:t>
            </w:r>
          </w:p>
        </w:tc>
        <w:tc>
          <w:tcPr>
            <w:tcW w:type="dxa" w:w="1574"/>
          </w:tcPr>
          <w:p>
            <w:pPr>
              <w:pStyle w:val="Compact"/>
              <w:keepNext/>
              <w:spacing w:after="20" w:before="20" w:line="240" w:lineRule="auto"/>
              <w:jc w:val="center"/>
            </w:pPr>
            <w:r>
              <w:rPr>
                <w:rFonts w:ascii="Times New Roman" w:hAnsi="Times New Roman"/>
                <w:sz w:val="17"/>
              </w:rPr>
              <w:t xml:space="preserve">2.01 (14.6)</w:t>
            </w:r>
          </w:p>
        </w:tc>
        <w:tc>
          <w:tcPr>
            <w:tcW w:type="dxa" w:w="1574"/>
          </w:tcPr>
          <w:p>
            <w:pPr>
              <w:pStyle w:val="Compact"/>
              <w:keepNext/>
              <w:spacing w:after="20" w:before="20" w:line="240" w:lineRule="auto"/>
              <w:jc w:val="center"/>
            </w:pPr>
            <w:r>
              <w:rPr>
                <w:rFonts w:ascii="Times New Roman" w:hAnsi="Times New Roman"/>
                <w:sz w:val="17"/>
              </w:rPr>
              <w:t xml:space="preserve">1.18 (1.3)</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Pr>
          <w:p>
            <w:pPr>
              <w:pStyle w:val="Compact"/>
              <w:keepNext/>
              <w:spacing w:after="20" w:before="20" w:line="240" w:lineRule="auto"/>
              <w:jc w:val="center"/>
            </w:pPr>
            <w:r>
              <w:rPr>
                <w:rFonts w:ascii="Times New Roman" w:hAnsi="Times New Roman"/>
                <w:sz w:val="17"/>
              </w:rPr>
              <w:t xml:space="preserve">−0.71 (−1.3)</w:t>
            </w:r>
          </w:p>
        </w:tc>
        <w:tc>
          <w:tcPr>
            <w:tcW w:type="dxa" w:w="1574"/>
          </w:tcPr>
          <w:p>
            <w:pPr>
              <w:pStyle w:val="Compact"/>
              <w:keepNext/>
              <w:spacing w:after="20" w:before="20" w:line="240" w:lineRule="auto"/>
              <w:jc w:val="center"/>
            </w:pPr>
            <w:r>
              <w:rPr>
                <w:rFonts w:ascii="Times New Roman" w:hAnsi="Times New Roman"/>
                <w:sz w:val="17"/>
              </w:rPr>
              <w:t xml:space="preserve">−0.77 (−2.5)</w:t>
            </w:r>
          </w:p>
        </w:tc>
        <w:tc>
          <w:tcPr>
            <w:tcW w:type="dxa" w:w="1574"/>
          </w:tcPr>
          <w:p>
            <w:pPr>
              <w:pStyle w:val="Compact"/>
              <w:keepNext/>
              <w:spacing w:after="20" w:before="20" w:line="240" w:lineRule="auto"/>
              <w:jc w:val="center"/>
            </w:pPr>
            <w:r>
              <w:rPr>
                <w:rFonts w:ascii="Times New Roman" w:hAnsi="Times New Roman"/>
                <w:sz w:val="17"/>
              </w:rPr>
              <w:t xml:space="preserve">−0.06 (−0.1)</w:t>
            </w:r>
          </w:p>
        </w:tc>
        <w:tc>
          <w:tcPr>
            <w:tcW w:type="dxa" w:w="1049"/>
          </w:tcPr>
          <w:p>
            <w:pPr>
              <w:pStyle w:val="Compact"/>
              <w:keepNext/>
              <w:spacing w:after="20" w:before="20" w:line="240" w:lineRule="auto"/>
              <w:jc w:val="center"/>
            </w:pPr>
            <w:r>
              <w:rPr>
                <w:rFonts w:ascii="Times New Roman" w:hAnsi="Times New Roman"/>
                <w:sz w:val="17"/>
              </w:rPr>
              <w:t xml:space="preserve">936 / 2,257</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−0.42 (−1.9)</w:t>
            </w:r>
          </w:p>
        </w:tc>
        <w:tc>
          <w:tcPr>
            <w:tcW w:type="dxa" w:w="1574"/>
          </w:tcPr>
          <w:p>
            <w:pPr>
              <w:pStyle w:val="Compact"/>
              <w:keepNext/>
              <w:spacing w:after="20" w:before="20" w:line="240" w:lineRule="auto"/>
              <w:jc w:val="center"/>
            </w:pPr>
            <w:r>
              <w:rPr>
                <w:rFonts w:ascii="Times New Roman" w:hAnsi="Times New Roman"/>
                <w:sz w:val="17"/>
              </w:rPr>
              <w:t xml:space="preserve">−1.37 (−7.0)</w:t>
            </w:r>
          </w:p>
        </w:tc>
        <w:tc>
          <w:tcPr>
            <w:tcW w:type="dxa" w:w="1574"/>
          </w:tcPr>
          <w:p>
            <w:pPr>
              <w:pStyle w:val="Compact"/>
              <w:keepNext/>
              <w:spacing w:after="20" w:before="20" w:line="240" w:lineRule="auto"/>
              <w:jc w:val="center"/>
            </w:pPr>
            <w:r>
              <w:rPr>
                <w:rFonts w:ascii="Times New Roman" w:hAnsi="Times New Roman"/>
                <w:sz w:val="17"/>
              </w:rPr>
              <w:t xml:space="preserve">−0.95 (−3.2)</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−0.15 (−0.4)</w:t>
            </w:r>
          </w:p>
        </w:tc>
        <w:tc>
          <w:tcPr>
            <w:tcW w:type="dxa" w:w="1574"/>
          </w:tcPr>
          <w:p>
            <w:pPr>
              <w:pStyle w:val="Compact"/>
              <w:keepNext/>
              <w:spacing w:after="20" w:before="20" w:line="240" w:lineRule="auto"/>
              <w:jc w:val="center"/>
            </w:pPr>
            <w:r>
              <w:rPr>
                <w:rFonts w:ascii="Times New Roman" w:hAnsi="Times New Roman"/>
                <w:sz w:val="17"/>
              </w:rPr>
              <w:t xml:space="preserve">0.64 (4.6)</w:t>
            </w:r>
          </w:p>
        </w:tc>
        <w:tc>
          <w:tcPr>
            <w:tcW w:type="dxa" w:w="1574"/>
          </w:tcPr>
          <w:p>
            <w:pPr>
              <w:pStyle w:val="Compact"/>
              <w:keepNext/>
              <w:spacing w:after="20" w:before="20" w:line="240" w:lineRule="auto"/>
              <w:jc w:val="center"/>
            </w:pPr>
            <w:r>
              <w:rPr>
                <w:rFonts w:ascii="Times New Roman" w:hAnsi="Times New Roman"/>
                <w:sz w:val="17"/>
              </w:rPr>
              <w:t xml:space="preserve">0.79 (2.0)</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−0.57 (−2.3)</w:t>
            </w:r>
          </w:p>
        </w:tc>
        <w:tc>
          <w:tcPr>
            <w:tcW w:type="dxa" w:w="1574"/>
          </w:tcPr>
          <w:p>
            <w:pPr>
              <w:pStyle w:val="Compact"/>
              <w:keepNext/>
              <w:spacing w:after="20" w:before="20" w:line="240" w:lineRule="auto"/>
              <w:jc w:val="center"/>
            </w:pPr>
            <w:r>
              <w:rPr>
                <w:rFonts w:ascii="Times New Roman" w:hAnsi="Times New Roman"/>
                <w:sz w:val="17"/>
              </w:rPr>
              <w:t xml:space="preserve">−0.78 (−5.0)</w:t>
            </w:r>
          </w:p>
        </w:tc>
        <w:tc>
          <w:tcPr>
            <w:tcW w:type="dxa" w:w="1574"/>
          </w:tcPr>
          <w:p>
            <w:pPr>
              <w:pStyle w:val="Compact"/>
              <w:keepNext/>
              <w:spacing w:after="20" w:before="20" w:line="240" w:lineRule="auto"/>
              <w:jc w:val="center"/>
            </w:pPr>
            <w:r>
              <w:rPr>
                <w:rFonts w:ascii="Times New Roman" w:hAnsi="Times New Roman"/>
                <w:sz w:val="17"/>
              </w:rPr>
              <w:t xml:space="preserve">−0.21 (−0.7)</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784"/>
            <w:tcBorders>
              <w:bottom w:val="single" w:sz="8" w:color="000000" w:space="0"/>
            </w:tcBorders>
          </w:tcPr>
          <w:p>
            <w:pPr>
              <w:pStyle w:val="Compac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−1.73 (−4.7)</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−0.15 (−0.3)</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1.58 (2.5)</w:t>
            </w:r>
          </w:p>
        </w:tc>
        <w:tc>
          <w:tcPr>
            <w:tcW w:type="dxa" w:w="1049"/>
            <w:tcBorders>
              <w:bottom w:val="single" w:sz="8" w:color="000000" w:space="0"/>
            </w:tcBorders>
          </w:tcPr>
          <w:p>
            <w:pPr>
              <w:pStyle w:val="Compact"/>
              <w:spacing w:after="20" w:before="20" w:line="240" w:lineRule="auto"/>
              <w:jc w:val="center"/>
            </w:pPr>
            <w:r>
              <w:rPr>
                <w:rFonts w:ascii="Times New Roman" w:hAnsi="Times New Roman"/>
                <w:sz w:val="17"/>
              </w:rPr>
              <w:t xml:space="preserve">891 / 1,217</w:t>
            </w:r>
          </w:p>
        </w:tc>
      </w:tr>
    </w:tbl>
    <w:p>
      <w:pPr>
        <w:pStyle w:val="BodyText"/>
        <w:spacing w:before="160"/>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pPr>
      <w:r>
        <w:t xml:space="preserve">Because the events are unbalanced in time, Table 5 reports them by calendar quarter. The ceiling gap is positive and significant in each of the 8 quarters (</w:t>
      </w:r>
      <w:r>
        <w:rPr>
          <w:iCs/>
          <w:i/>
        </w:rPr>
        <w:t xml:space="preserve">t</w:t>
      </w:r>
      <w:r>
        <w:t xml:space="preserve"> </w:t>
      </w:r>
      <w:r>
        <w:t xml:space="preserve">from 2.5 to 16.8); its weakest quarter, 2025-Q2, contains the platform change. The floor gap is negative in every quarter and significant at the 5% level in 7 of them. Placebo break dates on the first trading day of each month from January 2025 to April 2026 give ceiling-gap differences between −0.45 and 0.72 percentage points (|</w:t>
      </w:r>
      <w:r>
        <w:rPr>
          <w:iCs/>
          <w:i/>
        </w:rPr>
        <w:t xml:space="preserve">t</w:t>
      </w:r>
      <w:r>
        <w:t xml:space="preserve">| at most 1.4); the split at 5 May 2025 gives the largest difference, 0.85 points, but it is not significant either (</w:t>
      </w:r>
      <w:r>
        <w:rPr>
          <w:iCs/>
          <w:i/>
        </w:rPr>
        <w:t xml:space="preserve">t</w:t>
      </w:r>
      <w:r>
        <w:t xml:space="preserve"> </w:t>
      </w:r>
      <w:r>
        <w:t xml:space="preserve">= 1.6). The floor-gap difference is positive at the 4 placebo dates before the platform change and negative at all 11 later ones, and the split at 5 May 2025 gives −0.95 points (</w:t>
      </w:r>
      <w:r>
        <w:rPr>
          <w:iCs/>
          <w:i/>
        </w:rPr>
        <w:t xml:space="preserve">t</w:t>
      </w:r>
      <w:r>
        <w:t xml:space="preserve"> </w:t>
      </w:r>
      <w:r>
        <w:t xml:space="preserve">= −3.2), close to the differences at the placebo dates that follow it. Table 5 shows no trend in the floor gap; the pattern coincides with the weak floor gap in 2025-Q2 (−0.34%), the quarter with the most floor events (802), so the placebo dates cannot separate a break at the platform change from a shift specific to that quarter. A difference-in-differences regression that compares limit closes with 5–6.5% movers that also closed at the extreme points the same way for the ceiling (repository table C31): the excess ceiling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and the excess floor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ceiling close-to-close return and of the raw floor gap does (Table 4). Like the split in Table 4, these comparisons describe timing and do not identify an effect of the auction rules.</w:t>
      </w:r>
    </w:p>
    <w:p>
      <w:pPr>
        <w:pStyle w:val="BodyText"/>
        <w:keepNext/>
        <w:spacing w:after="60"/>
      </w:pPr>
      <w:r>
        <w:rPr>
          <w:sz w:val="19"/>
        </w:rPr>
        <w:t xml:space="preserve">Table 5. Events and overnight gaps (percent, market-adjusted) by calendar quarter of the opening that defines the gap, with two-way-clustered</w:t>
      </w:r>
      <w:r>
        <w:rPr>
          <w:sz w:val="19"/>
        </w:rPr>
        <w:t xml:space="preserve"> </w:t>
      </w:r>
      <w:r>
        <w:rPr>
          <w:iCs/>
          <w:i/>
          <w:sz w:val="19"/>
        </w:rPr>
        <w:t xml:space="preserve">t</w:t>
      </w:r>
      <w:r>
        <w:rPr>
          <w:sz w:val="19"/>
        </w:rPr>
        <w:t xml:space="preserve">-statistics in parentheses. Counts are events with a day-</w:t>
      </w:r>
      <w:r>
        <w:rPr>
          <w:iCs/>
          <w:i/>
          <w:sz w:val="19"/>
        </w:rPr>
        <w:t xml:space="preserve">d</w:t>
      </w:r>
      <w:r>
        <w:rPr>
          <w:sz w:val="19"/>
        </w:rPr>
        <w:t xml:space="preserve">+1 open. The first and last quarters are partial. The KRX platform change falls in 2025-Q2.</w:t>
      </w:r>
    </w:p>
    <w:tbl>
      <w:tblPr>
        <w:tblStyle w:val="Table"/>
        <w:tblW w:type="dxa" w:w="9070"/>
        <w:tblLook w:firstRow="1" w:lastRow="0" w:firstColumn="0" w:lastColumn="0" w:noHBand="0" w:noVBand="0" w:val="0020"/>
        <w:jc w:val="start"/>
        <w:tblLayout w:type="fixed"/>
      </w:tblPr>
      <w:tblGrid>
        <w:gridCol w:w="2093"/>
        <w:gridCol w:w="1453"/>
        <w:gridCol w:w="2034"/>
        <w:gridCol w:w="1308"/>
        <w:gridCol w:w="2180"/>
      </w:tblGrid>
      <w:tr>
        <w:trPr>
          <w:tblHeader w:val="true"/>
          <w:tblHeader/>
          <w:cantSplit/>
        </w:trPr>
        <w:tc>
          <w:tcPr>
            <w:tcW w:type="dxa" w:w="2093"/>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Quarter</w:t>
            </w:r>
          </w:p>
        </w:tc>
        <w:tc>
          <w:tcPr>
            <w:tcW w:type="dxa" w:w="1453"/>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Ceiling events</w:t>
            </w:r>
          </w:p>
        </w:tc>
        <w:tc>
          <w:tcPr>
            <w:tcW w:type="dxa" w:w="203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Ceiling gap</w:t>
            </w:r>
          </w:p>
        </w:tc>
        <w:tc>
          <w:tcPr>
            <w:tcW w:type="dxa" w:w="1308"/>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Floor events</w:t>
            </w:r>
          </w:p>
        </w:tc>
        <w:tc>
          <w:tcPr>
            <w:tcW w:type="dxa" w:w="2180"/>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Floor gap</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2024-Q4</w:t>
            </w:r>
          </w:p>
        </w:tc>
        <w:tc>
          <w:tcPr>
            <w:tcW w:type="dxa" w:w="1453"/>
          </w:tcPr>
          <w:p>
            <w:pPr>
              <w:pStyle w:val="Compact"/>
              <w:keepNext/>
              <w:spacing w:after="20" w:before="20" w:line="240" w:lineRule="auto"/>
              <w:jc w:val="center"/>
            </w:pPr>
            <w:r>
              <w:rPr>
                <w:rFonts w:ascii="Times New Roman" w:hAnsi="Times New Roman"/>
                <w:sz w:val="17"/>
              </w:rPr>
              <w:t xml:space="preserve">177</w:t>
            </w:r>
          </w:p>
        </w:tc>
        <w:tc>
          <w:tcPr>
            <w:tcW w:type="dxa" w:w="2034"/>
          </w:tcPr>
          <w:p>
            <w:pPr>
              <w:pStyle w:val="Compact"/>
              <w:keepNext/>
              <w:spacing w:after="20" w:before="20" w:line="240" w:lineRule="auto"/>
              <w:jc w:val="center"/>
            </w:pPr>
            <w:r>
              <w:rPr>
                <w:rFonts w:ascii="Times New Roman" w:hAnsi="Times New Roman"/>
                <w:sz w:val="17"/>
              </w:rPr>
              <w:t xml:space="preserve">2.16 (5.6)</w:t>
            </w:r>
          </w:p>
        </w:tc>
        <w:tc>
          <w:tcPr>
            <w:tcW w:type="dxa" w:w="1308"/>
          </w:tcPr>
          <w:p>
            <w:pPr>
              <w:pStyle w:val="Compact"/>
              <w:keepNext/>
              <w:spacing w:after="20" w:before="20" w:line="240" w:lineRule="auto"/>
              <w:jc w:val="center"/>
            </w:pPr>
            <w:r>
              <w:rPr>
                <w:rFonts w:ascii="Times New Roman" w:hAnsi="Times New Roman"/>
                <w:sz w:val="17"/>
              </w:rPr>
              <w:t xml:space="preserve">48</w:t>
            </w:r>
          </w:p>
        </w:tc>
        <w:tc>
          <w:tcPr>
            <w:tcW w:type="dxa" w:w="2180"/>
          </w:tcPr>
          <w:p>
            <w:pPr>
              <w:pStyle w:val="Compact"/>
              <w:keepNext/>
              <w:spacing w:after="20" w:before="20" w:line="240" w:lineRule="auto"/>
              <w:jc w:val="center"/>
            </w:pPr>
            <w:r>
              <w:rPr>
                <w:rFonts w:ascii="Times New Roman" w:hAnsi="Times New Roman"/>
                <w:sz w:val="17"/>
              </w:rPr>
              <w:t xml:space="preserve">−1.50 (−2.5)</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2025-Q1</w:t>
            </w:r>
          </w:p>
        </w:tc>
        <w:tc>
          <w:tcPr>
            <w:tcW w:type="dxa" w:w="1453"/>
          </w:tcPr>
          <w:p>
            <w:pPr>
              <w:pStyle w:val="Compact"/>
              <w:keepNext/>
              <w:spacing w:after="20" w:before="20" w:line="240" w:lineRule="auto"/>
              <w:jc w:val="center"/>
            </w:pPr>
            <w:r>
              <w:rPr>
                <w:rFonts w:ascii="Times New Roman" w:hAnsi="Times New Roman"/>
                <w:sz w:val="17"/>
              </w:rPr>
              <w:t xml:space="preserve">295</w:t>
            </w:r>
          </w:p>
        </w:tc>
        <w:tc>
          <w:tcPr>
            <w:tcW w:type="dxa" w:w="2034"/>
          </w:tcPr>
          <w:p>
            <w:pPr>
              <w:pStyle w:val="Compact"/>
              <w:keepNext/>
              <w:spacing w:after="20" w:before="20" w:line="240" w:lineRule="auto"/>
              <w:jc w:val="center"/>
            </w:pPr>
            <w:r>
              <w:rPr>
                <w:rFonts w:ascii="Times New Roman" w:hAnsi="Times New Roman"/>
                <w:sz w:val="17"/>
              </w:rPr>
              <w:t xml:space="preserve">2.78 (9.1)</w:t>
            </w:r>
          </w:p>
        </w:tc>
        <w:tc>
          <w:tcPr>
            <w:tcW w:type="dxa" w:w="1308"/>
          </w:tcPr>
          <w:p>
            <w:pPr>
              <w:pStyle w:val="Compact"/>
              <w:keepNext/>
              <w:spacing w:after="20" w:before="20" w:line="240" w:lineRule="auto"/>
              <w:jc w:val="center"/>
            </w:pPr>
            <w:r>
              <w:rPr>
                <w:rFonts w:ascii="Times New Roman" w:hAnsi="Times New Roman"/>
                <w:sz w:val="17"/>
              </w:rPr>
              <w:t xml:space="preserve">79</w:t>
            </w:r>
          </w:p>
        </w:tc>
        <w:tc>
          <w:tcPr>
            <w:tcW w:type="dxa" w:w="2180"/>
          </w:tcPr>
          <w:p>
            <w:pPr>
              <w:pStyle w:val="Compact"/>
              <w:keepNext/>
              <w:spacing w:after="20" w:before="20" w:line="240" w:lineRule="auto"/>
              <w:jc w:val="center"/>
            </w:pPr>
            <w:r>
              <w:rPr>
                <w:rFonts w:ascii="Times New Roman" w:hAnsi="Times New Roman"/>
                <w:sz w:val="17"/>
              </w:rPr>
              <w:t xml:space="preserve">−1.70 (−3.9)</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2025-Q2</w:t>
            </w:r>
          </w:p>
        </w:tc>
        <w:tc>
          <w:tcPr>
            <w:tcW w:type="dxa" w:w="1453"/>
          </w:tcPr>
          <w:p>
            <w:pPr>
              <w:pStyle w:val="Compact"/>
              <w:keepNext/>
              <w:spacing w:after="20" w:before="20" w:line="240" w:lineRule="auto"/>
              <w:jc w:val="center"/>
            </w:pPr>
            <w:r>
              <w:rPr>
                <w:rFonts w:ascii="Times New Roman" w:hAnsi="Times New Roman"/>
                <w:sz w:val="17"/>
              </w:rPr>
              <w:t xml:space="preserve">686</w:t>
            </w:r>
          </w:p>
        </w:tc>
        <w:tc>
          <w:tcPr>
            <w:tcW w:type="dxa" w:w="2034"/>
          </w:tcPr>
          <w:p>
            <w:pPr>
              <w:pStyle w:val="Compact"/>
              <w:keepNext/>
              <w:spacing w:after="20" w:before="20" w:line="240" w:lineRule="auto"/>
              <w:jc w:val="center"/>
            </w:pPr>
            <w:r>
              <w:rPr>
                <w:rFonts w:ascii="Times New Roman" w:hAnsi="Times New Roman"/>
                <w:sz w:val="17"/>
              </w:rPr>
              <w:t xml:space="preserve">1.33 (2.5)</w:t>
            </w:r>
          </w:p>
        </w:tc>
        <w:tc>
          <w:tcPr>
            <w:tcW w:type="dxa" w:w="1308"/>
          </w:tcPr>
          <w:p>
            <w:pPr>
              <w:pStyle w:val="Compact"/>
              <w:keepNext/>
              <w:spacing w:after="20" w:before="20" w:line="240" w:lineRule="auto"/>
              <w:jc w:val="center"/>
            </w:pPr>
            <w:r>
              <w:rPr>
                <w:rFonts w:ascii="Times New Roman" w:hAnsi="Times New Roman"/>
                <w:sz w:val="17"/>
              </w:rPr>
              <w:t xml:space="preserve">802</w:t>
            </w:r>
          </w:p>
        </w:tc>
        <w:tc>
          <w:tcPr>
            <w:tcW w:type="dxa" w:w="2180"/>
          </w:tcPr>
          <w:p>
            <w:pPr>
              <w:pStyle w:val="Compact"/>
              <w:keepNext/>
              <w:spacing w:after="20" w:before="20" w:line="240" w:lineRule="auto"/>
              <w:jc w:val="center"/>
            </w:pPr>
            <w:r>
              <w:rPr>
                <w:rFonts w:ascii="Times New Roman" w:hAnsi="Times New Roman"/>
                <w:sz w:val="17"/>
              </w:rPr>
              <w:t xml:space="preserve">−0.34 (−1.5)</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2025-Q3</w:t>
            </w:r>
          </w:p>
        </w:tc>
        <w:tc>
          <w:tcPr>
            <w:tcW w:type="dxa" w:w="1453"/>
          </w:tcPr>
          <w:p>
            <w:pPr>
              <w:pStyle w:val="Compact"/>
              <w:keepNext/>
              <w:spacing w:after="20" w:before="20" w:line="240" w:lineRule="auto"/>
              <w:jc w:val="center"/>
            </w:pPr>
            <w:r>
              <w:rPr>
                <w:rFonts w:ascii="Times New Roman" w:hAnsi="Times New Roman"/>
                <w:sz w:val="17"/>
              </w:rPr>
              <w:t xml:space="preserve">624</w:t>
            </w:r>
          </w:p>
        </w:tc>
        <w:tc>
          <w:tcPr>
            <w:tcW w:type="dxa" w:w="2034"/>
          </w:tcPr>
          <w:p>
            <w:pPr>
              <w:pStyle w:val="Compact"/>
              <w:keepNext/>
              <w:spacing w:after="20" w:before="20" w:line="240" w:lineRule="auto"/>
              <w:jc w:val="center"/>
            </w:pPr>
            <w:r>
              <w:rPr>
                <w:rFonts w:ascii="Times New Roman" w:hAnsi="Times New Roman"/>
                <w:sz w:val="17"/>
              </w:rPr>
              <w:t xml:space="preserve">2.99 (16.8)</w:t>
            </w:r>
          </w:p>
        </w:tc>
        <w:tc>
          <w:tcPr>
            <w:tcW w:type="dxa" w:w="1308"/>
          </w:tcPr>
          <w:p>
            <w:pPr>
              <w:pStyle w:val="Compact"/>
              <w:keepNext/>
              <w:spacing w:after="20" w:before="20" w:line="240" w:lineRule="auto"/>
              <w:jc w:val="center"/>
            </w:pPr>
            <w:r>
              <w:rPr>
                <w:rFonts w:ascii="Times New Roman" w:hAnsi="Times New Roman"/>
                <w:sz w:val="17"/>
              </w:rPr>
              <w:t xml:space="preserve">195</w:t>
            </w:r>
          </w:p>
        </w:tc>
        <w:tc>
          <w:tcPr>
            <w:tcW w:type="dxa" w:w="2180"/>
          </w:tcPr>
          <w:p>
            <w:pPr>
              <w:pStyle w:val="Compact"/>
              <w:keepNext/>
              <w:spacing w:after="20" w:before="20" w:line="240" w:lineRule="auto"/>
              <w:jc w:val="center"/>
            </w:pPr>
            <w:r>
              <w:rPr>
                <w:rFonts w:ascii="Times New Roman" w:hAnsi="Times New Roman"/>
                <w:sz w:val="17"/>
              </w:rPr>
              <w:t xml:space="preserve">−0.86 (−4.1)</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2025-Q4</w:t>
            </w:r>
          </w:p>
        </w:tc>
        <w:tc>
          <w:tcPr>
            <w:tcW w:type="dxa" w:w="1453"/>
          </w:tcPr>
          <w:p>
            <w:pPr>
              <w:pStyle w:val="Compact"/>
              <w:keepNext/>
              <w:spacing w:after="20" w:before="20" w:line="240" w:lineRule="auto"/>
              <w:jc w:val="center"/>
            </w:pPr>
            <w:r>
              <w:rPr>
                <w:rFonts w:ascii="Times New Roman" w:hAnsi="Times New Roman"/>
                <w:sz w:val="17"/>
              </w:rPr>
              <w:t xml:space="preserve">426</w:t>
            </w:r>
          </w:p>
        </w:tc>
        <w:tc>
          <w:tcPr>
            <w:tcW w:type="dxa" w:w="2034"/>
          </w:tcPr>
          <w:p>
            <w:pPr>
              <w:pStyle w:val="Compact"/>
              <w:keepNext/>
              <w:spacing w:after="20" w:before="20" w:line="240" w:lineRule="auto"/>
              <w:jc w:val="center"/>
            </w:pPr>
            <w:r>
              <w:rPr>
                <w:rFonts w:ascii="Times New Roman" w:hAnsi="Times New Roman"/>
                <w:sz w:val="17"/>
              </w:rPr>
              <w:t xml:space="preserve">2.64 (7.4)</w:t>
            </w:r>
          </w:p>
        </w:tc>
        <w:tc>
          <w:tcPr>
            <w:tcW w:type="dxa" w:w="1308"/>
          </w:tcPr>
          <w:p>
            <w:pPr>
              <w:pStyle w:val="Compact"/>
              <w:keepNext/>
              <w:spacing w:after="20" w:before="20" w:line="240" w:lineRule="auto"/>
              <w:jc w:val="center"/>
            </w:pPr>
            <w:r>
              <w:rPr>
                <w:rFonts w:ascii="Times New Roman" w:hAnsi="Times New Roman"/>
                <w:sz w:val="17"/>
              </w:rPr>
              <w:t xml:space="preserve">280</w:t>
            </w:r>
          </w:p>
        </w:tc>
        <w:tc>
          <w:tcPr>
            <w:tcW w:type="dxa" w:w="2180"/>
          </w:tcPr>
          <w:p>
            <w:pPr>
              <w:pStyle w:val="Compact"/>
              <w:keepNext/>
              <w:spacing w:after="20" w:before="20" w:line="240" w:lineRule="auto"/>
              <w:jc w:val="center"/>
            </w:pPr>
            <w:r>
              <w:rPr>
                <w:rFonts w:ascii="Times New Roman" w:hAnsi="Times New Roman"/>
                <w:sz w:val="17"/>
              </w:rPr>
              <w:t xml:space="preserve">−1.39 (−2.4)</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2026-Q1</w:t>
            </w:r>
          </w:p>
        </w:tc>
        <w:tc>
          <w:tcPr>
            <w:tcW w:type="dxa" w:w="1453"/>
          </w:tcPr>
          <w:p>
            <w:pPr>
              <w:pStyle w:val="Compact"/>
              <w:keepNext/>
              <w:spacing w:after="20" w:before="20" w:line="240" w:lineRule="auto"/>
              <w:jc w:val="center"/>
            </w:pPr>
            <w:r>
              <w:rPr>
                <w:rFonts w:ascii="Times New Roman" w:hAnsi="Times New Roman"/>
                <w:sz w:val="17"/>
              </w:rPr>
              <w:t xml:space="preserve">455</w:t>
            </w:r>
          </w:p>
        </w:tc>
        <w:tc>
          <w:tcPr>
            <w:tcW w:type="dxa" w:w="2034"/>
          </w:tcPr>
          <w:p>
            <w:pPr>
              <w:pStyle w:val="Compact"/>
              <w:keepNext/>
              <w:spacing w:after="20" w:before="20" w:line="240" w:lineRule="auto"/>
              <w:jc w:val="center"/>
            </w:pPr>
            <w:r>
              <w:rPr>
                <w:rFonts w:ascii="Times New Roman" w:hAnsi="Times New Roman"/>
                <w:sz w:val="17"/>
              </w:rPr>
              <w:t xml:space="preserve">2.35 (10.4)</w:t>
            </w:r>
          </w:p>
        </w:tc>
        <w:tc>
          <w:tcPr>
            <w:tcW w:type="dxa" w:w="1308"/>
          </w:tcPr>
          <w:p>
            <w:pPr>
              <w:pStyle w:val="Compact"/>
              <w:keepNext/>
              <w:spacing w:after="20" w:before="20" w:line="240" w:lineRule="auto"/>
              <w:jc w:val="center"/>
            </w:pPr>
            <w:r>
              <w:rPr>
                <w:rFonts w:ascii="Times New Roman" w:hAnsi="Times New Roman"/>
                <w:sz w:val="17"/>
              </w:rPr>
              <w:t xml:space="preserve">433</w:t>
            </w:r>
          </w:p>
        </w:tc>
        <w:tc>
          <w:tcPr>
            <w:tcW w:type="dxa" w:w="2180"/>
          </w:tcPr>
          <w:p>
            <w:pPr>
              <w:pStyle w:val="Compact"/>
              <w:keepNext/>
              <w:spacing w:after="20" w:before="20" w:line="240" w:lineRule="auto"/>
              <w:jc w:val="center"/>
            </w:pPr>
            <w:r>
              <w:rPr>
                <w:rFonts w:ascii="Times New Roman" w:hAnsi="Times New Roman"/>
                <w:sz w:val="17"/>
              </w:rPr>
              <w:t xml:space="preserve">−1.39 (−7.8)</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2026-Q2</w:t>
            </w:r>
          </w:p>
        </w:tc>
        <w:tc>
          <w:tcPr>
            <w:tcW w:type="dxa" w:w="1453"/>
          </w:tcPr>
          <w:p>
            <w:pPr>
              <w:pStyle w:val="Compact"/>
              <w:keepNext/>
              <w:spacing w:after="20" w:before="20" w:line="240" w:lineRule="auto"/>
              <w:jc w:val="center"/>
            </w:pPr>
            <w:r>
              <w:rPr>
                <w:rFonts w:ascii="Times New Roman" w:hAnsi="Times New Roman"/>
                <w:sz w:val="17"/>
              </w:rPr>
              <w:t xml:space="preserve">297</w:t>
            </w:r>
          </w:p>
        </w:tc>
        <w:tc>
          <w:tcPr>
            <w:tcW w:type="dxa" w:w="2034"/>
          </w:tcPr>
          <w:p>
            <w:pPr>
              <w:pStyle w:val="Compact"/>
              <w:keepNext/>
              <w:spacing w:after="20" w:before="20" w:line="240" w:lineRule="auto"/>
              <w:jc w:val="center"/>
            </w:pPr>
            <w:r>
              <w:rPr>
                <w:rFonts w:ascii="Times New Roman" w:hAnsi="Times New Roman"/>
                <w:sz w:val="17"/>
              </w:rPr>
              <w:t xml:space="preserve">2.08 (7.0)</w:t>
            </w:r>
          </w:p>
        </w:tc>
        <w:tc>
          <w:tcPr>
            <w:tcW w:type="dxa" w:w="1308"/>
          </w:tcPr>
          <w:p>
            <w:pPr>
              <w:pStyle w:val="Compact"/>
              <w:keepNext/>
              <w:spacing w:after="20" w:before="20" w:line="240" w:lineRule="auto"/>
              <w:jc w:val="center"/>
            </w:pPr>
            <w:r>
              <w:rPr>
                <w:rFonts w:ascii="Times New Roman" w:hAnsi="Times New Roman"/>
                <w:sz w:val="17"/>
              </w:rPr>
              <w:t xml:space="preserve">99</w:t>
            </w:r>
          </w:p>
        </w:tc>
        <w:tc>
          <w:tcPr>
            <w:tcW w:type="dxa" w:w="2180"/>
          </w:tcPr>
          <w:p>
            <w:pPr>
              <w:pStyle w:val="Compact"/>
              <w:keepNext/>
              <w:spacing w:after="20" w:before="20" w:line="240" w:lineRule="auto"/>
              <w:jc w:val="center"/>
            </w:pPr>
            <w:r>
              <w:rPr>
                <w:rFonts w:ascii="Times New Roman" w:hAnsi="Times New Roman"/>
                <w:sz w:val="17"/>
              </w:rPr>
              <w:t xml:space="preserve">−1.46 (−3.3)</w:t>
            </w:r>
          </w:p>
        </w:tc>
      </w:tr>
      <w:tr>
        <w:trPr>
          <w:cantSplit/>
        </w:trPr>
        <w:tc>
          <w:tcPr>
            <w:tcW w:type="dxa" w:w="2093"/>
            <w:tcBorders>
              <w:bottom w:val="single" w:sz="8" w:color="000000" w:space="0"/>
            </w:tcBorders>
          </w:tcPr>
          <w:p>
            <w:pPr>
              <w:pStyle w:val="Compact"/>
              <w:spacing w:after="20" w:before="20" w:line="240" w:lineRule="auto"/>
              <w:jc w:val="left"/>
            </w:pPr>
            <w:r>
              <w:rPr>
                <w:rFonts w:ascii="Times New Roman" w:hAnsi="Times New Roman"/>
                <w:sz w:val="17"/>
              </w:rPr>
              <w:t xml:space="preserve">2026-Q3</w:t>
            </w:r>
          </w:p>
        </w:tc>
        <w:tc>
          <w:tcPr>
            <w:tcW w:type="dxa" w:w="1453"/>
            <w:tcBorders>
              <w:bottom w:val="single" w:sz="8" w:color="000000" w:space="0"/>
            </w:tcBorders>
          </w:tcPr>
          <w:p>
            <w:pPr>
              <w:pStyle w:val="Compact"/>
              <w:spacing w:after="20" w:before="20" w:line="240" w:lineRule="auto"/>
              <w:jc w:val="center"/>
            </w:pPr>
            <w:r>
              <w:rPr>
                <w:rFonts w:ascii="Times New Roman" w:hAnsi="Times New Roman"/>
                <w:sz w:val="17"/>
              </w:rPr>
              <w:t xml:space="preserve">239</w:t>
            </w:r>
          </w:p>
        </w:tc>
        <w:tc>
          <w:tcPr>
            <w:tcW w:type="dxa" w:w="2034"/>
            <w:tcBorders>
              <w:bottom w:val="single" w:sz="8" w:color="000000" w:space="0"/>
            </w:tcBorders>
          </w:tcPr>
          <w:p>
            <w:pPr>
              <w:pStyle w:val="Compact"/>
              <w:spacing w:after="20" w:before="20" w:line="240" w:lineRule="auto"/>
              <w:jc w:val="center"/>
            </w:pPr>
            <w:r>
              <w:rPr>
                <w:rFonts w:ascii="Times New Roman" w:hAnsi="Times New Roman"/>
                <w:sz w:val="17"/>
              </w:rPr>
              <w:t xml:space="preserve">1.61 (5.4)</w:t>
            </w:r>
          </w:p>
        </w:tc>
        <w:tc>
          <w:tcPr>
            <w:tcW w:type="dxa" w:w="1308"/>
            <w:tcBorders>
              <w:bottom w:val="single" w:sz="8" w:color="000000" w:space="0"/>
            </w:tcBorders>
          </w:tcPr>
          <w:p>
            <w:pPr>
              <w:pStyle w:val="Compact"/>
              <w:spacing w:after="20" w:before="20" w:line="240" w:lineRule="auto"/>
              <w:jc w:val="center"/>
            </w:pPr>
            <w:r>
              <w:rPr>
                <w:rFonts w:ascii="Times New Roman" w:hAnsi="Times New Roman"/>
                <w:sz w:val="17"/>
              </w:rPr>
              <w:t xml:space="preserve">175</w:t>
            </w:r>
          </w:p>
        </w:tc>
        <w:tc>
          <w:tcPr>
            <w:tcW w:type="dxa" w:w="2180"/>
            <w:tcBorders>
              <w:bottom w:val="single" w:sz="8" w:color="000000" w:space="0"/>
            </w:tcBorders>
          </w:tcPr>
          <w:p>
            <w:pPr>
              <w:pStyle w:val="Compact"/>
              <w:spacing w:after="20" w:before="20" w:line="240" w:lineRule="auto"/>
              <w:jc w:val="center"/>
            </w:pPr>
            <w:r>
              <w:rPr>
                <w:rFonts w:ascii="Times New Roman" w:hAnsi="Times New Roman"/>
                <w:sz w:val="17"/>
              </w:rPr>
              <w:t xml:space="preserve">−1.55 (−2.8)</w:t>
            </w:r>
          </w:p>
        </w:tc>
      </w:tr>
    </w:tbl>
    <w:p>
      <w:pPr>
        <w:pStyle w:val="BodyText"/>
        <w:spacing w:before="160"/>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m:oMath>
        <m:sSub>
          <m:e>
            <m:r>
              <m:t>p</m:t>
            </m:r>
          </m:e>
          <m:sub>
            <m:r>
              <m:rPr>
                <m:nor/>
                <m:sty m:val="p"/>
              </m:rPr>
              <m:t>max</m:t>
            </m:r>
          </m:sub>
        </m:sSub>
      </m:oMath>
      <w:r>
        <w:t xml:space="preserve"> </w:t>
      </w:r>
      <w:r>
        <w:t xml:space="preserve">be the largest event-test</w:t>
      </w:r>
      <w:r>
        <w:t xml:space="preserve"> </w:t>
      </w:r>
      <w:r>
        <w:rPr>
          <w:iCs/>
          <w:i/>
        </w:rPr>
        <w:t xml:space="preserve">p</w:t>
      </w:r>
      <w:r>
        <w:t xml:space="preserve">-value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All four event tests survive a Bonferroni correction at 5%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683 with date clusters and 125 with calendar-week clusters (</w:t>
      </w:r>
      <m:oMath>
        <m:sSub>
          <m:e>
            <m:r>
              <m:t>p</m:t>
            </m:r>
          </m:e>
          <m:sub>
            <m:r>
              <m:rPr>
                <m:nor/>
                <m:sty m:val="p"/>
              </m:rPr>
              <m:t>max</m:t>
            </m:r>
          </m:sub>
        </m:sSub>
      </m:oMath>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(repository table C32).</w:t>
      </w:r>
    </w:p>
    <w:p>
      <w:pPr>
        <w:pStyle w:val="BodyText"/>
      </w:pPr>
      <w: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above 2.9); the floor gap ranges from −0.79% to −2.50%.</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The ceiling effect survives alternative benchmarks, clusters, and event definitions and takes the form of a one-day gap with a partial reversal that a buyer at the quoted next open cannot capture. The floor effect combines a gap with drift that appears only before the 2025 platform change, and its size depends on the benchmark.</w:t>
      </w:r>
    </w:p>
    <w:bookmarkEnd w:id="30"/>
    <w:bookmarkStart w:id="31" w:name="discussion"/>
    <w:p>
      <w:pPr>
        <w:pStyle w:val="Heading1"/>
        <w:keepNext/>
      </w:pPr>
      <w:r>
        <w:t xml:space="preserve">6. Discussion</w:t>
      </w:r>
    </w:p>
    <w:p>
      <w:pPr>
        <w:pStyle w:val="FirstParagraph"/>
      </w:pPr>
      <w:r>
        <w:t xml:space="preserve">Our decomposition adds timing to the evidence of Kim and Rhee (1997): on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None of the studies identified by our search (Appendix B) reports the next-day abnormal return, overnight gap, or intraday return after a limit close in a form that matches ours, so Table 6 compares signs, timing, and mechanism.</w:t>
      </w:r>
    </w:p>
    <w:p>
      <w:pPr>
        <w:pStyle w:val="BodyText"/>
        <w:keepNext/>
        <w:spacing w:after="60"/>
      </w:pPr>
      <w:r>
        <w:rPr>
          <w:sz w:val="19"/>
        </w:rPr>
        <w:t xml:space="preserve">Table 6. Comparison with earlier studies. Findings are as reported in each source’s abstract or in the records we could access.</w:t>
      </w:r>
    </w:p>
    <w:tbl>
      <w:tblPr>
        <w:tblStyle w:val="Table"/>
        <w:tblW w:type="dxa" w:w="9070"/>
        <w:tblLook w:firstRow="1" w:lastRow="0" w:firstColumn="0" w:lastColumn="0" w:noHBand="0" w:noVBand="0" w:val="0020"/>
        <w:jc w:val="start"/>
        <w:tblLayout w:type="fixed"/>
      </w:tblPr>
      <w:tblGrid>
        <w:gridCol w:w="2234"/>
        <w:gridCol w:w="1460"/>
        <w:gridCol w:w="2793"/>
        <w:gridCol w:w="2581"/>
      </w:tblGrid>
      <w:tr>
        <w:trPr>
          <w:tblHeader w:val="true"/>
          <w:tblHeader/>
          <w:cantSplit/>
        </w:trPr>
        <w:tc>
          <w:tcPr>
            <w:tcW w:type="dxa" w:w="223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Study</w:t>
            </w:r>
          </w:p>
        </w:tc>
        <w:tc>
          <w:tcPr>
            <w:tcW w:type="dxa" w:w="1460"/>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Setting</w:t>
            </w:r>
          </w:p>
        </w:tc>
        <w:tc>
          <w:tcPr>
            <w:tcW w:type="dxa" w:w="2793"/>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Reported finding</w:t>
            </w:r>
          </w:p>
        </w:tc>
        <w:tc>
          <w:tcPr>
            <w:tcW w:type="dxa" w:w="258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Relation to our result</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Kim and Rhee (1997)</w:t>
            </w:r>
          </w:p>
        </w:tc>
        <w:tc>
          <w:tcPr>
            <w:tcW w:type="dxa" w:w="1460"/>
          </w:tcPr>
          <w:p>
            <w:pPr>
              <w:pStyle w:val="Compact"/>
              <w:keepNext/>
              <w:spacing w:after="20" w:before="20" w:line="240" w:lineRule="auto"/>
              <w:jc w:val="center"/>
            </w:pPr>
            <w:r>
              <w:rPr>
                <w:rFonts w:ascii="Times New Roman" w:hAnsi="Times New Roman"/>
                <w:sz w:val="17"/>
              </w:rPr>
              <w:t xml:space="preserve">Tokyo; limit hits</w:t>
            </w:r>
          </w:p>
        </w:tc>
        <w:tc>
          <w:tcPr>
            <w:tcW w:type="dxa" w:w="2793"/>
          </w:tcPr>
          <w:p>
            <w:pPr>
              <w:pStyle w:val="Compact"/>
              <w:keepNext/>
              <w:spacing w:after="20" w:before="20" w:line="240" w:lineRule="auto"/>
              <w:jc w:val="left"/>
            </w:pPr>
            <w:r>
              <w:rPr>
                <w:rFonts w:ascii="Times New Roman" w:hAnsi="Times New Roman"/>
                <w:sz w:val="17"/>
              </w:rPr>
              <w:t xml:space="preserve">Volatility spillover, delayed price discovery, and trading interference</w:t>
            </w:r>
          </w:p>
        </w:tc>
        <w:tc>
          <w:tcPr>
            <w:tcW w:type="dxa" w:w="2581"/>
          </w:tcPr>
          <w:p>
            <w:pPr>
              <w:pStyle w:val="Compact"/>
              <w:keepNext/>
              <w:spacing w:after="20" w:before="20" w:line="240" w:lineRule="auto"/>
              <w:jc w:val="left"/>
            </w:pPr>
            <w:r>
              <w:rPr>
                <w:rFonts w:ascii="Times New Roman" w:hAnsi="Times New Roman"/>
                <w:sz w:val="17"/>
              </w:rPr>
              <w:t xml:space="preserve">Ceiling next-day return consistent with delayed price discovery; spillover and interference not tested</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Berkman and Lee (2002)</w:t>
            </w:r>
          </w:p>
        </w:tc>
        <w:tc>
          <w:tcPr>
            <w:tcW w:type="dxa" w:w="1460"/>
          </w:tcPr>
          <w:p>
            <w:pPr>
              <w:pStyle w:val="Compact"/>
              <w:keepNext/>
              <w:spacing w:after="20" w:before="20" w:line="240" w:lineRule="auto"/>
              <w:jc w:val="center"/>
            </w:pPr>
            <w:r>
              <w:rPr>
                <w:rFonts w:ascii="Times New Roman" w:hAnsi="Times New Roman"/>
                <w:sz w:val="17"/>
              </w:rPr>
              <w:t xml:space="preserve">Korea; limit revision</w:t>
            </w:r>
          </w:p>
        </w:tc>
        <w:tc>
          <w:tcPr>
            <w:tcW w:type="dxa" w:w="2793"/>
          </w:tcPr>
          <w:p>
            <w:pPr>
              <w:pStyle w:val="Compact"/>
              <w:keepNext/>
              <w:spacing w:after="20" w:before="20" w:line="240" w:lineRule="auto"/>
              <w:jc w:val="left"/>
            </w:pPr>
            <w:r>
              <w:rPr>
                <w:rFonts w:ascii="Times New Roman" w:hAnsi="Times New Roman"/>
                <w:sz w:val="17"/>
              </w:rPr>
              <w:t xml:space="preserve">Volatility and trading activity around the revision</w:t>
            </w:r>
          </w:p>
        </w:tc>
        <w:tc>
          <w:tcPr>
            <w:tcW w:type="dxa" w:w="2581"/>
          </w:tcPr>
          <w:p>
            <w:pPr>
              <w:pStyle w:val="Compact"/>
              <w:keepNext/>
              <w:spacing w:after="20" w:before="20" w:line="240" w:lineRule="auto"/>
              <w:jc w:val="left"/>
            </w:pPr>
            <w:r>
              <w:rPr>
                <w:rFonts w:ascii="Times New Roman" w:hAnsi="Times New Roman"/>
                <w:sz w:val="17"/>
              </w:rPr>
              <w:t xml:space="preserve">Different question</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Huang et al. (2001)</w:t>
            </w:r>
          </w:p>
        </w:tc>
        <w:tc>
          <w:tcPr>
            <w:tcW w:type="dxa" w:w="1460"/>
          </w:tcPr>
          <w:p>
            <w:pPr>
              <w:pStyle w:val="Compact"/>
              <w:keepNext/>
              <w:spacing w:after="20" w:before="20" w:line="240" w:lineRule="auto"/>
              <w:jc w:val="center"/>
            </w:pPr>
            <w:r>
              <w:rPr>
                <w:rFonts w:ascii="Times New Roman" w:hAnsi="Times New Roman"/>
                <w:sz w:val="17"/>
              </w:rPr>
              <w:t xml:space="preserve">Taiwan; limit hits</w:t>
            </w:r>
          </w:p>
        </w:tc>
        <w:tc>
          <w:tcPr>
            <w:tcW w:type="dxa" w:w="2793"/>
          </w:tcPr>
          <w:p>
            <w:pPr>
              <w:pStyle w:val="Compact"/>
              <w:keepNext/>
              <w:spacing w:after="20" w:before="20" w:line="240" w:lineRule="auto"/>
              <w:jc w:val="left"/>
            </w:pPr>
            <w:r>
              <w:rPr>
                <w:rFonts w:ascii="Times New Roman" w:hAnsi="Times New Roman"/>
                <w:sz w:val="17"/>
              </w:rPr>
              <w:t xml:space="preserve">Overnight overreaction after limit hits corrected the next day</w:t>
            </w:r>
          </w:p>
        </w:tc>
        <w:tc>
          <w:tcPr>
            <w:tcW w:type="dxa" w:w="2581"/>
          </w:tcPr>
          <w:p>
            <w:pPr>
              <w:pStyle w:val="Compact"/>
              <w:keepNext/>
              <w:spacing w:after="20" w:before="20" w:line="240" w:lineRule="auto"/>
              <w:jc w:val="left"/>
            </w:pPr>
            <w:r>
              <w:rPr>
                <w:rFonts w:ascii="Times New Roman" w:hAnsi="Times New Roman"/>
                <w:sz w:val="17"/>
              </w:rPr>
              <w:t xml:space="preserve">Same timing: positive gap, partial intraday reversal</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Cho et al. (2003)</w:t>
            </w:r>
          </w:p>
        </w:tc>
        <w:tc>
          <w:tcPr>
            <w:tcW w:type="dxa" w:w="1460"/>
          </w:tcPr>
          <w:p>
            <w:pPr>
              <w:pStyle w:val="Compact"/>
              <w:keepNext/>
              <w:spacing w:after="20" w:before="20" w:line="240" w:lineRule="auto"/>
              <w:jc w:val="center"/>
            </w:pPr>
            <w:r>
              <w:rPr>
                <w:rFonts w:ascii="Times New Roman" w:hAnsi="Times New Roman"/>
                <w:sz w:val="17"/>
              </w:rPr>
              <w:t xml:space="preserve">Taiwan; five-minute data</w:t>
            </w:r>
          </w:p>
        </w:tc>
        <w:tc>
          <w:tcPr>
            <w:tcW w:type="dxa" w:w="2793"/>
          </w:tcPr>
          <w:p>
            <w:pPr>
              <w:pStyle w:val="Compact"/>
              <w:keepNext/>
              <w:spacing w:after="20" w:before="20" w:line="240" w:lineRule="auto"/>
              <w:jc w:val="left"/>
            </w:pPr>
            <w:r>
              <w:rPr>
                <w:rFonts w:ascii="Times New Roman" w:hAnsi="Times New Roman"/>
                <w:sz w:val="17"/>
              </w:rPr>
              <w:t xml:space="preserve">Prices accelerate toward the upper limit</w:t>
            </w:r>
          </w:p>
        </w:tc>
        <w:tc>
          <w:tcPr>
            <w:tcW w:type="dxa" w:w="2581"/>
          </w:tcPr>
          <w:p>
            <w:pPr>
              <w:pStyle w:val="Compact"/>
              <w:keepNext/>
              <w:spacing w:after="20" w:before="20" w:line="240" w:lineRule="auto"/>
              <w:jc w:val="left"/>
            </w:pPr>
            <w:r>
              <w:rPr>
                <w:rFonts w:ascii="Times New Roman" w:hAnsi="Times New Roman"/>
                <w:sz w:val="17"/>
              </w:rPr>
              <w:t xml:space="preserve">Not tested; no intraday prices</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Chen et al. (2019)</w:t>
            </w:r>
          </w:p>
        </w:tc>
        <w:tc>
          <w:tcPr>
            <w:tcW w:type="dxa" w:w="1460"/>
          </w:tcPr>
          <w:p>
            <w:pPr>
              <w:pStyle w:val="Compact"/>
              <w:keepNext/>
              <w:spacing w:after="20" w:before="20" w:line="240" w:lineRule="auto"/>
              <w:jc w:val="center"/>
            </w:pPr>
            <w:r>
              <w:rPr>
                <w:rFonts w:ascii="Times New Roman" w:hAnsi="Times New Roman"/>
                <w:sz w:val="17"/>
              </w:rPr>
              <w:t xml:space="preserve">Shenzhen; accounts</w:t>
            </w:r>
          </w:p>
        </w:tc>
        <w:tc>
          <w:tcPr>
            <w:tcW w:type="dxa" w:w="2793"/>
          </w:tcPr>
          <w:p>
            <w:pPr>
              <w:pStyle w:val="Compact"/>
              <w:keepNext/>
              <w:spacing w:after="20" w:before="20" w:line="240" w:lineRule="auto"/>
              <w:jc w:val="left"/>
            </w:pPr>
            <w:r>
              <w:rPr>
                <w:rFonts w:ascii="Times New Roman" w:hAnsi="Times New Roman"/>
                <w:sz w:val="17"/>
              </w:rPr>
              <w:t xml:space="preserve">Large investors buy on the limit day and sell the next; their net buying predicts long-run reversal</w:t>
            </w:r>
          </w:p>
        </w:tc>
        <w:tc>
          <w:tcPr>
            <w:tcW w:type="dxa" w:w="2581"/>
          </w:tcPr>
          <w:p>
            <w:pPr>
              <w:pStyle w:val="Compact"/>
              <w:keepNext/>
              <w:spacing w:after="20" w:before="20" w:line="240" w:lineRule="auto"/>
              <w:jc w:val="left"/>
            </w:pPr>
            <w:r>
              <w:rPr>
                <w:rFonts w:ascii="Times New Roman" w:hAnsi="Times New Roman"/>
                <w:sz w:val="17"/>
              </w:rPr>
              <w:t xml:space="preserve">Consistent with our intraday reversal; no account identities</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Qi (2023)</w:t>
            </w:r>
          </w:p>
        </w:tc>
        <w:tc>
          <w:tcPr>
            <w:tcW w:type="dxa" w:w="1460"/>
          </w:tcPr>
          <w:p>
            <w:pPr>
              <w:pStyle w:val="Compact"/>
              <w:keepNext/>
              <w:spacing w:after="20" w:before="20" w:line="240" w:lineRule="auto"/>
              <w:jc w:val="center"/>
            </w:pPr>
            <w:r>
              <w:rPr>
                <w:rFonts w:ascii="Times New Roman" w:hAnsi="Times New Roman"/>
                <w:sz w:val="17"/>
              </w:rPr>
              <w:t xml:space="preserve">ChiNext; band 10% to 20%</w:t>
            </w:r>
          </w:p>
        </w:tc>
        <w:tc>
          <w:tcPr>
            <w:tcW w:type="dxa" w:w="2793"/>
          </w:tcPr>
          <w:p>
            <w:pPr>
              <w:pStyle w:val="Compact"/>
              <w:keepNext/>
              <w:spacing w:after="20" w:before="20" w:line="240" w:lineRule="auto"/>
              <w:jc w:val="left"/>
            </w:pPr>
            <w:r>
              <w:rPr>
                <w:rFonts w:ascii="Times New Roman" w:hAnsi="Times New Roman"/>
                <w:sz w:val="17"/>
              </w:rPr>
              <w:t xml:space="preserve">Delayed price discovery, spillover, and interference, stronger at the lower limit; no magnet effect</w:t>
            </w:r>
          </w:p>
        </w:tc>
        <w:tc>
          <w:tcPr>
            <w:tcW w:type="dxa" w:w="2581"/>
          </w:tcPr>
          <w:p>
            <w:pPr>
              <w:pStyle w:val="Compact"/>
              <w:keepNext/>
              <w:spacing w:after="20" w:before="20" w:line="240" w:lineRule="auto"/>
              <w:jc w:val="left"/>
            </w:pPr>
            <w:r>
              <w:rPr>
                <w:rFonts w:ascii="Times New Roman" w:hAnsi="Times New Roman"/>
                <w:sz w:val="17"/>
              </w:rPr>
              <w:t xml:space="preserve">Different outcome (market quality); here both limit closes carry a next-day return, the floor effect depending on the benchmark</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Lin et al. (2023); Zeng et al. (2024)</w:t>
            </w:r>
          </w:p>
        </w:tc>
        <w:tc>
          <w:tcPr>
            <w:tcW w:type="dxa" w:w="1460"/>
          </w:tcPr>
          <w:p>
            <w:pPr>
              <w:pStyle w:val="Compact"/>
              <w:keepNext/>
              <w:spacing w:after="20" w:before="20" w:line="240" w:lineRule="auto"/>
              <w:jc w:val="center"/>
            </w:pPr>
            <w:r>
              <w:rPr>
                <w:rFonts w:ascii="Times New Roman" w:hAnsi="Times New Roman"/>
                <w:sz w:val="17"/>
              </w:rPr>
              <w:t xml:space="preserve">China; cross-section</w:t>
            </w:r>
          </w:p>
        </w:tc>
        <w:tc>
          <w:tcPr>
            <w:tcW w:type="dxa" w:w="2793"/>
          </w:tcPr>
          <w:p>
            <w:pPr>
              <w:pStyle w:val="Compact"/>
              <w:keepNext/>
              <w:spacing w:after="20" w:before="20" w:line="240" w:lineRule="auto"/>
              <w:jc w:val="left"/>
            </w:pPr>
            <w:r>
              <w:rPr>
                <w:rFonts w:ascii="Times New Roman" w:hAnsi="Times New Roman"/>
                <w:sz w:val="17"/>
              </w:rPr>
              <w:t xml:space="preserve">Large limit exposure or frequent upper-limit hits predict lower returns</w:t>
            </w:r>
          </w:p>
        </w:tc>
        <w:tc>
          <w:tcPr>
            <w:tcW w:type="dxa" w:w="2581"/>
          </w:tcPr>
          <w:p>
            <w:pPr>
              <w:pStyle w:val="Compact"/>
              <w:keepNext/>
              <w:spacing w:after="20" w:before="20" w:line="240" w:lineRule="auto"/>
              <w:jc w:val="left"/>
            </w:pPr>
            <w:r>
              <w:rPr>
                <w:rFonts w:ascii="Times New Roman" w:hAnsi="Times New Roman"/>
                <w:sz w:val="17"/>
              </w:rPr>
              <w:t xml:space="preserve">Different horizon; a one-day gain can coexist with later reversal, which we do not measure</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Berkman et al. (2012)</w:t>
            </w:r>
          </w:p>
        </w:tc>
        <w:tc>
          <w:tcPr>
            <w:tcW w:type="dxa" w:w="1460"/>
          </w:tcPr>
          <w:p>
            <w:pPr>
              <w:pStyle w:val="Compact"/>
              <w:keepNext/>
              <w:spacing w:after="20" w:before="20" w:line="240" w:lineRule="auto"/>
              <w:jc w:val="center"/>
            </w:pPr>
            <w:r>
              <w:rPr>
                <w:rFonts w:ascii="Times New Roman" w:hAnsi="Times New Roman"/>
                <w:sz w:val="17"/>
              </w:rPr>
              <w:t xml:space="preserve">U.S.; intraday data</w:t>
            </w:r>
          </w:p>
        </w:tc>
        <w:tc>
          <w:tcPr>
            <w:tcW w:type="dxa" w:w="2793"/>
          </w:tcPr>
          <w:p>
            <w:pPr>
              <w:pStyle w:val="Compact"/>
              <w:keepNext/>
              <w:spacing w:after="20" w:before="20" w:line="240" w:lineRule="auto"/>
              <w:jc w:val="left"/>
            </w:pPr>
            <w:r>
              <w:rPr>
                <w:rFonts w:ascii="Times New Roman" w:hAnsi="Times New Roman"/>
                <w:sz w:val="17"/>
              </w:rPr>
              <w:t xml:space="preserve">Overnight gains, intraday reversals, concentrated in high-attention stocks</w:t>
            </w:r>
          </w:p>
        </w:tc>
        <w:tc>
          <w:tcPr>
            <w:tcW w:type="dxa" w:w="2581"/>
          </w:tcPr>
          <w:p>
            <w:pPr>
              <w:pStyle w:val="Compact"/>
              <w:keepNext/>
              <w:spacing w:after="20" w:before="20" w:line="240" w:lineRule="auto"/>
              <w:jc w:val="left"/>
            </w:pPr>
            <w:r>
              <w:rPr>
                <w:rFonts w:ascii="Times New Roman" w:hAnsi="Times New Roman"/>
                <w:sz w:val="17"/>
              </w:rPr>
              <w:t xml:space="preserve">Same signs; the gap also rises with volume and prior return</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Lou et al. (2019)</w:t>
            </w:r>
          </w:p>
        </w:tc>
        <w:tc>
          <w:tcPr>
            <w:tcW w:type="dxa" w:w="1460"/>
          </w:tcPr>
          <w:p>
            <w:pPr>
              <w:pStyle w:val="Compact"/>
              <w:keepNext/>
              <w:spacing w:after="20" w:before="20" w:line="240" w:lineRule="auto"/>
              <w:jc w:val="center"/>
            </w:pPr>
            <w:r>
              <w:rPr>
                <w:rFonts w:ascii="Times New Roman" w:hAnsi="Times New Roman"/>
                <w:sz w:val="17"/>
              </w:rPr>
              <w:t xml:space="preserve">U.S.; stock returns</w:t>
            </w:r>
          </w:p>
        </w:tc>
        <w:tc>
          <w:tcPr>
            <w:tcW w:type="dxa" w:w="2793"/>
          </w:tcPr>
          <w:p>
            <w:pPr>
              <w:pStyle w:val="Compact"/>
              <w:keepNext/>
              <w:spacing w:after="20" w:before="20" w:line="240" w:lineRule="auto"/>
              <w:jc w:val="left"/>
            </w:pPr>
            <w:r>
              <w:rPr>
                <w:rFonts w:ascii="Times New Roman" w:hAnsi="Times New Roman"/>
                <w:sz w:val="17"/>
              </w:rPr>
              <w:t xml:space="preserve">Overnight and intraday continuation, offsetting cross-period reversal</w:t>
            </w:r>
          </w:p>
        </w:tc>
        <w:tc>
          <w:tcPr>
            <w:tcW w:type="dxa" w:w="2581"/>
          </w:tcPr>
          <w:p>
            <w:pPr>
              <w:pStyle w:val="Compact"/>
              <w:keepNext/>
              <w:spacing w:after="20" w:before="20" w:line="240" w:lineRule="auto"/>
              <w:jc w:val="left"/>
            </w:pPr>
            <w:r>
              <w:rPr>
                <w:rFonts w:ascii="Times New Roman" w:hAnsi="Times New Roman"/>
                <w:sz w:val="17"/>
              </w:rPr>
              <w:t xml:space="preserve">Gap-then-reversal has the sign of that cross-period reversal at one day</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Qiao and Dam (2020)</w:t>
            </w:r>
          </w:p>
        </w:tc>
        <w:tc>
          <w:tcPr>
            <w:tcW w:type="dxa" w:w="1460"/>
          </w:tcPr>
          <w:p>
            <w:pPr>
              <w:pStyle w:val="Compact"/>
              <w:keepNext/>
              <w:spacing w:after="20" w:before="20" w:line="240" w:lineRule="auto"/>
              <w:jc w:val="center"/>
            </w:pPr>
            <w:r>
              <w:rPr>
                <w:rFonts w:ascii="Times New Roman" w:hAnsi="Times New Roman"/>
                <w:sz w:val="17"/>
              </w:rPr>
              <w:t xml:space="preserve">China A-shares</w:t>
            </w:r>
          </w:p>
        </w:tc>
        <w:tc>
          <w:tcPr>
            <w:tcW w:type="dxa" w:w="2793"/>
          </w:tcPr>
          <w:p>
            <w:pPr>
              <w:pStyle w:val="Compact"/>
              <w:keepNext/>
              <w:spacing w:after="20" w:before="20" w:line="240" w:lineRule="auto"/>
              <w:jc w:val="left"/>
            </w:pPr>
            <w:r>
              <w:rPr>
                <w:rFonts w:ascii="Times New Roman" w:hAnsi="Times New Roman"/>
                <w:sz w:val="17"/>
              </w:rPr>
              <w:t xml:space="preserve">Negative average overnight return; T+1 rule lowers opening prices</w:t>
            </w:r>
          </w:p>
        </w:tc>
        <w:tc>
          <w:tcPr>
            <w:tcW w:type="dxa" w:w="2581"/>
          </w:tcPr>
          <w:p>
            <w:pPr>
              <w:pStyle w:val="Compact"/>
              <w:keepNext/>
              <w:spacing w:after="20" w:before="20" w:line="240" w:lineRule="auto"/>
              <w:jc w:val="left"/>
            </w:pPr>
            <w:r>
              <w:rPr>
                <w:rFonts w:ascii="Times New Roman" w:hAnsi="Times New Roman"/>
                <w:sz w:val="17"/>
              </w:rPr>
              <w:t xml:space="preserve">Opposite sign: positive overnight return after ceiling closes</w:t>
            </w:r>
          </w:p>
        </w:tc>
      </w:tr>
      <w:tr>
        <w:trPr>
          <w:cantSplit/>
        </w:trPr>
        <w:tc>
          <w:tcPr>
            <w:tcW w:type="dxa" w:w="2234"/>
            <w:tcBorders>
              <w:bottom w:val="single" w:sz="8" w:color="000000" w:space="0"/>
            </w:tcBorders>
          </w:tcPr>
          <w:p>
            <w:pPr>
              <w:pStyle w:val="Compact"/>
              <w:spacing w:after="20" w:before="20" w:line="240" w:lineRule="auto"/>
              <w:jc w:val="left"/>
            </w:pPr>
            <w:r>
              <w:rPr>
                <w:rFonts w:ascii="Times New Roman" w:hAnsi="Times New Roman"/>
                <w:sz w:val="17"/>
              </w:rPr>
              <w:t xml:space="preserve">Hou et al. (2020); Harvey et al. (2016)</w:t>
            </w:r>
          </w:p>
        </w:tc>
        <w:tc>
          <w:tcPr>
            <w:tcW w:type="dxa" w:w="1460"/>
            <w:tcBorders>
              <w:bottom w:val="single" w:sz="8" w:color="000000" w:space="0"/>
            </w:tcBorders>
          </w:tcPr>
          <w:p>
            <w:pPr>
              <w:pStyle w:val="Compact"/>
              <w:spacing w:after="20" w:before="20" w:line="240" w:lineRule="auto"/>
              <w:jc w:val="center"/>
            </w:pPr>
            <w:r>
              <w:rPr>
                <w:rFonts w:ascii="Times New Roman" w:hAnsi="Times New Roman"/>
                <w:sz w:val="17"/>
              </w:rPr>
              <w:t xml:space="preserve">U.S.; anomalies</w:t>
            </w:r>
          </w:p>
        </w:tc>
        <w:tc>
          <w:tcPr>
            <w:tcW w:type="dxa" w:w="2793"/>
            <w:tcBorders>
              <w:bottom w:val="single" w:sz="8" w:color="000000" w:space="0"/>
            </w:tcBorders>
          </w:tcPr>
          <w:p>
            <w:pPr>
              <w:pStyle w:val="Compact"/>
              <w:spacing w:after="20" w:before="20" w:line="240" w:lineRule="auto"/>
              <w:jc w:val="left"/>
            </w:pPr>
            <w:r>
              <w:rPr>
                <w:rFonts w:ascii="Times New Roman" w:hAnsi="Times New Roman"/>
                <w:sz w:val="17"/>
              </w:rPr>
              <w:t xml:space="preserve">With microcaps mitigated, 65% of 452 anomalies fail the 1.96 hurdle; a new factor needs</w:t>
            </w:r>
            <w:r>
              <w:rPr>
                <w:rFonts w:ascii="Times New Roman" w:hAnsi="Times New Roman"/>
                <w:sz w:val="17"/>
              </w:rPr>
              <w:t xml:space="preserve"> </w:t>
            </w:r>
            <w:r>
              <w:rPr>
                <w:iCs/>
                <w:rFonts w:ascii="Times New Roman" w:hAnsi="Times New Roman"/>
                <w:i/>
                <w:sz w:val="17"/>
              </w:rPr>
              <w:t xml:space="preserve">t</w:t>
            </w:r>
            <w:r>
              <w:rPr>
                <w:rFonts w:ascii="Times New Roman" w:hAnsi="Times New Roman"/>
                <w:sz w:val="17"/>
              </w:rPr>
              <w:t xml:space="preserve"> </w:t>
            </w:r>
            <w:r>
              <w:rPr>
                <w:rFonts w:ascii="Times New Roman" w:hAnsi="Times New Roman"/>
                <w:sz w:val="17"/>
              </w:rPr>
              <w:t xml:space="preserve">above 3.0</w:t>
            </w:r>
          </w:p>
        </w:tc>
        <w:tc>
          <w:tcPr>
            <w:tcW w:type="dxa" w:w="2581"/>
            <w:tcBorders>
              <w:bottom w:val="single" w:sz="8" w:color="000000" w:space="0"/>
            </w:tcBorders>
          </w:tcPr>
          <w:p>
            <w:pPr>
              <w:pStyle w:val="Compact"/>
              <w:spacing w:after="20" w:before="20" w:line="240" w:lineRule="auto"/>
              <w:jc w:val="left"/>
            </w:pPr>
            <w:r>
              <w:rPr>
                <w:rFonts w:ascii="Times New Roman" w:hAnsi="Times New Roman"/>
                <w:sz w:val="17"/>
              </w:rPr>
              <w:t xml:space="preserve">None of our 22 characteristics reaches 1.96 in the full sample</w:t>
            </w:r>
          </w:p>
        </w:tc>
      </w:tr>
    </w:tbl>
    <w:p>
      <w:pPr>
        <w:pStyle w:val="BodyText"/>
        <w:spacing w:before="160"/>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HOSE, like the ChiNext widening that Qi (2023) studies,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pPr>
        <w:pStyle w:val="BodyText"/>
      </w:pPr>
      <w:r>
        <w:t xml:space="preserve">Ceiling closes cover about 2.0% of stock-days in the event window, and the low-powered characteristic null says little about the cross-section, so we make no claim that limit closes explain the cross-section of returns.</w:t>
      </w:r>
    </w:p>
    <w:p>
      <w:pPr>
        <w:pStyle w:val="BodyText"/>
      </w:pPr>
      <w: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End w:id="31"/>
    <w:bookmarkStart w:id="32" w:name="limitations"/>
    <w:p>
      <w:pPr>
        <w:pStyle w:val="Heading1"/>
        <w:keepNext/>
      </w:pPr>
      <w:r>
        <w:t xml:space="preserve">7. Limitations</w:t>
      </w:r>
    </w:p>
    <w:p>
      <w:pPr>
        <w:numPr>
          <w:ilvl w:val="0"/>
          <w:numId w:val="1001"/>
        </w:numPr>
        <w:pStyle w:val="Compact"/>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32"/>
    <w:bookmarkStart w:id="33" w:name="conclusion"/>
    <w:p>
      <w:pPr>
        <w:pStyle w:val="Heading1"/>
        <w:keepNext/>
      </w:pPr>
      <w:r>
        <w:t xml:space="preserve">8. Conclusion</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33"/>
    <w:bookmarkStart w:id="34" w:name="declarations"/>
    <w:p>
      <w:pPr>
        <w:pStyle w:val="Heading1"/>
        <w:keepNext/>
      </w:pPr>
      <w:r>
        <w:t xml:space="preserve">Declarations</w:t>
      </w:r>
    </w:p>
    <w:p>
      <w:pPr>
        <w:pStyle w:val="FirstParagraph"/>
      </w:pPr>
      <w:r>
        <w:rPr>
          <w:bCs/>
          <w:b/>
        </w:rPr>
        <w:t xml:space="preserve">Generative AI.</w:t>
      </w:r>
      <w:r>
        <w:t xml:space="preserve"> </w:t>
      </w:r>
      <w:r>
        <w:t xml:space="preserve">The authors used Claude (Anthropic) to run the literature searches (Appendix B), write analysis code, draft text, and check numbers against output files. The authors are responsible for all content. We checked the references and the institutional facts in Section 3 by web search and did not consult primary documents.</w:t>
      </w:r>
    </w:p>
    <w:p>
      <w:pPr>
        <w:pStyle w:val="BodyText"/>
      </w:pPr>
      <w:r>
        <w:rPr>
          <w:bCs/>
          <w:b/>
        </w:rPr>
        <w:t xml:space="preserve">Data and code availability.</w:t>
      </w:r>
      <w:r>
        <w:t xml:space="preserve"> </w:t>
      </w:r>
      <w:r>
        <w:t xml:space="preserve">Daily price files and code are in the project repository (</w:t>
      </w:r>
      <w:r>
        <w:rPr>
          <w:rStyle w:val="VerbatimChar"/>
        </w:rPr>
        <w:t xml:space="preserve">trungcandygit/black_litterman_2</w:t>
      </w:r>
      <w:r>
        <w:t xml:space="preserve">, commit 63bdc6d for the analysis plan; R code and output tables in</w:t>
      </w:r>
      <w:r>
        <w:t xml:space="preserve"> </w:t>
      </w:r>
      <w:r>
        <w:rPr>
          <w:rStyle w:val="VerbatimChar"/>
        </w:rPr>
        <w:t xml:space="preserve">paper2/</w:t>
      </w:r>
      <w:r>
        <w:t xml:space="preserve">). The data come from the vnstock library (version 4.0.4, source VCI), retrieved on 24 September 2026.</w:t>
      </w:r>
    </w:p>
    <w:p>
      <w:pPr>
        <w:pStyle w:val="BodyText"/>
      </w:pPr>
      <w:r>
        <w:rPr>
          <w:bCs/>
          <w:b/>
        </w:rPr>
        <w:t xml:space="preserve">Funding, competing interests, ethics, and author contributions.</w:t>
      </w:r>
      <w:r>
        <w:t xml:space="preserve"> </w:t>
      </w:r>
      <w:r>
        <w:t xml:space="preserve">[To be completed by the authors.]</w:t>
      </w:r>
    </w:p>
    <w:bookmarkEnd w:id="34"/>
    <w:bookmarkStart w:id="67" w:name="references"/>
    <w:p>
      <w:pPr>
        <w:pStyle w:val="Heading1"/>
        <w:keepNext/>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5">
        <w:r>
          <w:rPr>
            <w:rStyle w:val="Hyperlink"/>
          </w:rPr>
          <w:t xml:space="preserve">https://doi.org/10.1016/j.jfineco.2021.09.019</w:t>
        </w:r>
      </w:hyperlink>
    </w:p>
    <w:p>
      <w:pPr>
        <w:pStyle w:val="BodyText"/>
      </w:pPr>
      <w:r>
        <w:t xml:space="preserve">Amihud, Y. (2002). Illiquidity and stock returns: Cross-section and time-series effects.</w:t>
      </w:r>
      <w:r>
        <w:t xml:space="preserve"> </w:t>
      </w:r>
      <w:r>
        <w:rPr>
          <w:iCs/>
          <w:i/>
        </w:rPr>
        <w:t xml:space="preserve">Journal of Financial Markets, 5</w:t>
      </w:r>
      <w:r>
        <w:t xml:space="preserve">(1), 31–56.</w:t>
      </w:r>
      <w:r>
        <w:t xml:space="preserve"> </w:t>
      </w:r>
      <w:hyperlink r:id="rId36">
        <w:r>
          <w:rPr>
            <w:rStyle w:val="Hyperlink"/>
          </w:rPr>
          <w:t xml:space="preserve">https://doi.org/10.1016/S1386-4181(01)00024-6</w:t>
        </w:r>
      </w:hyperlink>
    </w:p>
    <w:p>
      <w:pPr>
        <w:pStyle w:val="BodyText"/>
      </w:pPr>
      <w:r>
        <w:t xml:space="preserve">Bali, T. G., Cakici, N., &amp; Whitelaw, R. F. (2011). Maxing out: Stocks as lotteries and the cross-section of expected returns.</w:t>
      </w:r>
      <w:r>
        <w:t xml:space="preserve"> </w:t>
      </w:r>
      <w:r>
        <w:rPr>
          <w:iCs/>
          <w:i/>
        </w:rPr>
        <w:t xml:space="preserve">Journal of Financial Economics, 99</w:t>
      </w:r>
      <w:r>
        <w:t xml:space="preserve">(2), 427–446.</w:t>
      </w:r>
      <w:r>
        <w:t xml:space="preserve"> </w:t>
      </w:r>
      <w:hyperlink r:id="rId37">
        <w:r>
          <w:rPr>
            <w:rStyle w:val="Hyperlink"/>
          </w:rPr>
          <w:t xml:space="preserve">https://doi.org/10.1016/j.jfineco.2010.08.014</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w:t>
      </w:r>
      <w:r>
        <w:t xml:space="preserve"> </w:t>
      </w:r>
      <w:hyperlink r:id="rId48">
        <w:r>
          <w:rPr>
            <w:rStyle w:val="Hyperlink"/>
          </w:rPr>
          <w:t xml:space="preserve">https://doi.org/10.1111/j.1540-6261.2012.01729.x</w:t>
        </w:r>
      </w:hyperlink>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9">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50">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1">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2">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3">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w:t>
      </w:r>
      <w:r>
        <w:t xml:space="preserve">[Web page]. Ho Chi Minh City Securities Corporation.</w:t>
      </w:r>
      <w:r>
        <w:t xml:space="preserve"> </w:t>
      </w:r>
      <w:hyperlink r:id="rId54">
        <w:r>
          <w:rPr>
            <w:rStyle w:val="Hyperlink"/>
          </w:rPr>
          <w:t xml:space="preserve">https://www.hsc.com.vn/en/important-changes-of-new-trading-system</w:t>
        </w:r>
      </w:hyperlink>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5">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6">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7">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8">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59">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60">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1">
        <w:r>
          <w:rPr>
            <w:rStyle w:val="Hyperlink"/>
          </w:rPr>
          <w:t xml:space="preserve">https://doi.org/10.2307/1913610</w:t>
        </w:r>
      </w:hyperlink>
    </w:p>
    <w:p>
      <w:pPr>
        <w:pStyle w:val="BodyText"/>
      </w:pPr>
      <w:r>
        <w:t xml:space="preserve">Parkinson, M. (1980). The extreme value method for estimating the variance of the rate of return.</w:t>
      </w:r>
      <w:r>
        <w:t xml:space="preserve"> </w:t>
      </w:r>
      <w:r>
        <w:rPr>
          <w:iCs/>
          <w:i/>
        </w:rPr>
        <w:t xml:space="preserve">The Journal of Business, 53</w:t>
      </w:r>
      <w:r>
        <w:t xml:space="preserve">(1), 61–65.</w:t>
      </w:r>
      <w:r>
        <w:t xml:space="preserve"> </w:t>
      </w:r>
      <w:hyperlink r:id="rId62">
        <w:r>
          <w:rPr>
            <w:rStyle w:val="Hyperlink"/>
          </w:rPr>
          <w:t xml:space="preserve">https://doi.org/10.1086/296071</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3">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4">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w:t>
      </w:r>
      <w:r>
        <w:t xml:space="preserve">[News article].</w:t>
      </w:r>
      <w:r>
        <w:t xml:space="preserve"> </w:t>
      </w:r>
      <w:hyperlink r:id="rId65">
        <w:r>
          <w:rPr>
            <w:rStyle w:val="Hyperlink"/>
          </w:rPr>
          <w:t xml:space="preserve">https://vietnamnews.vn/economy/1717047/krx-system-officially-goes-live.html</w:t>
        </w:r>
      </w:hyperlink>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6">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7"/>
    <w:bookmarkStart w:id="68" w:name="appendix-a.-characteristic-definitions"/>
    <w:p>
      <w:pPr>
        <w:pStyle w:val="Heading1"/>
        <w:keepNext/>
      </w:pPr>
      <w:r>
        <w:t xml:space="preserve">Appendix A. Characteristic definitions</w:t>
      </w:r>
    </w:p>
    <w:p>
      <w:pPr>
        <w:pStyle w:val="FirstParagraph"/>
      </w:pPr>
      <w: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t xml:space="preserve"> </w:t>
      </w:r>
      <m:oMath>
        <m:r>
          <m:rPr>
            <m:sty m:val="p"/>
          </m:rPr>
          <m:t>min</m:t>
        </m:r>
        <m:sSup>
          <m:e>
            <m:d>
              <m:dPr>
                <m:begChr m:val="("/>
                <m:endChr m:val=")"/>
                <m:sepChr m:val=""/>
                <m:grow/>
              </m:dPr>
              <m:e>
                <m:r>
                  <m:t>r</m:t>
                </m:r>
                <m:r>
                  <m:rPr>
                    <m:sty m:val="p"/>
                  </m:rPr>
                  <m:t>,</m:t>
                </m:r>
                <m:r>
                  <m:t>0</m:t>
                </m:r>
              </m:e>
            </m:d>
          </m:e>
          <m:sup>
            <m:r>
              <m:t>2</m:t>
            </m:r>
          </m:sup>
        </m:sSup>
      </m:oMath>
      <w:r>
        <w:t xml:space="preserve">; RANGEVOL is the Parkinson (1980) high-low estimator; SKEW and KURT are the third and fourth standardized moments; AMIHUD is the mean ratio of absolute return to dollar volume (Amihud, 2002); LNDVOL is the log of mean dollar volume; and CSSPREAD is the Corwin and Schultz (2012) spread estimator. Over the last 20 days, MAX and MIN are the largest and smallest daily returns (Bali et al., 2011),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t xml:space="preserve">, where</w:t>
      </w:r>
      <w:r>
        <w:t xml:space="preserve"> </w:t>
      </w:r>
      <m:oMath>
        <m:sSub>
          <m:e>
            <m:r>
              <m:rPr>
                <m:sty m:val="p"/>
              </m:rPr>
              <m:t>T</m:t>
            </m:r>
            <m:r>
              <m:rPr>
                <m:sty m:val="p"/>
              </m:rPr>
              <m:t>O</m:t>
            </m:r>
          </m:e>
          <m:sub>
            <m:r>
              <m:t>L</m:t>
            </m:r>
          </m:sub>
        </m:sSub>
      </m:oMath>
      <w:r>
        <w:t xml:space="preserve"> </w:t>
      </w:r>
      <w:r>
        <w:t xml:space="preserve">and</w:t>
      </w:r>
      <w:r>
        <w:t xml:space="preserve"> </w:t>
      </w:r>
      <m:oMath>
        <m:sSub>
          <m:e>
            <m:r>
              <m:rPr>
                <m:sty m:val="p"/>
              </m:rPr>
              <m:t>T</m:t>
            </m:r>
            <m:r>
              <m:rPr>
                <m:sty m:val="p"/>
              </m:rPr>
              <m:t>O</m:t>
            </m:r>
          </m:e>
          <m:sub>
            <m:r>
              <m:t>S</m:t>
            </m:r>
          </m:sub>
        </m:sSub>
      </m:oMath>
      <w:r>
        <w:t xml:space="preserve"> </w:t>
      </w:r>
      <w:r>
        <w:t xml:space="preserve">are the shares of the long and short legs replaced since the previous week.</w:t>
      </w:r>
    </w:p>
    <w:bookmarkEnd w:id="68"/>
    <w:bookmarkStart w:id="69" w:name="appendix-b.-literature-search"/>
    <w:p>
      <w:pPr>
        <w:pStyle w:val="Heading1"/>
        <w:keepNext/>
      </w:pPr>
      <w:r>
        <w:t xml:space="preserve">Appendix B. Literature search</w:t>
      </w:r>
    </w:p>
    <w:p>
      <w:pPr>
        <w:pStyle w:val="FirstParagraph"/>
      </w:pPr>
      <w:r>
        <w:t xml:space="preserve">We searched on 4 and 5 October 2026 with the web search tool of the AI assistant named in the Declarations; no subscription database (Scopus or Web of Science) was available, and publisher pages could not be opened. The search topics were price-limit performance (delayed price discovery, volatility spillover, trading interference, and magnet effect), price-limit band changes, price limits in Vietnam and on HOSE and HNX, overnight versus intraday returns, lottery-type (MAX) and low-volatility effects, circuit breakers, multiple testing and false discoveries in asset pricing, Fama–MacBeth and clustered standard errors, regression discontinuity, weekly return predictability, and anomalies in the Vietnamese stock market; exact query strings were not logged.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(Section 3). Vietnamese-language journals were not searched, and the coverage of Chinese A-share studies is incomplete. We read the bibliographic records and the abstract text returned by the search tool, not full texts. Statements in this paper that no study reports a given result refer to the peer-reviewed studies this search identified.</w:t>
      </w:r>
    </w:p>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2"/>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2"/>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at the limit: price limits, overnight gaps and next-day returns on the Ho Chi Minh Stock Exchange</dc:title>
  <dc:creator>[Author names and affiliations]</dc:creator>
  <cp:keywords/>
  <dcterms:created xsi:type="dcterms:W3CDTF">2026-10-06T01:39:55Z</dcterms:created>
  <dcterms:modified xsi:type="dcterms:W3CDTF">2026-10-06T01:39:55Z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