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left"/>
      </w:pPr>
      <w:r>
        <w:t xml:space="preserve">S4 Table. Difference-in-differences around the KRX platform change of 5 May 2025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start"/>
      </w:tblPr>
      <w:tblGrid>
        <w:gridCol w:w="1561"/>
        <w:gridCol w:w="961"/>
        <w:gridCol w:w="1441"/>
        <w:gridCol w:w="961"/>
        <w:gridCol w:w="961"/>
        <w:gridCol w:w="961"/>
        <w:gridCol w:w="961"/>
        <w:gridCol w:w="1261"/>
      </w:tblGrid>
      <w:tr>
        <w:trPr>
          <w:tblHeader w:val="true"/>
        </w:trPr>
        <w:tc>
          <w:tcPr>
            <w:tcW w:type="dxa" w:w="156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b/>
                <w:sz w:val="17"/>
              </w:rPr>
              <w:t xml:space="preserve">Contrast</w:t>
            </w:r>
          </w:p>
        </w:tc>
        <w:tc>
          <w:tcPr>
            <w:tcW w:type="dxa" w:w="961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b/>
                <w:sz w:val="17"/>
              </w:rPr>
              <w:t xml:space="preserve">Outcome</w:t>
            </w:r>
          </w:p>
        </w:tc>
        <w:tc>
          <w:tcPr>
            <w:tcW w:type="dxa" w:w="144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b/>
                <w:sz w:val="17"/>
              </w:rPr>
              <w:t xml:space="preserve">Excess before the change</w:t>
            </w:r>
          </w:p>
        </w:tc>
        <w:tc>
          <w:tcPr>
            <w:tcW w:type="dxa" w:w="961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iCs/>
                <w:b/>
                <w:i/>
                <w:sz w:val="17"/>
              </w:rPr>
              <w:t xml:space="preserve">t</w:t>
            </w:r>
          </w:p>
        </w:tc>
        <w:tc>
          <w:tcPr>
            <w:tcW w:type="dxa" w:w="961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b/>
                <w:sz w:val="17"/>
              </w:rPr>
              <w:t xml:space="preserve">Change after</w:t>
            </w:r>
          </w:p>
        </w:tc>
        <w:tc>
          <w:tcPr>
            <w:tcW w:type="dxa" w:w="961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iCs/>
                <w:b/>
                <w:i/>
                <w:sz w:val="17"/>
              </w:rPr>
              <w:t xml:space="preserve">t</w:t>
            </w:r>
          </w:p>
        </w:tc>
        <w:tc>
          <w:tcPr>
            <w:tcW w:type="dxa" w:w="961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b/>
                <w:sz w:val="17"/>
              </w:rPr>
              <w:t xml:space="preserve">Events</w:t>
            </w:r>
          </w:p>
        </w:tc>
        <w:tc>
          <w:tcPr>
            <w:tcW w:type="dxa" w:w="1262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b/>
                <w:sz w:val="17"/>
              </w:rPr>
              <w:t xml:space="preserve">Comparison stock-days</w:t>
            </w:r>
          </w:p>
        </w:tc>
      </w:tr>
      <w:tr>
        <w:tc>
          <w:tcPr>
            <w:tcW w:type="dxa" w:w="1562"/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ceiling vs 5–6.5% up at high</w:t>
            </w:r>
          </w:p>
        </w:tc>
        <w:tc>
          <w:tcPr>
            <w:tcW w:type="dxa" w:w="961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Overnight gap</w:t>
            </w:r>
          </w:p>
        </w:tc>
        <w:tc>
          <w:tcPr>
            <w:tcW w:type="dxa" w:w="144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2.91</w:t>
            </w:r>
          </w:p>
        </w:tc>
        <w:tc>
          <w:tcPr>
            <w:tcW w:type="dxa" w:w="961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6.2</w:t>
            </w:r>
          </w:p>
        </w:tc>
        <w:tc>
          <w:tcPr>
            <w:tcW w:type="dxa" w:w="961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0.38</w:t>
            </w:r>
          </w:p>
        </w:tc>
        <w:tc>
          <w:tcPr>
            <w:tcW w:type="dxa" w:w="961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0.8</w:t>
            </w:r>
          </w:p>
        </w:tc>
        <w:tc>
          <w:tcPr>
            <w:tcW w:type="dxa" w:w="961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3,199</w:t>
            </w:r>
          </w:p>
        </w:tc>
        <w:tc>
          <w:tcPr>
            <w:tcW w:type="dxa" w:w="126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679</w:t>
            </w:r>
          </w:p>
        </w:tc>
      </w:tr>
      <w:tr>
        <w:tc>
          <w:tcPr>
            <w:tcW w:type="dxa" w:w="1562"/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ceiling vs 5–6.5% up at high</w:t>
            </w:r>
          </w:p>
        </w:tc>
        <w:tc>
          <w:tcPr>
            <w:tcW w:type="dxa" w:w="961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Close-to-close</w:t>
            </w:r>
          </w:p>
        </w:tc>
        <w:tc>
          <w:tcPr>
            <w:tcW w:type="dxa" w:w="144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1.81</w:t>
            </w:r>
          </w:p>
        </w:tc>
        <w:tc>
          <w:tcPr>
            <w:tcW w:type="dxa" w:w="961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2.2</w:t>
            </w:r>
          </w:p>
        </w:tc>
        <w:tc>
          <w:tcPr>
            <w:tcW w:type="dxa" w:w="961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0.95</w:t>
            </w:r>
          </w:p>
        </w:tc>
        <w:tc>
          <w:tcPr>
            <w:tcW w:type="dxa" w:w="961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1.1</w:t>
            </w:r>
          </w:p>
        </w:tc>
        <w:tc>
          <w:tcPr>
            <w:tcW w:type="dxa" w:w="961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3,199</w:t>
            </w:r>
          </w:p>
        </w:tc>
        <w:tc>
          <w:tcPr>
            <w:tcW w:type="dxa" w:w="126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679</w:t>
            </w:r>
          </w:p>
        </w:tc>
      </w:tr>
      <w:tr>
        <w:tc>
          <w:tcPr>
            <w:tcW w:type="dxa" w:w="1562"/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floor vs 5–6.5% down at low</w:t>
            </w:r>
          </w:p>
        </w:tc>
        <w:tc>
          <w:tcPr>
            <w:tcW w:type="dxa" w:w="961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Overnight gap</w:t>
            </w:r>
          </w:p>
        </w:tc>
        <w:tc>
          <w:tcPr>
            <w:tcW w:type="dxa" w:w="144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−1.62</w:t>
            </w:r>
          </w:p>
        </w:tc>
        <w:tc>
          <w:tcPr>
            <w:tcW w:type="dxa" w:w="961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−6.6</w:t>
            </w:r>
          </w:p>
        </w:tc>
        <w:tc>
          <w:tcPr>
            <w:tcW w:type="dxa" w:w="961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−0.49</w:t>
            </w:r>
          </w:p>
        </w:tc>
        <w:tc>
          <w:tcPr>
            <w:tcW w:type="dxa" w:w="961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−1.5</w:t>
            </w:r>
          </w:p>
        </w:tc>
        <w:tc>
          <w:tcPr>
            <w:tcW w:type="dxa" w:w="961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2,111</w:t>
            </w:r>
          </w:p>
        </w:tc>
        <w:tc>
          <w:tcPr>
            <w:tcW w:type="dxa" w:w="1262"/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722</w:t>
            </w:r>
          </w:p>
        </w:tc>
      </w:tr>
      <w:tr>
        <w:tc>
          <w:tcPr>
            <w:tcW w:type="dxa" w:w="1562"/>
            <w:tcBorders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left"/>
            </w:pPr>
            <w:r>
              <w:rPr>
                <w:sz w:val="17"/>
              </w:rPr>
              <w:t xml:space="preserve">floor vs 5–6.5% down at low</w:t>
            </w:r>
          </w:p>
        </w:tc>
        <w:tc>
          <w:tcPr>
            <w:tcW w:type="dxa" w:w="961"/>
            <w:tcBorders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Close-to-close</w:t>
            </w:r>
          </w:p>
        </w:tc>
        <w:tc>
          <w:tcPr>
            <w:tcW w:type="dxa" w:w="1442"/>
            <w:tcBorders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−2.13</w:t>
            </w:r>
          </w:p>
        </w:tc>
        <w:tc>
          <w:tcPr>
            <w:tcW w:type="dxa" w:w="961"/>
            <w:tcBorders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−6.0</w:t>
            </w:r>
          </w:p>
        </w:tc>
        <w:tc>
          <w:tcPr>
            <w:tcW w:type="dxa" w:w="961"/>
            <w:tcBorders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0.18</w:t>
            </w:r>
          </w:p>
        </w:tc>
        <w:tc>
          <w:tcPr>
            <w:tcW w:type="dxa" w:w="961"/>
            <w:tcBorders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0.4</w:t>
            </w:r>
          </w:p>
        </w:tc>
        <w:tc>
          <w:tcPr>
            <w:tcW w:type="dxa" w:w="961"/>
            <w:tcBorders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2,111</w:t>
            </w:r>
          </w:p>
        </w:tc>
        <w:tc>
          <w:tcPr>
            <w:tcW w:type="dxa" w:w="1262"/>
            <w:tcBorders>
              <w:bottom w:val="single" w:sz="6" w:space="0" w:color="000000"/>
            </w:tcBorders>
          </w:tcPr>
          <w:p>
            <w:pPr>
              <w:pStyle w:val="Compact"/>
              <w:spacing w:line="240" w:lineRule="auto" w:after="20"/>
              <w:jc w:val="center"/>
            </w:pPr>
            <w:r>
              <w:rPr>
                <w:sz w:val="17"/>
              </w:rPr>
              <w:t xml:space="preserve">722</w:t>
            </w:r>
          </w:p>
        </w:tc>
      </w:tr>
    </w:tbl>
    <w:p>
      <w:pPr>
        <w:pStyle w:val="BodyText"/>
        <w:spacing w:line="276" w:lineRule="auto" w:after="120"/>
        <w:jc w:val="both"/>
      </w:pPr>
      <w:r>
        <w:rPr>
          <w:iCs/>
          <w:i/>
        </w:rPr>
        <w:t xml:space="preserve">Note.</w:t>
      </w:r>
      <w:r>
        <w:t xml:space="preserve"> </w:t>
      </w:r>
      <w:r>
        <w:t xml:space="preserve">Percentage points; date-clustered</w:t>
      </w:r>
      <w:r>
        <w:t xml:space="preserve"> </w:t>
      </w:r>
      <w:r>
        <w:rPr>
          <w:iCs/>
          <w:i/>
        </w:rPr>
        <w:t xml:space="preserve">t</w:t>
      </w:r>
      <w:r>
        <w:t xml:space="preserve">-statistics; limit closes compared with 5–6.5% movers that also closed at the extreme. Source: authors’ calculations.</w:t>
      </w:r>
    </w:p>
    <w:sectPr>
      <w:footerReference w:type="default" r:id="rId9"/>
      <w:pgSz w:w="11906" w:h="16838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uppressLineNumbers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cs="Times New Roman" w:eastAsia="Times New Roman"/>
      <w:sz w:val="22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 w:cs="Times New Roman" w:eastAsia="Times New Roman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cs="Times New Roman" w:eastAsia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cs="Times New Roman" w:eastAsia="Times New Roman"/>
      <w:sz w:val="22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240"/>
      <w:jc w:val="center"/>
    </w:pPr>
    <w:rPr>
      <w:rFonts w:ascii="Times New Roman" w:hAnsi="Times New Roman" w:cs="Times New Roman" w:eastAsia="Times New Roman"/>
      <w:b/>
      <w:bCs/>
      <w:i w:val="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 w:cs="Times New Roman" w:eastAsia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imes New Roman" w:hAnsi="Times New Roman" w:cs="Times New Roman" w:eastAsia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cs="Times New Roman" w:eastAsia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cs="Times New Roman" w:eastAsia="Times New Roman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40"/>
      <w:outlineLvl w:val="0"/>
    </w:pPr>
    <w:rPr>
      <w:rFonts w:ascii="Times New Roman" w:hAnsi="Times New Roman" w:cs="Times New Roman" w:eastAsia="Times New Roman"/>
      <w:b/>
      <w:bCs/>
      <w:i w:val="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40"/>
      <w:outlineLvl w:val="1"/>
    </w:pPr>
    <w:rPr>
      <w:rFonts w:ascii="Times New Roman" w:hAnsi="Times New Roman" w:cs="Times New Roman" w:eastAsia="Times New Roman"/>
      <w:b/>
      <w:bCs/>
      <w:i w:val="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outlineLvl w:val="2"/>
    </w:pPr>
    <w:rPr>
      <w:rFonts w:ascii="Times New Roman" w:hAnsi="Times New Roman" w:cs="Times New Roman" w:eastAsia="Times New Roman"/>
      <w:b/>
      <w:bCs/>
      <w:i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Times New Roman" w:hAnsi="Times New Roman" w:cs="Times New Roman" w:eastAsia="Times New Roman"/>
      <w:i/>
      <w:bCs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Times New Roman" w:hAnsi="Times New Roman" w:cs="Times New Roman" w:eastAsia="Times New Roman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Times New Roman" w:hAnsi="Times New Roman" w:cs="Times New Roman" w:eastAsia="Times New Roman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Times New Roman" w:hAnsi="Times New Roman" w:cs="Times New Roman" w:eastAsia="Times New Roman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Times New Roman" w:hAnsi="Times New Roman" w:cs="Times New Roman" w:eastAsia="Times New Roman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Times New Roman" w:hAnsi="Times New Roman" w:cs="Times New Roman" w:eastAsia="Times New Roman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cs="Times New Roman" w:eastAsia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cs="Times New Roman" w:eastAsia="Times New Roman"/>
      <w:b/>
    </w:rPr>
  </w:style>
  <w:style w:customStyle="1" w:styleId="Definition" w:type="paragraph">
    <w:name w:val="Definition"/>
    <w:basedOn w:val="Normal"/>
    <w:rPr>
      <w:rFonts w:ascii="Times New Roman" w:hAnsi="Times New Roman" w:cs="Times New Roman" w:eastAsia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cs="Times New Roman" w:eastAsia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cs="Times New Roman" w:eastAsia="Times New Roman"/>
    </w:rPr>
  </w:style>
  <w:style w:customStyle="1" w:styleId="ImageCaption" w:type="paragraph">
    <w:name w:val="Image Caption"/>
    <w:basedOn w:val="Caption"/>
    <w:rPr>
      <w:rFonts w:ascii="Times New Roman" w:hAnsi="Times New Roman" w:cs="Times New Roman" w:eastAsia="Times New Roman"/>
    </w:rPr>
  </w:style>
  <w:style w:customStyle="1" w:styleId="Figure" w:type="paragraph">
    <w:name w:val="Figure"/>
    <w:basedOn w:val="Normal"/>
    <w:rPr>
      <w:rFonts w:ascii="Times New Roman" w:hAnsi="Times New Roman" w:cs="Times New Roman" w:eastAsia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cs="Times New Roman" w:eastAsia="Times New Roman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Times New Roman"/>
      <w:b w:val="0"/>
      <w:bCs w:val="0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cs="Times New Roman" w:eastAsia="Times New Roman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2026-10-22T05:20:12Z</dcterms:created>
  <dcterms:modified xsi:type="dcterms:W3CDTF">2026-10-22T05:20:12Z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