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Vietnam’s FTSE upgrade cut illiquidity of likely index stocks by 24% to 56%</w:t>
      </w:r>
    </w:p>
    <w:p>
      <w:pPr>
        <w:numPr>
          <w:ilvl w:val="0"/>
          <w:numId w:val="1001"/>
        </w:numPr>
        <w:pStyle w:val="Compact"/>
      </w:pPr>
      <w:r>
        <w:t xml:space="preserve">Liquidity and prices moved at FTSE’s disclosures, before the first index tranche</w:t>
      </w:r>
    </w:p>
    <w:p>
      <w:pPr>
        <w:numPr>
          <w:ilvl w:val="0"/>
          <w:numId w:val="1001"/>
        </w:numPr>
        <w:pStyle w:val="Compact"/>
      </w:pPr>
      <w:r>
        <w:t xml:space="preserve">Prices rose at the announcement and confirmation, not at the list or effective date</w:t>
      </w:r>
    </w:p>
    <w:p>
      <w:pPr>
        <w:numPr>
          <w:ilvl w:val="0"/>
          <w:numId w:val="1001"/>
        </w:numPr>
        <w:pStyle w:val="Compact"/>
      </w:pPr>
      <w:r>
        <w:t xml:space="preserve">Rebalancing-day trading surged for included stocks only, with no price change</w:t>
      </w:r>
    </w:p>
    <w:p>
      <w:pPr>
        <w:numPr>
          <w:ilvl w:val="0"/>
          <w:numId w:val="1001"/>
        </w:numPr>
        <w:pStyle w:val="Compact"/>
      </w:pPr>
      <w:r>
        <w:t xml:space="preserve">Intention-to-treat on a pre-announcement list separates effects from selection</w:t>
      </w:r>
    </w:p>
    <w:bookmarkEnd w:id="20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2026-09-24T08:18:53Z</dcterms:created>
  <dcterms:modified xsi:type="dcterms:W3CDTF">2026-09-24T08:18:53Z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