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t xml:space="preserve">S1 Appendix. Characteristic definitions and literature search</w:t>
      </w:r>
    </w:p>
    <w:p>
      <w:pPr>
        <w:pStyle w:val="BodyText"/>
        <w:spacing w:line="276" w:lineRule="auto" w:after="120"/>
        <w:jc w:val="both"/>
      </w:pPr>
      <w:r>
        <w:t xml:space="preserve">Do price limits delay price discovery? Overnight gaps after limit closes in Vietnam</w:t>
      </w:r>
    </w:p>
    <w:p>
      <w:pPr>
        <w:pStyle w:val="Heading2"/>
        <w:jc w:val="left"/>
      </w:pPr>
      <w:r>
        <w:t xml:space="preserve">Characteristic definitions</w:t>
      </w:r>
    </w:p>
    <w:p>
      <w:pPr>
        <w:pStyle w:val="FirstParagraph"/>
        <w:spacing w:line="276" w:lineRule="auto" w:after="120"/>
        <w:jc w:val="both"/>
      </w:pPr>
      <w: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RANGEVOL is the Parkinson[1] high-low estimator; SKEW and KURT are the third and fourth standardized moments; AMIHUD is the mean ratio of absolute return to dollar volume [2]; LNDVOL is the log of mean dollar volume; and CSSPREAD is the Corwin and Schultz[3] spread estimator. Over the last 20 days, MAX and MIN are the largest and smallest daily returns [4],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t xml:space="preserve">, where</w:t>
      </w:r>
      <w:r>
        <w:t xml:space="preserve"> </w:t>
      </w:r>
      <m:oMath>
        <m:sSub>
          <m:e>
            <m:r>
              <m:rPr>
                <m:sty m:val="p"/>
              </m:rPr>
              <m:t>T</m:t>
            </m:r>
            <m:r>
              <m:rPr>
                <m:sty m:val="p"/>
              </m:rPr>
              <m:t>O</m:t>
            </m:r>
          </m:e>
          <m:sub>
            <m:r>
              <m:t>L</m:t>
            </m:r>
          </m:sub>
        </m:sSub>
      </m:oMath>
      <w:r>
        <w:t xml:space="preserve"> </w:t>
      </w:r>
      <w:r>
        <w:t xml:space="preserve">and</w:t>
      </w:r>
      <w:r>
        <w:t xml:space="preserve"> </w:t>
      </w:r>
      <m:oMath>
        <m:sSub>
          <m:e>
            <m:r>
              <m:rPr>
                <m:sty m:val="p"/>
              </m:rPr>
              <m:t>T</m:t>
            </m:r>
            <m:r>
              <m:rPr>
                <m:sty m:val="p"/>
              </m:rPr>
              <m:t>O</m:t>
            </m:r>
          </m:e>
          <m:sub>
            <m:r>
              <m:t>S</m:t>
            </m:r>
          </m:sub>
        </m:sSub>
      </m:oMath>
      <w:r>
        <w:t xml:space="preserve"> </w:t>
      </w:r>
      <w:r>
        <w:t xml:space="preserve">are the shares of the long and short legs replaced since the previous week.</w:t>
      </w:r>
    </w:p>
    <w:p>
      <w:pPr>
        <w:pStyle w:val="Heading2"/>
        <w:jc w:val="left"/>
      </w:pPr>
      <w:r>
        <w:t xml:space="preserve">Literature search</w:t>
      </w:r>
    </w:p>
    <w:p>
      <w:pPr>
        <w:pStyle w:val="FirstParagraph"/>
        <w:spacing w:line="276" w:lineRule="auto" w:after="120"/>
        <w:jc w:val="both"/>
      </w:pPr>
      <w:r>
        <w:t xml:space="preserve">We searched on October 4 and 5, 2026 with a web search engine;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(Materials and methods) and the working paper of Farber et al.[5], cited as background on the early market. A second search on October 6, 2026, covered studies of price limits in Vietnam, including the Vietnam Journals Online (VJOL) index, and added Le[6] and the working paper of Farber et al.[5]; Vietnamese-language articles without an English record were not screened, and the coverage of Chinese A-share studies is incomplete. We read the bibliographic records and the abstract text returned by the search tool; the full texts of the three studies closest to ours [7–9] were read on October 6, 2026, and S1 Table reports their results.</w:t>
      </w:r>
    </w:p>
    <w:p>
      <w:pPr>
        <w:pStyle w:val="Heading2"/>
        <w:jc w:val="left"/>
      </w:pPr>
      <w:r>
        <w:t xml:space="preserve">References</w:t>
      </w:r>
    </w:p>
    <w:p>
      <w:pPr>
        <w:numPr>
          <w:ilvl w:val="0"/>
          <w:numId w:val="1001"/>
        </w:numPr>
        <w:pStyle w:val="Compact"/>
        <w:spacing w:line="276" w:lineRule="auto" w:after="120"/>
        <w:jc w:val="left"/>
      </w:pPr>
      <w:r>
        <w:t xml:space="preserve">Parkinson, M. The extreme value method for estimating the variance of the rate of return. J Bus. 1980;53: 61-65. doi: 10.1086/296071</w:t>
      </w:r>
    </w:p>
    <w:p>
      <w:pPr>
        <w:numPr>
          <w:ilvl w:val="0"/>
          <w:numId w:val="1001"/>
        </w:numPr>
        <w:pStyle w:val="Compact"/>
        <w:spacing w:line="276" w:lineRule="auto" w:after="120"/>
        <w:jc w:val="left"/>
      </w:pPr>
      <w:r>
        <w:t xml:space="preserve">Amihud, Y. Illiquidity and stock returns: cross-section and time-series effects. J Financ Mark. 2002;5: 31-56. doi: 10.1016/S1386-4181(01)00024-6</w:t>
      </w:r>
    </w:p>
    <w:p>
      <w:pPr>
        <w:numPr>
          <w:ilvl w:val="0"/>
          <w:numId w:val="1001"/>
        </w:numPr>
        <w:pStyle w:val="Compact"/>
        <w:spacing w:line="276" w:lineRule="auto" w:after="120"/>
        <w:jc w:val="left"/>
      </w:pPr>
      <w:r>
        <w:t xml:space="preserve">Corwin, S. A., Schultz, P. A simple way to estimate bid-ask spreads from daily high and low prices. J Finance. 2012;67: 719-760. doi: 10.1111/j.1540-6261.2012.01729.x</w:t>
      </w:r>
    </w:p>
    <w:p>
      <w:pPr>
        <w:numPr>
          <w:ilvl w:val="0"/>
          <w:numId w:val="1001"/>
        </w:numPr>
        <w:pStyle w:val="Compact"/>
        <w:spacing w:line="276" w:lineRule="auto" w:after="120"/>
        <w:jc w:val="left"/>
      </w:pPr>
      <w:r>
        <w:t xml:space="preserve">Bali, T. G., Cakici, N., Whitelaw, R. F. Maxing out: stocks as lotteries and the cross-section of expected returns. J Financ Econ. 2011;99: 427-446. doi: 10.1016/j.jfineco.2010.08.014</w:t>
      </w:r>
    </w:p>
    <w:p>
      <w:pPr>
        <w:numPr>
          <w:ilvl w:val="0"/>
          <w:numId w:val="1001"/>
        </w:numPr>
        <w:pStyle w:val="Compact"/>
        <w:spacing w:line="276" w:lineRule="auto" w:after="120"/>
        <w:jc w:val="left"/>
      </w:pPr>
      <w:r>
        <w:t xml:space="preserve">Farber, A., Nguyen, V. N., Vuong, Q. H. Policy impacts on Vietnam stock market: a case of anomalies and disequilibria 2000–2006. CEB Working Paper No. 06/005. Brussels: Université Libre de Bruxelles; 2006. Available from: https://ideas.repec.org/p/sol/wpaper/06-005.html</w:t>
      </w:r>
    </w:p>
    <w:p>
      <w:pPr>
        <w:numPr>
          <w:ilvl w:val="0"/>
          <w:numId w:val="1001"/>
        </w:numPr>
        <w:pStyle w:val="Compact"/>
        <w:spacing w:line="276" w:lineRule="auto" w:after="120"/>
        <w:jc w:val="left"/>
      </w:pPr>
      <w:r>
        <w:t xml:space="preserve">Le, D. N. Evaluating impacts of reduction in fluctuation limit on stock price risks in Vietnam. J Econ Dev. 2012;214: 116-128. Available from: https://vjol.info.vn/ed/article/view/34298</w:t>
      </w:r>
    </w:p>
    <w:p>
      <w:pPr>
        <w:numPr>
          <w:ilvl w:val="0"/>
          <w:numId w:val="1001"/>
        </w:numPr>
        <w:pStyle w:val="Compact"/>
        <w:spacing w:line="276" w:lineRule="auto" w:after="120"/>
        <w:jc w:val="left"/>
      </w:pPr>
      <w:r>
        <w:t xml:space="preserve">Kim, K. A., Rhee, S. G. Price limit performance: evidence from the Tokyo Stock Exchange. J Finance. 1997;52: 885-901. doi: 10.1111/j.1540-6261.1997.tb04827.x</w:t>
      </w:r>
    </w:p>
    <w:p>
      <w:pPr>
        <w:numPr>
          <w:ilvl w:val="0"/>
          <w:numId w:val="1001"/>
        </w:numPr>
        <w:pStyle w:val="Compact"/>
        <w:spacing w:line="276" w:lineRule="auto" w:after="120"/>
        <w:jc w:val="left"/>
      </w:pPr>
      <w:r>
        <w:t xml:space="preserve">Huang, Y.-S., Fu, T.-W., Ke, M.-C. Daily price limits and stock price behavior: evidence from the Taiwan Stock Exchange. Int Rev Econ Finance. 2001;10: 263-288. doi: 10.1016/S1059-0560(00)00082-4</w:t>
      </w:r>
    </w:p>
    <w:p>
      <w:pPr>
        <w:numPr>
          <w:ilvl w:val="0"/>
          <w:numId w:val="1001"/>
        </w:numPr>
        <w:pStyle w:val="Compact"/>
        <w:spacing w:line="276" w:lineRule="auto" w:after="120"/>
        <w:jc w:val="left"/>
      </w:pPr>
      <w:r>
        <w:t xml:space="preserve">Qi, B. Effectiveness of price limits: evidence from China’s ChiNext market. PLoS One. 2023;18: e0287548. doi: 10.1371/journal.pone.0287548</w:t>
      </w:r>
    </w:p>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120" w:before="240"/>
      <w:jc w:val="center"/>
    </w:pPr>
    <w:rPr>
      <w:rFonts w:ascii="Times New Roman" w:hAnsi="Times New Roman" w:cs="Times New Roman" w:eastAsia="Times New Roman"/>
      <w:b/>
      <w:bCs/>
      <w:i w:val="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i w:val="0"/>
      <w:sz w:val="32"/>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sz w:val="28"/>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i/>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2026-10-22T05:17:21Z</dcterms:created>
  <dcterms:modified xsi:type="dcterms:W3CDTF">2026-10-22T05:17:21Z</dcterms:modified>
</cp:coreProperties>
</file>

<file path=docProps/custom.xml><?xml version="1.0" encoding="utf-8"?>
<Properties xmlns="http://schemas.openxmlformats.org/officeDocument/2006/custom-properties" xmlns:vt="http://schemas.openxmlformats.org/officeDocument/2006/docPropsVTypes"/>
</file>