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t xml:space="preserve">S1 Table. Comparison with earlier studies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3472"/>
        <w:gridCol w:w="3472"/>
        <w:gridCol w:w="3472"/>
        <w:gridCol w:w="3472"/>
      </w:tblGrid>
      <w:tr>
        <w:trPr>
          <w:tblHeader w:val="true"/>
        </w:trPr>
        <w:tc>
          <w:tcPr>
            <w:tcW w:type="dxa" w:w="347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b/>
                <w:sz w:val="17"/>
              </w:rPr>
              <w:t xml:space="preserve">Study</w:t>
            </w:r>
          </w:p>
        </w:tc>
        <w:tc>
          <w:tcPr>
            <w:tcW w:type="dxa" w:w="347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Setting</w:t>
            </w:r>
          </w:p>
        </w:tc>
        <w:tc>
          <w:tcPr>
            <w:tcW w:type="dxa" w:w="347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Reported finding</w:t>
            </w:r>
          </w:p>
        </w:tc>
        <w:tc>
          <w:tcPr>
            <w:tcW w:type="dxa" w:w="347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Relation to our result</w:t>
            </w:r>
          </w:p>
        </w:tc>
      </w:tr>
      <w:tr>
        <w:tc>
          <w:tcPr>
            <w:tcW w:type="dxa" w:w="3472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Kim and Rhee (1997)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Tokyo, 1989–1992; limit hits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Overnight continuation after limit hits in 65% (upper) and 49% (lower) of cases, against 50% and 32% for stocks reaching 90% of the limit; volatility spillover and trading interference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Same direction: the overnight move is larger at the limit than near it; we measure its size, not its frequency; spillover and interference not tested</w:t>
            </w:r>
          </w:p>
        </w:tc>
      </w:tr>
      <w:tr>
        <w:tc>
          <w:tcPr>
            <w:tcW w:type="dxa" w:w="3472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Berkman and Lee (2002)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Korea; limit revision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Volatility and trading activity around the revision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Different question</w:t>
            </w:r>
          </w:p>
        </w:tc>
      </w:tr>
      <w:tr>
        <w:tc>
          <w:tcPr>
            <w:tcW w:type="dxa" w:w="3472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Huang et al. (2001)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Taiwan, 1990–1996; 7% band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One-day up-limit closes: +1.18% overnight, −0.77% in the next session; near-limit rises: +0.23% and −0.72%; down-limit closes: −2.17% and +1.24%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Same timing; our ceiling gap (2.24%) is larger, and the session reverses a smaller share (24% against about two thirds)</w:t>
            </w:r>
          </w:p>
        </w:tc>
      </w:tr>
      <w:tr>
        <w:tc>
          <w:tcPr>
            <w:tcW w:type="dxa" w:w="3472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Cho et al. (2003)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Taiwan; five-minute data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Prices accelerate toward the upper limit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Not tested; no intraday prices</w:t>
            </w:r>
          </w:p>
        </w:tc>
      </w:tr>
      <w:tr>
        <w:tc>
          <w:tcPr>
            <w:tcW w:type="dxa" w:w="3472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Chen et al. (2019)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Shenzhen; accounts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Large investors buy on the limit day and sell the next; their net buying predicts long-run reversal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Consistent with our intraday reversal; no account identities</w:t>
            </w:r>
          </w:p>
        </w:tc>
      </w:tr>
      <w:tr>
        <w:tc>
          <w:tcPr>
            <w:tcW w:type="dxa" w:w="3472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Qi (2023)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ChiNext, 2020–2021; band 10% to 20%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Day-1 abnormal return +0.24% after upper-limit closes and −3.37% after lower-limit closes under the 10% band; spillover and interference, stronger at the lower limit; no magnet effect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Opposite asymmetry: our day-</w:t>
            </w:r>
            <w:r>
              <w:rPr>
                <w:iCs/>
                <w:i/>
                <w:sz w:val="17"/>
              </w:rPr>
              <w:t xml:space="preserve">d</w:t>
            </w:r>
            <w:r>
              <w:rPr>
                <w:sz w:val="17"/>
              </w:rPr>
              <w:t xml:space="preserve">+1 return is 1.66% after ceiling and −0.71% after floor closes</w:t>
            </w:r>
          </w:p>
        </w:tc>
      </w:tr>
      <w:tr>
        <w:tc>
          <w:tcPr>
            <w:tcW w:type="dxa" w:w="3472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Lin et al. (2023); Zeng et al. (2024)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China; cross-section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Large limit exposure or frequent upper-limit hits predict lower returns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Different horizon; a one-day gain can coexist with later reversal, which we do not measure</w:t>
            </w:r>
          </w:p>
        </w:tc>
      </w:tr>
      <w:tr>
        <w:tc>
          <w:tcPr>
            <w:tcW w:type="dxa" w:w="3472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Berkman et al. (2012)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U.S.; intraday data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Overnight gains, intraday reversals, concentrated in high-attention stocks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Same signs; the gap also rises with volume and prior return</w:t>
            </w:r>
          </w:p>
        </w:tc>
      </w:tr>
      <w:tr>
        <w:tc>
          <w:tcPr>
            <w:tcW w:type="dxa" w:w="3472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Lou et al. (2019)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U.S.; stock returns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Overnight and intraday continuation, offsetting cross-period reversal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Gap-then-reversal has the sign of that cross-period reversal at one day</w:t>
            </w:r>
          </w:p>
        </w:tc>
      </w:tr>
      <w:tr>
        <w:tc>
          <w:tcPr>
            <w:tcW w:type="dxa" w:w="3472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Qiao and Dam (2020)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China A-shares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Negative average overnight return; T+1 rule lowers opening prices</w:t>
            </w:r>
          </w:p>
        </w:tc>
        <w:tc>
          <w:tcPr>
            <w:tcW w:type="dxa" w:w="347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Opposite sign: positive overnight return after ceiling closes</w:t>
            </w:r>
          </w:p>
        </w:tc>
      </w:tr>
      <w:tr>
        <w:tc>
          <w:tcPr>
            <w:tcW w:type="dxa" w:w="3472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Hou et al. (2020); Harvey et al. (2016)</w:t>
            </w:r>
          </w:p>
        </w:tc>
        <w:tc>
          <w:tcPr>
            <w:tcW w:type="dxa" w:w="3472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U.S.; anomalies</w:t>
            </w:r>
          </w:p>
        </w:tc>
        <w:tc>
          <w:tcPr>
            <w:tcW w:type="dxa" w:w="3472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With microcaps mitigated, 65% of 452 anomalies fail the 1.96 hurdle; a new factor needs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above 3.0</w:t>
            </w:r>
          </w:p>
        </w:tc>
        <w:tc>
          <w:tcPr>
            <w:tcW w:type="dxa" w:w="3472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None of our 22 characteristics reaches 1.96 in the full sample</w:t>
            </w:r>
          </w:p>
        </w:tc>
      </w:tr>
    </w:tbl>
    <w:p>
      <w:pPr>
        <w:pStyle w:val="BodyText"/>
        <w:spacing w:line="276" w:lineRule="auto" w:after="120"/>
        <w:jc w:val="both"/>
      </w:pPr>
      <w:r>
        <w:rPr>
          <w:iCs/>
          <w:i/>
        </w:rPr>
        <w:t xml:space="preserve">Note.</w:t>
      </w:r>
      <w:r>
        <w:t xml:space="preserve"> </w:t>
      </w:r>
      <w:r>
        <w:t xml:space="preserve">Entries for Kim and Rhee (1997), Huang et al. (2001) and Qi (2023) report results from the full texts; the other entries summarize each study’s abstract.</w:t>
      </w:r>
    </w:p>
    <w:p>
      <w:pPr>
        <w:pStyle w:val="BodyText"/>
        <w:spacing w:line="276" w:lineRule="auto" w:after="120"/>
        <w:jc w:val="both"/>
      </w:pPr>
      <w:r>
        <w:t xml:space="preserve">References for this table:</w:t>
      </w:r>
    </w:p>
    <w:p>
      <w:pPr>
        <w:numPr>
          <w:ilvl w:val="0"/>
          <w:numId w:val="1001"/>
        </w:numPr>
        <w:pStyle w:val="Compact"/>
        <w:spacing w:line="276" w:lineRule="auto" w:after="120"/>
        <w:jc w:val="left"/>
      </w:pPr>
      <w:r>
        <w:t xml:space="preserve">Kim, K. A., Rhee, S. G. Price limit performance: evidence from the Tokyo Stock Exchange. J Finance. 1997;52: 885-901. doi: 10.1111/j.1540-6261.1997.tb04827.x</w:t>
      </w:r>
    </w:p>
    <w:p>
      <w:pPr>
        <w:numPr>
          <w:ilvl w:val="0"/>
          <w:numId w:val="1001"/>
        </w:numPr>
        <w:pStyle w:val="Compact"/>
        <w:spacing w:line="276" w:lineRule="auto" w:after="120"/>
        <w:jc w:val="left"/>
      </w:pPr>
      <w:r>
        <w:t xml:space="preserve">Berkman, H., Lee, J. B. T. The effectiveness of price limits in an emerging market: evidence from the Korean Stock Exchange. Pac Basin Finance J. 2002;10: 517-530. doi: 10.1016/S0927-538X(02)00040-9</w:t>
      </w:r>
    </w:p>
    <w:p>
      <w:pPr>
        <w:numPr>
          <w:ilvl w:val="0"/>
          <w:numId w:val="1001"/>
        </w:numPr>
        <w:pStyle w:val="Compact"/>
        <w:spacing w:line="276" w:lineRule="auto" w:after="120"/>
        <w:jc w:val="left"/>
      </w:pPr>
      <w:r>
        <w:t xml:space="preserve">Huang, Y.-S., Fu, T.-W., Ke, M.-C. Daily price limits and stock price behavior: evidence from the Taiwan Stock Exchange. Int Rev Econ Finance. 2001;10: 263-288. doi: 10.1016/S1059-0560(00)00082-4</w:t>
      </w:r>
    </w:p>
    <w:p>
      <w:pPr>
        <w:numPr>
          <w:ilvl w:val="0"/>
          <w:numId w:val="1001"/>
        </w:numPr>
        <w:pStyle w:val="Compact"/>
        <w:spacing w:line="276" w:lineRule="auto" w:after="120"/>
        <w:jc w:val="left"/>
      </w:pPr>
      <w:r>
        <w:t xml:space="preserve">Cho, D. D., Russell, J., Tiao, G. C., Tsay, R. S. The magnet effect of price limits: evidence from high-frequency data on Taiwan Stock Exchange. J Empir Finance. 2003;10: 133-168. doi: 10.1016/S0927-5398(02)00024-5</w:t>
      </w:r>
    </w:p>
    <w:p>
      <w:pPr>
        <w:numPr>
          <w:ilvl w:val="0"/>
          <w:numId w:val="1001"/>
        </w:numPr>
        <w:pStyle w:val="Compact"/>
        <w:spacing w:line="276" w:lineRule="auto" w:after="120"/>
        <w:jc w:val="left"/>
      </w:pPr>
      <w:r>
        <w:t xml:space="preserve">Chen, T., Gao, Z., He, J., Jiang, W., Xiong, W. Daily price limits and destructive market behavior. J Econom. 2019;208: 249-264. doi: 10.1016/j.jeconom.2018.09.014</w:t>
      </w:r>
    </w:p>
    <w:p>
      <w:pPr>
        <w:numPr>
          <w:ilvl w:val="0"/>
          <w:numId w:val="1001"/>
        </w:numPr>
        <w:pStyle w:val="Compact"/>
        <w:spacing w:line="276" w:lineRule="auto" w:after="120"/>
        <w:jc w:val="left"/>
      </w:pPr>
      <w:r>
        <w:t xml:space="preserve">Qi, B. Effectiveness of price limits: evidence from China’s ChiNext market. PLoS One. 2023;18: e0287548. doi: 10.1371/journal.pone.0287548</w:t>
      </w:r>
    </w:p>
    <w:p>
      <w:pPr>
        <w:numPr>
          <w:ilvl w:val="0"/>
          <w:numId w:val="1001"/>
        </w:numPr>
        <w:pStyle w:val="Compact"/>
        <w:spacing w:line="276" w:lineRule="auto" w:after="120"/>
        <w:jc w:val="left"/>
      </w:pPr>
      <w:r>
        <w:t xml:space="preserve">Lin, F., Qiu, Z., Zheng, W. Cranes among chickens: the general-attention-grabbing effect of daily price limits in China’s stock market. J Bank Finance. 2023;150: 106818. doi: 10.1016/j.jbankfin.2023.106818</w:t>
      </w:r>
    </w:p>
    <w:p>
      <w:pPr>
        <w:numPr>
          <w:ilvl w:val="0"/>
          <w:numId w:val="1001"/>
        </w:numPr>
        <w:pStyle w:val="Compact"/>
        <w:spacing w:line="276" w:lineRule="auto" w:after="120"/>
        <w:jc w:val="left"/>
      </w:pPr>
      <w:r>
        <w:t xml:space="preserve">Zeng, Z., Wang, G., Tang, G. Price limits hitting effect and cross-sectional stock returns: evidence from China. Financ Res Lett. 2024;60: 104803. doi: 10.1016/j.frl.2023.104803</w:t>
      </w:r>
    </w:p>
    <w:p>
      <w:pPr>
        <w:numPr>
          <w:ilvl w:val="0"/>
          <w:numId w:val="1001"/>
        </w:numPr>
        <w:pStyle w:val="Compact"/>
        <w:spacing w:line="276" w:lineRule="auto" w:after="120"/>
        <w:jc w:val="left"/>
      </w:pPr>
      <w:r>
        <w:t xml:space="preserve">Berkman, H., Koch, P. D., Tuttle, L., Zhang, Y. J. Paying attention: overnight returns and the hidden cost of buying at the open. J Financ Quant Anal. 2012;47: 715-741. doi: 10.1017/S0022109012000270</w:t>
      </w:r>
    </w:p>
    <w:p>
      <w:pPr>
        <w:numPr>
          <w:ilvl w:val="0"/>
          <w:numId w:val="1001"/>
        </w:numPr>
        <w:pStyle w:val="Compact"/>
        <w:spacing w:line="276" w:lineRule="auto" w:after="120"/>
        <w:jc w:val="left"/>
      </w:pPr>
      <w:r>
        <w:t xml:space="preserve">Lou, D., Polk, C., Skouras, S. A tug of war: overnight versus intraday expected returns. J Financ Econ. 2019;134: 192-213. doi: 10.1016/j.jfineco.2019.03.011</w:t>
      </w:r>
    </w:p>
    <w:p>
      <w:pPr>
        <w:numPr>
          <w:ilvl w:val="0"/>
          <w:numId w:val="1001"/>
        </w:numPr>
        <w:pStyle w:val="Compact"/>
        <w:spacing w:line="276" w:lineRule="auto" w:after="120"/>
        <w:jc w:val="left"/>
      </w:pPr>
      <w:r>
        <w:t xml:space="preserve">Qiao, K., Dam, L. The overnight return puzzle and the</w:t>
      </w:r>
      <w:r>
        <w:t xml:space="preserve"> </w:t>
      </w:r>
      <w:r>
        <w:t xml:space="preserve">“</w:t>
      </w:r>
      <w:r>
        <w:t xml:space="preserve">T+1</w:t>
      </w:r>
      <w:r>
        <w:t xml:space="preserve">”</w:t>
      </w:r>
      <w:r>
        <w:t xml:space="preserve"> </w:t>
      </w:r>
      <w:r>
        <w:t xml:space="preserve">trading rule in Chinese stock markets. J Financ Mark. 2020;50: 100534.</w:t>
      </w:r>
    </w:p>
    <w:p>
      <w:pPr>
        <w:numPr>
          <w:ilvl w:val="0"/>
          <w:numId w:val="1001"/>
        </w:numPr>
        <w:pStyle w:val="Compact"/>
        <w:spacing w:line="276" w:lineRule="auto" w:after="120"/>
        <w:jc w:val="left"/>
      </w:pPr>
      <w:r>
        <w:t xml:space="preserve">Hou, K., Xue, C., Zhang, L. Replicating anomalies. Rev Financ Stud. 2020;33: 2019-2133.</w:t>
      </w:r>
    </w:p>
    <w:p>
      <w:pPr>
        <w:numPr>
          <w:ilvl w:val="0"/>
          <w:numId w:val="1001"/>
        </w:numPr>
        <w:pStyle w:val="Compact"/>
        <w:spacing w:line="276" w:lineRule="auto" w:after="120"/>
        <w:jc w:val="left"/>
      </w:pPr>
      <w:r>
        <w:t xml:space="preserve">Harvey, C. R., Liu, Y., Zhu, H. …and the cross-section of expected returns. Rev Financ Stud. 2016;29: 5-68. doi: 10.1093/rfs/hhv059</w:t>
      </w:r>
    </w:p>
    <w:sectPr>
      <w:footerReference w:type="default" r:id="rId9"/>
      <w:pgSz w:w="16838" w:h="11906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Times New Roman" w:hAnsi="Times New Roman" w:cs="Times New Roman" w:eastAsia="Times New Roman"/>
      <w:b/>
      <w:bCs/>
      <w:i w:val="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hAnsi="Times New Roman" w:cs="Times New Roman" w:eastAsia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Times New Roman" w:hAnsi="Times New Roman" w:cs="Times New Roman" w:eastAsia="Times New Roman"/>
      <w:b/>
      <w:bCs/>
      <w:i w:val="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Times New Roman" w:hAnsi="Times New Roman" w:cs="Times New Roman" w:eastAsia="Times New Roman"/>
      <w:b/>
      <w:bCs/>
      <w:i w:val="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Times New Roman" w:hAnsi="Times New Roman" w:cs="Times New Roman" w:eastAsia="Times New Roman"/>
      <w:b/>
      <w:bCs/>
      <w:i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2026-10-22T05:17:21Z</dcterms:created>
  <dcterms:modified xsi:type="dcterms:W3CDTF">2026-10-22T05:17:21Z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