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left"/>
      </w:pPr>
      <w:r>
        <w:t xml:space="preserve">S2 Table. Next-day abnormal returns under alternative event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2204"/>
        <w:gridCol w:w="1356"/>
        <w:gridCol w:w="1356"/>
        <w:gridCol w:w="1441"/>
        <w:gridCol w:w="1356"/>
        <w:gridCol w:w="1356"/>
      </w:tblGrid>
      <w:tr>
        <w:trPr>
          <w:tblHeader w:val="true"/>
        </w:trPr>
        <w:tc>
          <w:tcPr>
            <w:tcW w:type="dxa" w:w="2204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b/>
                <w:sz w:val="17"/>
              </w:rPr>
              <w:t xml:space="preserve">Event definition</w:t>
            </w:r>
          </w:p>
        </w:tc>
        <w:tc>
          <w:tcPr>
            <w:tcW w:type="dxa" w:w="1356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Overnight gap</w:t>
            </w:r>
          </w:p>
        </w:tc>
        <w:tc>
          <w:tcPr>
            <w:tcW w:type="dxa" w:w="1356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Intraday</w:t>
            </w:r>
          </w:p>
        </w:tc>
        <w:tc>
          <w:tcPr>
            <w:tcW w:type="dxa" w:w="1441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Close-to-close</w:t>
            </w:r>
          </w:p>
        </w:tc>
        <w:tc>
          <w:tcPr>
            <w:tcW w:type="dxa" w:w="1356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Open to day</w:t>
            </w:r>
            <w:r>
              <w:rPr>
                <w:b/>
                <w:sz w:val="17"/>
              </w:rPr>
              <w:t xml:space="preserve"> </w:t>
            </w:r>
            <w:r>
              <w:rPr>
                <w:iCs/>
                <w:b/>
                <w:i/>
                <w:sz w:val="17"/>
              </w:rPr>
              <w:t xml:space="preserve">d</w:t>
            </w:r>
            <w:r>
              <w:rPr>
                <w:b/>
                <w:sz w:val="17"/>
              </w:rPr>
              <w:t xml:space="preserve">+5</w:t>
            </w:r>
          </w:p>
        </w:tc>
        <w:tc>
          <w:tcPr>
            <w:tcW w:type="dxa" w:w="1356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Events</w:t>
            </w:r>
          </w:p>
        </w:tc>
      </w:tr>
      <w:tr>
        <w:tc>
          <w:tcPr>
            <w:tcW w:type="dxa" w:w="2204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Ceiling: return ≥ 6.5%, close = high (baseline)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2.24 (9.7)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−0.54 (−3.5)</w:t>
            </w:r>
          </w:p>
        </w:tc>
        <w:tc>
          <w:tcPr>
            <w:tcW w:type="dxa" w:w="144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1.66 (4.8)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−0.75 (−2.7)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3,199</w:t>
            </w:r>
          </w:p>
        </w:tc>
      </w:tr>
      <w:tr>
        <w:tc>
          <w:tcPr>
            <w:tcW w:type="dxa" w:w="2204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Ceiling: return ≥ 6.0%, close = high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2.07 (9.8)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−0.51 (−3.4)</w:t>
            </w:r>
          </w:p>
        </w:tc>
        <w:tc>
          <w:tcPr>
            <w:tcW w:type="dxa" w:w="144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1.53 (4.8)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−0.72 (−2.7)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3,390</w:t>
            </w:r>
          </w:p>
        </w:tc>
      </w:tr>
      <w:tr>
        <w:tc>
          <w:tcPr>
            <w:tcW w:type="dxa" w:w="2204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Ceiling: return ≥ 6.8%, close = high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2.33 (9.5)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−0.56 (−3.5)</w:t>
            </w:r>
          </w:p>
        </w:tc>
        <w:tc>
          <w:tcPr>
            <w:tcW w:type="dxa" w:w="144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1.73 (4.7)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−0.84 (−2.6)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2,468</w:t>
            </w:r>
          </w:p>
        </w:tc>
      </w:tr>
      <w:tr>
        <w:tc>
          <w:tcPr>
            <w:tcW w:type="dxa" w:w="2204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Ceiling: return in [6.7%, 7.3%], close = high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2.35 (9.8)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−0.55 (−3.9)</w:t>
            </w:r>
          </w:p>
        </w:tc>
        <w:tc>
          <w:tcPr>
            <w:tcW w:type="dxa" w:w="144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1.76 (5.2)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−0.78 (−2.6)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2,851</w:t>
            </w:r>
          </w:p>
        </w:tc>
      </w:tr>
      <w:tr>
        <w:tc>
          <w:tcPr>
            <w:tcW w:type="dxa" w:w="2204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Ceiling: return ≥ 6.5%, no close condition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2.10 (9.6)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−0.51 (−3.4)</w:t>
            </w:r>
          </w:p>
        </w:tc>
        <w:tc>
          <w:tcPr>
            <w:tcW w:type="dxa" w:w="144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1.55 (4.6)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−0.77 (−2.9)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3,421</w:t>
            </w:r>
          </w:p>
        </w:tc>
      </w:tr>
      <w:tr>
        <w:tc>
          <w:tcPr>
            <w:tcW w:type="dxa" w:w="2204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Ceiling: return ≥ 6.5%, locked open = high = low = close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2.91 (3.0)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−1.30 (−5.9)</w:t>
            </w:r>
          </w:p>
        </w:tc>
        <w:tc>
          <w:tcPr>
            <w:tcW w:type="dxa" w:w="144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1.54 (1.4)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−0.76 (−1.5)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522</w:t>
            </w:r>
          </w:p>
        </w:tc>
      </w:tr>
      <w:tr>
        <w:tc>
          <w:tcPr>
            <w:tcW w:type="dxa" w:w="2204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Floor: return ≤ −6.5%, close = low (baseline)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−0.97 (−4.6)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0.30 (1.4)</w:t>
            </w:r>
          </w:p>
        </w:tc>
        <w:tc>
          <w:tcPr>
            <w:tcW w:type="dxa" w:w="144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−0.69 (−4.8)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−0.82 (−1.7)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2,111</w:t>
            </w:r>
          </w:p>
        </w:tc>
      </w:tr>
      <w:tr>
        <w:tc>
          <w:tcPr>
            <w:tcW w:type="dxa" w:w="2204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Floor: return ≤ −6.0%, close = low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−0.79 (−4.6)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0.34 (1.6)</w:t>
            </w:r>
          </w:p>
        </w:tc>
        <w:tc>
          <w:tcPr>
            <w:tcW w:type="dxa" w:w="144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−0.48 (−3.4)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−0.65 (−1.5)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2,346</w:t>
            </w:r>
          </w:p>
        </w:tc>
      </w:tr>
      <w:tr>
        <w:tc>
          <w:tcPr>
            <w:tcW w:type="dxa" w:w="2204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Floor: return ≤ −6.8%, close = low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−1.09 (−4.7)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0.33 (1.4)</w:t>
            </w:r>
          </w:p>
        </w:tc>
        <w:tc>
          <w:tcPr>
            <w:tcW w:type="dxa" w:w="144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−0.78 (−4.9)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−0.90 (−1.9)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1,715</w:t>
            </w:r>
          </w:p>
        </w:tc>
      </w:tr>
      <w:tr>
        <w:tc>
          <w:tcPr>
            <w:tcW w:type="dxa" w:w="2204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Floor: return in [−7.3%, −6.7%], close = low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−1.07 (−4.7)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0.33 (1.5)</w:t>
            </w:r>
          </w:p>
        </w:tc>
        <w:tc>
          <w:tcPr>
            <w:tcW w:type="dxa" w:w="144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−0.76 (−5.2)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−0.87 (−1.8)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1,928</w:t>
            </w:r>
          </w:p>
        </w:tc>
      </w:tr>
      <w:tr>
        <w:tc>
          <w:tcPr>
            <w:tcW w:type="dxa" w:w="2204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Floor: return ≤ −6.5%, no close condition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−0.82 (−3.9)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0.31 (1.5)</w:t>
            </w:r>
          </w:p>
        </w:tc>
        <w:tc>
          <w:tcPr>
            <w:tcW w:type="dxa" w:w="144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−0.53 (−4.0)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−0.69 (−1.6)</w:t>
            </w:r>
          </w:p>
        </w:tc>
        <w:tc>
          <w:tcPr>
            <w:tcW w:type="dxa" w:w="135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2,288</w:t>
            </w:r>
          </w:p>
        </w:tc>
      </w:tr>
      <w:tr>
        <w:tc>
          <w:tcPr>
            <w:tcW w:type="dxa" w:w="2204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Floor: return ≤ −6.5%, locked open = high = low = close</w:t>
            </w:r>
          </w:p>
        </w:tc>
        <w:tc>
          <w:tcPr>
            <w:tcW w:type="dxa" w:w="1356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−2.50 (−4.8)</w:t>
            </w:r>
          </w:p>
        </w:tc>
        <w:tc>
          <w:tcPr>
            <w:tcW w:type="dxa" w:w="1356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1.11 (2.4)</w:t>
            </w:r>
          </w:p>
        </w:tc>
        <w:tc>
          <w:tcPr>
            <w:tcW w:type="dxa" w:w="1441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−1.44 (−3.4)</w:t>
            </w:r>
          </w:p>
        </w:tc>
        <w:tc>
          <w:tcPr>
            <w:tcW w:type="dxa" w:w="1356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−3.91 (−3.0)</w:t>
            </w:r>
          </w:p>
        </w:tc>
        <w:tc>
          <w:tcPr>
            <w:tcW w:type="dxa" w:w="1356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260</w:t>
            </w:r>
          </w:p>
        </w:tc>
      </w:tr>
    </w:tbl>
    <w:p>
      <w:pPr>
        <w:pStyle w:val="BodyText"/>
        <w:spacing w:line="276" w:lineRule="auto" w:after="120"/>
        <w:jc w:val="both"/>
      </w:pPr>
      <w:r>
        <w:rPr>
          <w:iCs/>
          <w:i/>
        </w:rPr>
        <w:t xml:space="preserve">Note.</w:t>
      </w:r>
      <w:r>
        <w:t xml:space="preserve"> </w:t>
      </w:r>
      <w:r>
        <w:t xml:space="preserve">Market-adjusted returns in percent; two-way-clustered</w:t>
      </w:r>
      <w:r>
        <w:t xml:space="preserve"> </w:t>
      </w:r>
      <w:r>
        <w:rPr>
          <w:iCs/>
          <w:i/>
        </w:rPr>
        <w:t xml:space="preserve">t</w:t>
      </w:r>
      <w:r>
        <w:t xml:space="preserve">-statistics in parentheses (two-sided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&lt; 0.001 for |</w:t>
      </w:r>
      <w:r>
        <w:rPr>
          <w:iCs/>
          <w:i/>
        </w:rPr>
        <w:t xml:space="preserve">t</w:t>
      </w:r>
      <w:r>
        <w:t xml:space="preserve">| ≥ 3.29). Source: authors’ calculations.</w:t>
      </w:r>
    </w:p>
    <w:sectPr>
      <w:footerReference w:type="default" r:id="rId9"/>
      <w:pgSz w:w="11906" w:h="16838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="Times New Roman" w:hAnsi="Times New Roman" w:cs="Times New Roman" w:eastAsia="Times New Roman"/>
      <w:b/>
      <w:bCs/>
      <w:i w:val="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hAnsi="Times New Roman" w:cs="Times New Roman" w:eastAsia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Times New Roman" w:hAnsi="Times New Roman" w:cs="Times New Roman" w:eastAsia="Times New Roman"/>
      <w:b/>
      <w:bCs/>
      <w:i w:val="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Times New Roman" w:hAnsi="Times New Roman" w:cs="Times New Roman" w:eastAsia="Times New Roman"/>
      <w:b/>
      <w:bCs/>
      <w:i w:val="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Times New Roman" w:hAnsi="Times New Roman" w:cs="Times New Roman" w:eastAsia="Times New Roman"/>
      <w:b/>
      <w:bCs/>
      <w:i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2026-10-22T05:17:21Z</dcterms:created>
  <dcterms:modified xsi:type="dcterms:W3CDTF">2026-10-22T05:17:21Z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