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left"/>
      </w:pPr>
      <w:r>
        <w:t xml:space="preserve">S3 Table. Adjusted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values of the four event tests under alternative family definitions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</w:tblPr>
      <w:tblGrid>
        <w:gridCol w:w="2508"/>
        <w:gridCol w:w="1543"/>
        <w:gridCol w:w="1833"/>
        <w:gridCol w:w="1543"/>
        <w:gridCol w:w="1640"/>
      </w:tblGrid>
      <w:tr>
        <w:trPr>
          <w:tblHeader w:val="true"/>
        </w:trPr>
        <w:tc>
          <w:tcPr>
            <w:tcW w:type="dxa" w:w="2509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b/>
                <w:sz w:val="17"/>
              </w:rPr>
              <w:t xml:space="preserve">Family definition</w:t>
            </w:r>
          </w:p>
        </w:tc>
        <w:tc>
          <w:tcPr>
            <w:tcW w:type="dxa" w:w="154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b/>
                <w:sz w:val="17"/>
              </w:rPr>
              <w:t xml:space="preserve">Ceiling,</w:t>
            </w:r>
            <w:r>
              <w:rPr>
                <w:b/>
                <w:sz w:val="17"/>
              </w:rPr>
              <w:t xml:space="preserve"> </w:t>
            </w:r>
            <w:r>
              <w:rPr>
                <w:iCs/>
                <w:b/>
                <w:i/>
                <w:sz w:val="17"/>
              </w:rPr>
              <w:t xml:space="preserve">d</w:t>
            </w:r>
            <w:r>
              <w:rPr>
                <w:b/>
                <w:sz w:val="17"/>
              </w:rPr>
              <w:t xml:space="preserve">+1</w:t>
            </w:r>
          </w:p>
        </w:tc>
        <w:tc>
          <w:tcPr>
            <w:tcW w:type="dxa" w:w="183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b/>
                <w:sz w:val="17"/>
              </w:rPr>
              <w:t xml:space="preserve">Ceiling,</w:t>
            </w:r>
            <w:r>
              <w:rPr>
                <w:b/>
                <w:sz w:val="17"/>
              </w:rPr>
              <w:t xml:space="preserve"> </w:t>
            </w:r>
            <w:r>
              <w:rPr>
                <w:iCs/>
                <w:b/>
                <w:i/>
                <w:sz w:val="17"/>
              </w:rPr>
              <w:t xml:space="preserve">d</w:t>
            </w:r>
            <w:r>
              <w:rPr>
                <w:b/>
                <w:sz w:val="17"/>
              </w:rPr>
              <w:t xml:space="preserve">+1 to</w:t>
            </w:r>
            <w:r>
              <w:rPr>
                <w:b/>
                <w:sz w:val="17"/>
              </w:rPr>
              <w:t xml:space="preserve"> </w:t>
            </w:r>
            <w:r>
              <w:rPr>
                <w:iCs/>
                <w:b/>
                <w:i/>
                <w:sz w:val="17"/>
              </w:rPr>
              <w:t xml:space="preserve">d</w:t>
            </w:r>
            <w:r>
              <w:rPr>
                <w:b/>
                <w:sz w:val="17"/>
              </w:rPr>
              <w:t xml:space="preserve">+5</w:t>
            </w:r>
          </w:p>
        </w:tc>
        <w:tc>
          <w:tcPr>
            <w:tcW w:type="dxa" w:w="154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b/>
                <w:sz w:val="17"/>
              </w:rPr>
              <w:t xml:space="preserve">Floor,</w:t>
            </w:r>
            <w:r>
              <w:rPr>
                <w:b/>
                <w:sz w:val="17"/>
              </w:rPr>
              <w:t xml:space="preserve"> </w:t>
            </w:r>
            <w:r>
              <w:rPr>
                <w:iCs/>
                <w:b/>
                <w:i/>
                <w:sz w:val="17"/>
              </w:rPr>
              <w:t xml:space="preserve">d</w:t>
            </w:r>
            <w:r>
              <w:rPr>
                <w:b/>
                <w:sz w:val="17"/>
              </w:rPr>
              <w:t xml:space="preserve">+1</w:t>
            </w:r>
          </w:p>
        </w:tc>
        <w:tc>
          <w:tcPr>
            <w:tcW w:type="dxa" w:w="1640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b/>
                <w:sz w:val="17"/>
              </w:rPr>
              <w:t xml:space="preserve">Floor,</w:t>
            </w:r>
            <w:r>
              <w:rPr>
                <w:b/>
                <w:sz w:val="17"/>
              </w:rPr>
              <w:t xml:space="preserve"> </w:t>
            </w:r>
            <w:r>
              <w:rPr>
                <w:iCs/>
                <w:b/>
                <w:i/>
                <w:sz w:val="17"/>
              </w:rPr>
              <w:t xml:space="preserve">d</w:t>
            </w:r>
            <w:r>
              <w:rPr>
                <w:b/>
                <w:sz w:val="17"/>
              </w:rPr>
              <w:t xml:space="preserve">+1 to</w:t>
            </w:r>
            <w:r>
              <w:rPr>
                <w:b/>
                <w:sz w:val="17"/>
              </w:rPr>
              <w:t xml:space="preserve"> </w:t>
            </w:r>
            <w:r>
              <w:rPr>
                <w:iCs/>
                <w:b/>
                <w:i/>
                <w:sz w:val="17"/>
              </w:rPr>
              <w:t xml:space="preserve">d</w:t>
            </w:r>
            <w:r>
              <w:rPr>
                <w:b/>
                <w:sz w:val="17"/>
              </w:rPr>
              <w:t xml:space="preserve">+5</w:t>
            </w:r>
          </w:p>
        </w:tc>
      </w:tr>
      <w:tr>
        <w:tc>
          <w:tcPr>
            <w:tcW w:type="dxa" w:w="2509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Baseline: 22 characteristics + 4 event tests (26), BH</w:t>
            </w:r>
          </w:p>
        </w:tc>
        <w:tc>
          <w:tcPr>
            <w:tcW w:type="dxa" w:w="1544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1.2e-05</w:t>
            </w:r>
          </w:p>
        </w:tc>
        <w:tc>
          <w:tcPr>
            <w:tcW w:type="dxa" w:w="1833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4.0e-04</w:t>
            </w:r>
          </w:p>
        </w:tc>
        <w:tc>
          <w:tcPr>
            <w:tcW w:type="dxa" w:w="1544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2.6e-06</w:t>
            </w:r>
          </w:p>
        </w:tc>
        <w:tc>
          <w:tcPr>
            <w:tcW w:type="dxa" w:w="1640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1.8e-05</w:t>
            </w:r>
          </w:p>
        </w:tc>
      </w:tr>
      <w:tr>
        <w:tc>
          <w:tcPr>
            <w:tcW w:type="dxa" w:w="2509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Event tests only (4), BH</w:t>
            </w:r>
          </w:p>
        </w:tc>
        <w:tc>
          <w:tcPr>
            <w:tcW w:type="dxa" w:w="1544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1.8e-06</w:t>
            </w:r>
          </w:p>
        </w:tc>
        <w:tc>
          <w:tcPr>
            <w:tcW w:type="dxa" w:w="1833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6.1e-05</w:t>
            </w:r>
          </w:p>
        </w:tc>
        <w:tc>
          <w:tcPr>
            <w:tcW w:type="dxa" w:w="1544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4.0e-07</w:t>
            </w:r>
          </w:p>
        </w:tc>
        <w:tc>
          <w:tcPr>
            <w:tcW w:type="dxa" w:w="1640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2.7e-06</w:t>
            </w:r>
          </w:p>
        </w:tc>
      </w:tr>
      <w:tr>
        <w:tc>
          <w:tcPr>
            <w:tcW w:type="dxa" w:w="2509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26 tests, Holm</w:t>
            </w:r>
          </w:p>
        </w:tc>
        <w:tc>
          <w:tcPr>
            <w:tcW w:type="dxa" w:w="1544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2.3e-05</w:t>
            </w:r>
          </w:p>
        </w:tc>
        <w:tc>
          <w:tcPr>
            <w:tcW w:type="dxa" w:w="1833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1.4e-03</w:t>
            </w:r>
          </w:p>
        </w:tc>
        <w:tc>
          <w:tcPr>
            <w:tcW w:type="dxa" w:w="1544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2.6e-06</w:t>
            </w:r>
          </w:p>
        </w:tc>
        <w:tc>
          <w:tcPr>
            <w:tcW w:type="dxa" w:w="1640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4.9e-05</w:t>
            </w:r>
          </w:p>
        </w:tc>
      </w:tr>
      <w:tr>
        <w:tc>
          <w:tcPr>
            <w:tcW w:type="dxa" w:w="2509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26 tests, Bonferroni</w:t>
            </w:r>
          </w:p>
        </w:tc>
        <w:tc>
          <w:tcPr>
            <w:tcW w:type="dxa" w:w="1544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2.4e-05</w:t>
            </w:r>
          </w:p>
        </w:tc>
        <w:tc>
          <w:tcPr>
            <w:tcW w:type="dxa" w:w="1833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1.6e-03</w:t>
            </w:r>
          </w:p>
        </w:tc>
        <w:tc>
          <w:tcPr>
            <w:tcW w:type="dxa" w:w="1544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2.6e-06</w:t>
            </w:r>
          </w:p>
        </w:tc>
        <w:tc>
          <w:tcPr>
            <w:tcW w:type="dxa" w:w="1640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5.3e-05</w:t>
            </w:r>
          </w:p>
        </w:tc>
      </w:tr>
      <w:tr>
        <w:tc>
          <w:tcPr>
            <w:tcW w:type="dxa" w:w="2509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28 tests: adds days d+2 to d+5 for ceiling and floor, BH</w:t>
            </w:r>
          </w:p>
        </w:tc>
        <w:tc>
          <w:tcPr>
            <w:tcW w:type="dxa" w:w="1544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1.3e-05</w:t>
            </w:r>
          </w:p>
        </w:tc>
        <w:tc>
          <w:tcPr>
            <w:tcW w:type="dxa" w:w="1833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4.3e-04</w:t>
            </w:r>
          </w:p>
        </w:tc>
        <w:tc>
          <w:tcPr>
            <w:tcW w:type="dxa" w:w="1544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2.8e-06</w:t>
            </w:r>
          </w:p>
        </w:tc>
        <w:tc>
          <w:tcPr>
            <w:tcW w:type="dxa" w:w="1640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1.9e-05</w:t>
            </w:r>
          </w:p>
        </w:tc>
      </w:tr>
      <w:tr>
        <w:tc>
          <w:tcPr>
            <w:tcW w:type="dxa" w:w="2509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26 tests, week-clustered event p-values, BH</w:t>
            </w:r>
          </w:p>
        </w:tc>
        <w:tc>
          <w:tcPr>
            <w:tcW w:type="dxa" w:w="1544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9.2e-05</w:t>
            </w:r>
          </w:p>
        </w:tc>
        <w:tc>
          <w:tcPr>
            <w:tcW w:type="dxa" w:w="1833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2.6e-03</w:t>
            </w:r>
          </w:p>
        </w:tc>
        <w:tc>
          <w:tcPr>
            <w:tcW w:type="dxa" w:w="1544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9.2e-05</w:t>
            </w:r>
          </w:p>
        </w:tc>
        <w:tc>
          <w:tcPr>
            <w:tcW w:type="dxa" w:w="1640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9.2e-05</w:t>
            </w:r>
          </w:p>
        </w:tc>
      </w:tr>
      <w:tr>
        <w:tc>
          <w:tcPr>
            <w:tcW w:type="dxa" w:w="2509"/>
            <w:tcBorders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Two families: ceiling (2) and floor (2), BH within each</w:t>
            </w:r>
          </w:p>
        </w:tc>
        <w:tc>
          <w:tcPr>
            <w:tcW w:type="dxa" w:w="1544"/>
            <w:tcBorders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1.8e-06</w:t>
            </w:r>
          </w:p>
        </w:tc>
        <w:tc>
          <w:tcPr>
            <w:tcW w:type="dxa" w:w="1833"/>
            <w:tcBorders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6.1e-05</w:t>
            </w:r>
          </w:p>
        </w:tc>
        <w:tc>
          <w:tcPr>
            <w:tcW w:type="dxa" w:w="1544"/>
            <w:tcBorders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2.0e-07</w:t>
            </w:r>
          </w:p>
        </w:tc>
        <w:tc>
          <w:tcPr>
            <w:tcW w:type="dxa" w:w="1640"/>
            <w:tcBorders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2.0e-06</w:t>
            </w:r>
          </w:p>
        </w:tc>
      </w:tr>
    </w:tbl>
    <w:p>
      <w:pPr>
        <w:pStyle w:val="BodyText"/>
        <w:spacing w:line="276" w:lineRule="auto" w:after="120"/>
        <w:jc w:val="both"/>
      </w:pPr>
      <w:r>
        <w:rPr>
          <w:iCs/>
          <w:i/>
        </w:rPr>
        <w:t xml:space="preserve">Note.</w:t>
      </w:r>
      <w:r>
        <w:t xml:space="preserve"> </w:t>
      </w:r>
      <w:r>
        <w:t xml:space="preserve">BH, Benjamini–Hochberg; Holm and Bonferroni as named. All adjusted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values are below 0.05. Source: authors’ calculations.</w:t>
      </w:r>
    </w:p>
    <w:sectPr>
      <w:footerReference w:type="default" r:id="rId9"/>
      <w:pgSz w:w="11906" w:h="16838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uppressLineNumbers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 w:cs="Times New Roman" w:eastAsia="Times New Roman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cs="Times New Roman" w:eastAsia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cs="Times New Roman" w:eastAsia="Times New Roman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40"/>
      <w:jc w:val="center"/>
    </w:pPr>
    <w:rPr>
      <w:rFonts w:ascii="Times New Roman" w:hAnsi="Times New Roman" w:cs="Times New Roman" w:eastAsia="Times New Roman"/>
      <w:b/>
      <w:bCs/>
      <w:i w:val="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cs="Times New Roman" w:eastAsia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hAnsi="Times New Roman" w:cs="Times New Roman" w:eastAsia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cs="Times New Roman" w:eastAsia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cs="Times New Roman" w:eastAsia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outlineLvl w:val="0"/>
    </w:pPr>
    <w:rPr>
      <w:rFonts w:ascii="Times New Roman" w:hAnsi="Times New Roman" w:cs="Times New Roman" w:eastAsia="Times New Roman"/>
      <w:b/>
      <w:bCs/>
      <w:i w:val="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outlineLvl w:val="1"/>
    </w:pPr>
    <w:rPr>
      <w:rFonts w:ascii="Times New Roman" w:hAnsi="Times New Roman" w:cs="Times New Roman" w:eastAsia="Times New Roman"/>
      <w:b/>
      <w:bCs/>
      <w:i w:val="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rFonts w:ascii="Times New Roman" w:hAnsi="Times New Roman" w:cs="Times New Roman" w:eastAsia="Times New Roman"/>
      <w:b/>
      <w:bCs/>
      <w:i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hAnsi="Times New Roman" w:cs="Times New Roman" w:eastAsia="Times New Roman"/>
      <w:i/>
      <w:bCs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hAnsi="Times New Roman" w:cs="Times New Roman" w:eastAsia="Times New Roman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hAnsi="Times New Roman" w:cs="Times New Roman" w:eastAsia="Times New Roman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hAnsi="Times New Roman" w:cs="Times New Roman" w:eastAsia="Times New Roman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hAnsi="Times New Roman" w:cs="Times New Roman" w:eastAsia="Times New Roman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hAnsi="Times New Roman" w:cs="Times New Roman" w:eastAsia="Times New Roman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</w:rPr>
  </w:style>
  <w:style w:customStyle="1" w:styleId="Definition" w:type="paragraph">
    <w:name w:val="Definition"/>
    <w:basedOn w:val="Normal"/>
    <w:rPr>
      <w:rFonts w:ascii="Times New Roman" w:hAnsi="Times New Roman" w:cs="Times New Roman" w:eastAsia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cs="Times New Roman" w:eastAsia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cs="Times New Roman" w:eastAsia="Times New Roman"/>
    </w:rPr>
  </w:style>
  <w:style w:customStyle="1" w:styleId="ImageCaption" w:type="paragraph">
    <w:name w:val="Image Caption"/>
    <w:basedOn w:val="Caption"/>
    <w:rPr>
      <w:rFonts w:ascii="Times New Roman" w:hAnsi="Times New Roman" w:cs="Times New Roman" w:eastAsia="Times New Roman"/>
    </w:rPr>
  </w:style>
  <w:style w:customStyle="1" w:styleId="Figure" w:type="paragraph">
    <w:name w:val="Figure"/>
    <w:basedOn w:val="Normal"/>
    <w:rPr>
      <w:rFonts w:ascii="Times New Roman" w:hAnsi="Times New Roman" w:cs="Times New Roman" w:eastAsia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cs="Times New Roman" w:eastAsia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cs="Times New Roman" w:eastAsia="Times New Roman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2026-10-22T05:17:21Z</dcterms:created>
  <dcterms:modified xsi:type="dcterms:W3CDTF">2026-10-22T05:17:21Z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