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t xml:space="preserve">S5 Table. Fama–MacBeth estimates for the 22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093"/>
        <w:gridCol w:w="1607"/>
        <w:gridCol w:w="1028"/>
        <w:gridCol w:w="1028"/>
        <w:gridCol w:w="1028"/>
        <w:gridCol w:w="1028"/>
        <w:gridCol w:w="1028"/>
        <w:gridCol w:w="1028"/>
        <w:gridCol w:w="1093"/>
        <w:gridCol w:w="1286"/>
        <w:gridCol w:w="1221"/>
        <w:gridCol w:w="1414"/>
      </w:tblGrid>
      <w:tr>
        <w:trPr>
          <w:tblHeader w:val="true"/>
        </w:trPr>
        <w:tc>
          <w:tcPr>
            <w:tcW w:type="dxa" w:w="109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17"/>
              </w:rPr>
              <w:t xml:space="preserve">Characteristic</w:t>
            </w:r>
          </w:p>
        </w:tc>
        <w:tc>
          <w:tcPr>
            <w:tcW w:type="dxa" w:w="1608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Slope (% per week per SD)</w:t>
            </w:r>
          </w:p>
        </w:tc>
        <w:tc>
          <w:tcPr>
            <w:tcW w:type="dxa" w:w="102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Standard error</w:t>
            </w:r>
          </w:p>
        </w:tc>
        <w:tc>
          <w:tcPr>
            <w:tcW w:type="dxa" w:w="102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95% CI</w:t>
            </w:r>
          </w:p>
        </w:tc>
        <w:tc>
          <w:tcPr>
            <w:tcW w:type="dxa" w:w="102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iCs/>
                <w:b/>
                <w:i/>
                <w:sz w:val="17"/>
              </w:rPr>
              <w:t xml:space="preserve">t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(Newey–West)</w:t>
            </w:r>
          </w:p>
        </w:tc>
        <w:tc>
          <w:tcPr>
            <w:tcW w:type="dxa" w:w="102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iCs/>
                <w:b/>
                <w:i/>
                <w:sz w:val="17"/>
              </w:rPr>
              <w:t xml:space="preserve">P</w:t>
            </w:r>
          </w:p>
        </w:tc>
        <w:tc>
          <w:tcPr>
            <w:tcW w:type="dxa" w:w="102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BH-adjusted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P</w:t>
            </w:r>
          </w:p>
        </w:tc>
        <w:tc>
          <w:tcPr>
            <w:tcW w:type="dxa" w:w="102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Holm-adjusted</w:t>
            </w:r>
            <w:r>
              <w:rPr>
                <w:b/>
                <w:sz w:val="17"/>
              </w:rPr>
              <w:t xml:space="preserve"> </w:t>
            </w:r>
            <w:r>
              <w:rPr>
                <w:iCs/>
                <w:b/>
                <w:i/>
                <w:sz w:val="17"/>
              </w:rPr>
              <w:t xml:space="preserve">P</w:t>
            </w:r>
          </w:p>
        </w:tc>
        <w:tc>
          <w:tcPr>
            <w:tcW w:type="dxa" w:w="109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iCs/>
                <w:b/>
                <w:i/>
                <w:sz w:val="17"/>
              </w:rPr>
              <w:t xml:space="preserve">t</w:t>
            </w:r>
            <w:r>
              <w:rPr>
                <w:b/>
                <w:sz w:val="17"/>
              </w:rPr>
              <w:t xml:space="preserve">, discovery half</w:t>
            </w:r>
          </w:p>
        </w:tc>
        <w:tc>
          <w:tcPr>
            <w:tcW w:type="dxa" w:w="128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iCs/>
                <w:b/>
                <w:i/>
                <w:sz w:val="17"/>
              </w:rPr>
              <w:t xml:space="preserve">t</w:t>
            </w:r>
            <w:r>
              <w:rPr>
                <w:b/>
                <w:sz w:val="17"/>
              </w:rPr>
              <w:t xml:space="preserve">, confirmation half</w:t>
            </w:r>
          </w:p>
        </w:tc>
        <w:tc>
          <w:tcPr>
            <w:tcW w:type="dxa" w:w="122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Quintile spread (%)</w:t>
            </w:r>
          </w:p>
        </w:tc>
        <w:tc>
          <w:tcPr>
            <w:tcW w:type="dxa" w:w="141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Spread net of cost (%)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REV1W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0.034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−0.131 to 0.199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0.41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0.680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1.08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−0.26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−0.71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REV1M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0.074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−0.086 to 0.235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0.358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0.872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1.18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0.14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0.21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−0.17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MOM3M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0.123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−0.046 to 0.291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1.45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0.151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0.595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0.87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1.17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0.31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0.09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MOM6M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0.094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−0.074 to 0.262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0.268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0.774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0.60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0.97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0.23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0.07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IMOM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0.123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−0.046 to 0.292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1.45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0.152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0.595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0.89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1.14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0.30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0.09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VOL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−0.006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0.070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−0.145 to 0.133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−0.09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0.930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0.94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−1.52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0.02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−0.07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IVOL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−0.028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−0.130 to 0.074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0.590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0.58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−1.44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−0.10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−0.20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BETA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−0.020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0.110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−0.240 to 0.199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0.854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0.32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−0.97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−0.06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−0.17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DOWNVOL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−0.062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0.073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−0.208 to 0.084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−0.84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0.402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0.872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0.12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−1.64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−0.19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−0.29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RANGEVOL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−0.037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0.073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−0.182 to 0.108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0.613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0.92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−2.35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−0.09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−0.16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MAX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−0.001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−0.107 to 0.105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0.96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−1.73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0.01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−0.22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MIN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0.048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−0.063 to 0.159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0.393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0.872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0.16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1.14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0.10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−0.15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SKEW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−0.001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0.044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−0.089 to 0.086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0.974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0.31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−0.59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−0.01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−0.21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KURT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0.012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−0.104 to 0.127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0.842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0.10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0.19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0.04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−0.13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AMIHUD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−0.022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−0.195 to 0.150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0.797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−0.37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0.07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−0.18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−0.21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LNDVOL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0.024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0.090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−0.155 to 0.204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0.789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0.43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−0.18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0.14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0.11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DVOLCHG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0.072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−0.029 to 0.173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1.42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0.160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0.595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1.29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0.78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0.23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−0.02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TURNCHG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0.045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−0.032 to 0.146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1.27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0.208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0.676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1.17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0.68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0.17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−0.08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CSSPREAD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−0.051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0.067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−0.185 to 0.082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−0.77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0.444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0.888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0.72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−2.77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−0.10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−0.20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OVERNIGHT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0.004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0.064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−0.124 to 0.131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0.956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0.80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−1.12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−0.05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−0.32</w:t>
            </w:r>
          </w:p>
        </w:tc>
      </w:tr>
      <w:tr>
        <w:tc>
          <w:tcPr>
            <w:tcW w:type="dxa" w:w="1093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INTRADAY</w:t>
            </w:r>
          </w:p>
        </w:tc>
        <w:tc>
          <w:tcPr>
            <w:tcW w:type="dxa" w:w="1608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0.036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0.059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−0.080 to 0.153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0.62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0.538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0.75</w:t>
            </w:r>
          </w:p>
        </w:tc>
        <w:tc>
          <w:tcPr>
            <w:tcW w:type="dxa" w:w="1286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</w:t>
            </w:r>
          </w:p>
        </w:tc>
        <w:tc>
          <w:tcPr>
            <w:tcW w:type="dxa" w:w="122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0.11</w:t>
            </w:r>
          </w:p>
        </w:tc>
        <w:tc>
          <w:tcPr>
            <w:tcW w:type="dxa" w:w="1415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−0.21</w:t>
            </w:r>
          </w:p>
        </w:tc>
      </w:tr>
      <w:tr>
        <w:tc>
          <w:tcPr>
            <w:tcW w:type="dxa" w:w="1093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LIMITFREQ</w:t>
            </w:r>
          </w:p>
        </w:tc>
        <w:tc>
          <w:tcPr>
            <w:tcW w:type="dxa" w:w="1608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−0.024</w:t>
            </w:r>
          </w:p>
        </w:tc>
        <w:tc>
          <w:tcPr>
            <w:tcW w:type="dxa" w:w="1029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0.089</w:t>
            </w:r>
          </w:p>
        </w:tc>
        <w:tc>
          <w:tcPr>
            <w:tcW w:type="dxa" w:w="1029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−0.201 to 0.153</w:t>
            </w:r>
          </w:p>
        </w:tc>
        <w:tc>
          <w:tcPr>
            <w:tcW w:type="dxa" w:w="1029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−0.28</w:t>
            </w:r>
          </w:p>
        </w:tc>
        <w:tc>
          <w:tcPr>
            <w:tcW w:type="dxa" w:w="1029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0.784</w:t>
            </w:r>
          </w:p>
        </w:tc>
        <w:tc>
          <w:tcPr>
            <w:tcW w:type="dxa" w:w="1029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0.985</w:t>
            </w:r>
          </w:p>
        </w:tc>
        <w:tc>
          <w:tcPr>
            <w:tcW w:type="dxa" w:w="1029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type="dxa" w:w="1093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0.61</w:t>
            </w:r>
          </w:p>
        </w:tc>
        <w:tc>
          <w:tcPr>
            <w:tcW w:type="dxa" w:w="1286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−1.16</w:t>
            </w:r>
          </w:p>
        </w:tc>
        <w:tc>
          <w:tcPr>
            <w:tcW w:type="dxa" w:w="122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0.22</w:t>
            </w:r>
          </w:p>
        </w:tc>
        <w:tc>
          <w:tcPr>
            <w:tcW w:type="dxa" w:w="1415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−0.05</w:t>
            </w:r>
          </w:p>
        </w:tc>
      </w:tr>
    </w:tbl>
    <w:p>
      <w:pPr>
        <w:pStyle w:val="BodyText"/>
        <w:spacing w:line="276" w:lineRule="auto" w:after="120"/>
        <w:jc w:val="left"/>
      </w:pPr>
      <w:r>
        <w:rPr>
          <w:iCs/>
          <w:i/>
        </w:rPr>
        <w:t xml:space="preserve">Note.</w:t>
      </w:r>
      <w:r>
        <w:t xml:space="preserve"> </w:t>
      </w:r>
      <w:r>
        <w:t xml:space="preserve">Weekly Fama–MacBeth regressions of equation (7) with rank-normalized characteristics (</w:t>
      </w:r>
      <w:r>
        <w:rPr>
          <w:iCs/>
          <w:i/>
        </w:rPr>
        <w:t xml:space="preserve">n</w:t>
      </w:r>
      <w:r>
        <w:t xml:space="preserve"> </w:t>
      </w:r>
      <w:r>
        <w:t xml:space="preserve">= 79 weekly cross-sections, 78 degrees of freedom); standard errors are slope/</w:t>
      </w:r>
      <w:r>
        <w:rPr>
          <w:iCs/>
          <w:i/>
        </w:rPr>
        <w:t xml:space="preserve">t</w:t>
      </w:r>
      <w:r>
        <w:t xml:space="preserve">; 95% confidence intervals use the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distribution with 78 degrees of freedom; two-sided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values; BH, Benjamini–Hochberg; quintile spread is the long–short return of the extreme quintiles and the net spread subtracts a 25-basis-point cost. Goodness-of-fit measures are not reported for the week-by-week cross-sectional regressions. Source: authors’ calculations.</w:t>
      </w:r>
    </w:p>
    <w:sectPr>
      <w:footerReference w:type="default" r:id="rId9"/>
      <w:pgSz w:w="16838" w:h="11906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hAnsi="Times New Roman" w:cs="Times New Roman" w:eastAsia="Times New Roman"/>
      <w:b/>
      <w:bCs/>
      <w:i w:val="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bCs/>
      <w:i w:val="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bCs/>
      <w:i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2026-10-22T05:17:21Z</dcterms:created>
  <dcterms:modified xsi:type="dcterms:W3CDTF">2026-10-22T05:17:21Z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