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57A60" w14:textId="40D53118" w:rsidR="009E0F4A" w:rsidRDefault="002A3A56" w:rsidP="00824612">
      <w:pPr>
        <w:spacing w:after="0" w:line="240" w:lineRule="auto"/>
        <w:jc w:val="both"/>
      </w:pPr>
      <w:r>
        <w:tab/>
        <w:tab/>
        <w:tab/>
        <w:tab/>
        <w:tab/>
      </w:r>
    </w:p>
    <w:p w14:paraId="0AD4ABDD" w14:textId="7C076E23" w:rsidR="00AB23F0" w:rsidRDefault="00AB23F0" w:rsidP="00824612">
      <w:pPr>
        <w:spacing w:after="0" w:line="240" w:lineRule="auto"/>
        <w:jc w:val="both"/>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9"/>
        <w:gridCol w:w="990"/>
      </w:tblGrid>
      <w:tr w:rsidR="002453A7" w:rsidRPr="00BF5C77" w14:paraId="4B4F72BD" w14:textId="77777777" w:rsidTr="00C86194">
        <w:trPr>
          <w:trHeight w:val="473"/>
        </w:trPr>
        <w:tc>
          <w:tcPr>
            <w:tcW w:w="9219" w:type="dxa"/>
          </w:tcPr>
          <w:p w14:paraId="45517ECB" w14:textId="7321F257" w:rsidR="002453A7" w:rsidRPr="00A94872" w:rsidRDefault="00E0708B" w:rsidP="00433AFC">
            <w:pPr>
              <w:pStyle w:val="MDPI16affiliation"/>
              <w:spacing w:line="240" w:lineRule="auto"/>
              <w:ind w:left="-102" w:firstLine="0"/>
              <w:rPr>
                <w:rFonts w:ascii="Calibri" w:eastAsiaTheme="minorHAnsi" w:hAnsi="Calibri" w:cs="Calibri"/>
                <w:b/>
                <w:bCs/>
                <w:color w:val="83150E"/>
                <w:sz w:val="42"/>
                <w:szCs w:val="42"/>
                <w:lang w:eastAsia="en-US" w:bidi="ar-SA"/>
              </w:rPr>
            </w:pPr>
            <w:r>
              <w:rPr>
                <w:rFonts w:ascii="Calibri" w:eastAsiaTheme="minorHAnsi" w:hAnsi="Calibri" w:cs="Calibri"/>
                <w:b/>
                <w:bCs/>
                <w:color w:val="83150E"/>
                <w:sz w:val="42"/>
                <w:szCs w:val="42"/>
                <w:lang w:val="hr-HR" w:eastAsia="en-US" w:bidi="ar-SA"/>
              </w:rPr>
              <w:t xml:space="preserve">Do price limits delay price discovery? Overnight gaps after limit closes in Vietnam</w:t>
            </w:r>
          </w:p>
          <w:p w14:paraId="22537A96" w14:textId="2F490FFF" w:rsidR="00433AFC" w:rsidRPr="00351673" w:rsidRDefault="00433AFC" w:rsidP="00433AFC">
            <w:pPr>
              <w:pStyle w:val="MDPI16affiliation"/>
              <w:spacing w:line="240" w:lineRule="auto"/>
              <w:ind w:left="0" w:firstLine="0"/>
              <w:jc w:val="both"/>
              <w:rPr>
                <w:rFonts w:ascii="Calibri" w:eastAsiaTheme="minorHAnsi" w:hAnsi="Calibri" w:cs="Calibri"/>
                <w:b/>
                <w:color w:val="auto"/>
                <w:sz w:val="20"/>
                <w:szCs w:val="20"/>
                <w:lang w:val="en-GB" w:eastAsia="en-US" w:bidi="ar-SA"/>
              </w:rPr>
            </w:pPr>
          </w:p>
        </w:tc>
        <w:tc>
          <w:tcPr>
            <w:tcW w:w="990" w:type="dxa"/>
          </w:tcPr>
          <w:p w14:paraId="485EF5CE" w14:textId="77777777" w:rsidR="003458E8" w:rsidRPr="0078120D" w:rsidRDefault="003458E8" w:rsidP="00824612">
            <w:pPr>
              <w:spacing w:after="0" w:line="240" w:lineRule="auto"/>
              <w:rPr>
                <w:sz w:val="6"/>
                <w:szCs w:val="6"/>
                <w:lang w:val="en-US"/>
              </w:rPr>
            </w:pPr>
          </w:p>
          <w:p w14:paraId="779286EF" w14:textId="77777777" w:rsidR="002453A7" w:rsidRPr="00BF5C77" w:rsidRDefault="002453A7" w:rsidP="00824612">
            <w:pPr>
              <w:spacing w:after="0" w:line="240" w:lineRule="auto"/>
              <w:rPr>
                <w:lang w:val="en-US"/>
              </w:rPr>
            </w:pPr>
            <w:r>
              <w:rPr>
                <w:rFonts w:ascii="Times New Roman" w:hAnsi="Times New Roman"/>
                <w:b/>
                <w:bCs/>
                <w:noProof/>
                <w:sz w:val="30"/>
                <w:szCs w:val="30"/>
                <w:lang w:eastAsia="pt-BR"/>
              </w:rPr>
              <w:drawing>
                <wp:inline distT="0" distB="0" distL="0" distR="0" wp14:anchorId="773FD8B4" wp14:editId="4EB44F23">
                  <wp:extent cx="527323" cy="527323"/>
                  <wp:effectExtent l="0" t="0" r="6350" b="6350"/>
                  <wp:docPr id="19" name="Imagem 19" descr="C:\Users\Elite705g3Mini\OneDrive\Malque\Multi\CrossMark.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C:\Users\Elite705g3Mini\OneDrive\Malque\Multi\CrossMark.png">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399" cy="535399"/>
                          </a:xfrm>
                          <a:prstGeom prst="rect">
                            <a:avLst/>
                          </a:prstGeom>
                          <a:noFill/>
                          <a:ln>
                            <a:noFill/>
                          </a:ln>
                        </pic:spPr>
                      </pic:pic>
                    </a:graphicData>
                  </a:graphic>
                </wp:inline>
              </w:drawing>
            </w:r>
          </w:p>
        </w:tc>
      </w:tr>
      <w:tr w:rsidR="00D42C05" w:rsidRPr="00A94872" w14:paraId="68F92C2C" w14:textId="2F9D941C" w:rsidTr="00A94872">
        <w:tc>
          <w:tcPr>
            <w:tcW w:w="9219" w:type="dxa"/>
            <w:tcBorders>
              <w:bottom w:val="double" w:sz="4" w:space="0" w:color="83150E"/>
            </w:tcBorders>
          </w:tcPr>
          <w:p w14:paraId="42203760" w14:textId="7B2D08D5" w:rsidR="00247A1B" w:rsidRPr="002C15DB" w:rsidRDefault="00E0708B" w:rsidP="00E0708B">
            <w:pPr>
              <w:spacing w:after="0"/>
              <w:ind w:left="-102"/>
              <w:rPr>
                <w:rFonts w:asciiTheme="minorHAnsi" w:hAnsiTheme="minorHAnsi" w:cstheme="minorHAnsi"/>
                <w:b/>
                <w:sz w:val="4"/>
                <w:szCs w:val="4"/>
                <w:lang w:val="en-US"/>
              </w:rPr>
            </w:pPr>
            <w:r>
              <w:rPr>
                <w:rFonts w:asciiTheme="minorHAnsi" w:hAnsiTheme="minorHAnsi" w:cstheme="minorHAnsi"/>
                <w:b/>
                <w:bCs/>
                <w:lang w:val="hr-HR"/>
              </w:rPr>
              <w:t xml:space="preserve">Nguyen Thanh Binh</w:t>
            </w:r>
            <w:r>
              <w:rPr>
                <w:rFonts w:asciiTheme="minorHAnsi" w:hAnsiTheme="minorHAnsi" w:cstheme="minorHAnsi"/>
                <w:b/>
                <w:color w:val="943634" w:themeColor="accent2" w:themeShade="BF"/>
                <w:vertAlign w:val="superscript"/>
                <w:lang w:val="en-US"/>
              </w:rPr>
              <w:t>a</w:t>
            </w:r>
            <w:r>
              <w:rPr>
                <w:noProof/>
              </w:rPr>
              <w:drawing>
                <wp:inline distT="0" distB="0" distL="0" distR="0" wp14:anchorId="24DEB3B2" wp14:editId="76D0B5A7">
                  <wp:extent cx="99695" cy="98425"/>
                  <wp:effectExtent l="0" t="0" r="0" b="0"/>
                  <wp:docPr id="2009629071" name="Imagem 34" descr="C:\Users\Elite705g3Mini\OneDrive\Malque\orcid.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25"/>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Pr>
                <w:rFonts w:asciiTheme="minorHAnsi" w:hAnsiTheme="minorHAnsi" w:cstheme="minorHAnsi"/>
                <w:b/>
                <w:lang w:val="en-US"/>
              </w:rPr>
              <w:t xml:space="preserve"> |</w:t>
            </w:r>
            <w:r>
              <w:rPr>
                <w:rFonts w:asciiTheme="minorHAnsi" w:hAnsiTheme="minorHAnsi" w:cstheme="minorHAnsi"/>
                <w:b/>
                <w:bCs/>
                <w:lang w:val="hr-HR"/>
              </w:rPr>
              <w:t xml:space="preserve"> Nguyen Van Trung</w:t>
            </w:r>
            <w:r>
              <w:rPr>
                <w:rFonts w:asciiTheme="minorHAnsi" w:hAnsiTheme="minorHAnsi" w:cstheme="minorHAnsi"/>
                <w:b/>
                <w:color w:val="943634" w:themeColor="accent2" w:themeShade="BF"/>
                <w:vertAlign w:val="superscript"/>
                <w:lang w:val="en-US"/>
              </w:rPr>
              <w:t>a</w:t>
            </w:r>
            <w:r>
              <w:rPr>
                <w:noProof/>
              </w:rPr>
              <w:drawing>
                <wp:inline distT="0" distB="0" distL="0" distR="0" wp14:anchorId="24DEB3B2" wp14:editId="76D0B5A7">
                  <wp:extent cx="99695" cy="98425"/>
                  <wp:effectExtent l="0" t="0" r="0" b="0"/>
                  <wp:docPr id="2009629072" name="Imagem 34" descr="C:\Users\Elite705g3Mini\OneDrive\Malque\orcid.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26"/>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Pr>
                <w:rFonts w:asciiTheme="minorHAnsi" w:hAnsiTheme="minorHAnsi" w:cstheme="minorHAnsi"/>
                <w:b/>
                <w:color w:val="BFBFBF" w:themeColor="background1" w:themeShade="BF"/>
                <w:vertAlign w:val="superscript"/>
                <w:lang w:val="en-US"/>
              </w:rPr>
              <w:t xml:space="preserve"> </w:t>
            </w:r>
            <w:r>
              <w:rPr>
                <w:noProof/>
              </w:rPr>
              <w:drawing>
                <wp:inline distT="0" distB="0" distL="0" distR="0" wp14:anchorId="26500C72" wp14:editId="742073D6">
                  <wp:extent cx="127635" cy="94615"/>
                  <wp:effectExtent l="0" t="0" r="5715" b="635"/>
                  <wp:docPr id="2009629073" name="Gráfico 35" descr="Envelop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áfico 35" descr="Envelope">
                            <a:hlinkClick r:id="rId27"/>
                          </pic:cNvPr>
                          <pic:cNvPicPr>
                            <a:picLocks noChangeAspect="1"/>
                          </pic:cNvPicPr>
                        </pic:nvPicPr>
                        <pic:blipFill rotWithShape="1">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rcRect l="6249" t="17361" r="5556" b="17361"/>
                          <a:stretch/>
                        </pic:blipFill>
                        <pic:spPr bwMode="auto">
                          <a:xfrm>
                            <a:off x="0" y="0"/>
                            <a:ext cx="127635" cy="94615"/>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cstheme="minorHAnsi"/>
                <w:b/>
                <w:lang w:val="en-US"/>
              </w:rPr>
              <w:t xml:space="preserve"> |</w:t>
            </w:r>
            <w:r>
              <w:rPr>
                <w:rFonts w:asciiTheme="minorHAnsi" w:hAnsiTheme="minorHAnsi" w:cstheme="minorHAnsi"/>
                <w:b/>
                <w:bCs/>
                <w:lang w:val="hr-HR"/>
              </w:rPr>
              <w:t xml:space="preserve"> Ha Hong Hanh</w:t>
            </w:r>
            <w:r>
              <w:rPr>
                <w:rFonts w:asciiTheme="minorHAnsi" w:hAnsiTheme="minorHAnsi" w:cstheme="minorHAnsi"/>
                <w:b/>
                <w:color w:val="943634" w:themeColor="accent2" w:themeShade="BF"/>
                <w:vertAlign w:val="superscript"/>
                <w:lang w:val="en-US"/>
              </w:rPr>
              <w:t>b</w:t>
            </w:r>
            <w:r>
              <w:rPr>
                <w:noProof/>
              </w:rPr>
              <w:drawing>
                <wp:inline distT="0" distB="0" distL="0" distR="0" wp14:anchorId="24DEB3B2" wp14:editId="76D0B5A7">
                  <wp:extent cx="99695" cy="98425"/>
                  <wp:effectExtent l="0" t="0" r="0" b="0"/>
                  <wp:docPr id="2009629074" name="Imagem 34" descr="C:\Users\Elite705g3Mini\OneDrive\Malque\orcid.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28"/>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Pr>
                <w:rFonts w:asciiTheme="minorHAnsi" w:hAnsiTheme="minorHAnsi" w:cstheme="minorHAnsi"/>
                <w:b/>
                <w:lang w:val="en-US"/>
              </w:rPr>
              <w:t xml:space="preserve"> |</w:t>
            </w:r>
            <w:r>
              <w:rPr>
                <w:rFonts w:asciiTheme="minorHAnsi" w:hAnsiTheme="minorHAnsi" w:cstheme="minorHAnsi"/>
                <w:b/>
                <w:bCs/>
                <w:lang w:val="hr-HR"/>
              </w:rPr>
              <w:t xml:space="preserve"> Nguyen Bach Diep</w:t>
            </w:r>
            <w:r>
              <w:rPr>
                <w:rFonts w:asciiTheme="minorHAnsi" w:hAnsiTheme="minorHAnsi" w:cstheme="minorHAnsi"/>
                <w:b/>
                <w:color w:val="943634" w:themeColor="accent2" w:themeShade="BF"/>
                <w:vertAlign w:val="superscript"/>
                <w:lang w:val="en-US"/>
              </w:rPr>
              <w:t>a</w:t>
            </w:r>
            <w:r>
              <w:rPr>
                <w:noProof/>
              </w:rPr>
              <w:drawing>
                <wp:inline distT="0" distB="0" distL="0" distR="0" wp14:anchorId="24DEB3B2" wp14:editId="76D0B5A7">
                  <wp:extent cx="99695" cy="98425"/>
                  <wp:effectExtent l="0" t="0" r="0" b="0"/>
                  <wp:docPr id="2009629075" name="Imagem 34" descr="C:\Users\Elite705g3Mini\OneDrive\Malque\orcid.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29"/>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p>
        </w:tc>
        <w:tc>
          <w:tcPr>
            <w:tcW w:w="990" w:type="dxa"/>
            <w:tcBorders>
              <w:bottom w:val="double" w:sz="4" w:space="0" w:color="83150E"/>
            </w:tcBorders>
          </w:tcPr>
          <w:p w14:paraId="1D994E0A" w14:textId="77777777" w:rsidR="00D42C05" w:rsidRPr="002C15DB" w:rsidRDefault="00D42C05" w:rsidP="00824612">
            <w:pPr>
              <w:spacing w:after="0" w:line="240" w:lineRule="auto"/>
              <w:rPr>
                <w:rFonts w:asciiTheme="minorHAnsi" w:hAnsiTheme="minorHAnsi" w:cstheme="minorHAnsi"/>
                <w:sz w:val="8"/>
                <w:szCs w:val="8"/>
                <w:lang w:val="en-US"/>
              </w:rPr>
            </w:pPr>
          </w:p>
          <w:p w14:paraId="4B47D3E8" w14:textId="77777777" w:rsidR="00D42C05" w:rsidRPr="002C15DB" w:rsidRDefault="00D42C05" w:rsidP="00C86194">
            <w:pPr>
              <w:spacing w:after="0" w:line="240" w:lineRule="auto"/>
              <w:ind w:left="-102"/>
              <w:jc w:val="right"/>
              <w:rPr>
                <w:rFonts w:asciiTheme="minorHAnsi" w:hAnsiTheme="minorHAnsi" w:cstheme="minorHAnsi"/>
                <w:sz w:val="8"/>
                <w:szCs w:val="8"/>
                <w:lang w:val="en-US"/>
              </w:rPr>
            </w:pPr>
          </w:p>
        </w:tc>
      </w:tr>
      <w:tr w:rsidR="00D42C05" w:rsidRPr="00A94872" w14:paraId="5DF52BDD" w14:textId="549ED092" w:rsidTr="00A94872">
        <w:tc>
          <w:tcPr>
            <w:tcW w:w="9219" w:type="dxa"/>
            <w:tcBorders>
              <w:top w:val="double" w:sz="4" w:space="0" w:color="83150E"/>
            </w:tcBorders>
          </w:tcPr>
          <w:p w14:paraId="3C71346E" w14:textId="77777777" w:rsidR="00D42C05" w:rsidRPr="002C15DB" w:rsidRDefault="00D42C05" w:rsidP="00824612">
            <w:pPr>
              <w:spacing w:after="0" w:line="240" w:lineRule="auto"/>
              <w:ind w:left="-103"/>
              <w:jc w:val="both"/>
              <w:rPr>
                <w:rFonts w:asciiTheme="minorHAnsi" w:hAnsiTheme="minorHAnsi" w:cstheme="minorHAnsi"/>
                <w:sz w:val="12"/>
                <w:szCs w:val="12"/>
                <w:lang w:val="en-US"/>
              </w:rPr>
            </w:pPr>
          </w:p>
        </w:tc>
        <w:tc>
          <w:tcPr>
            <w:tcW w:w="990" w:type="dxa"/>
            <w:tcBorders>
              <w:top w:val="double" w:sz="4" w:space="0" w:color="83150E"/>
            </w:tcBorders>
          </w:tcPr>
          <w:p w14:paraId="6BB44AA7" w14:textId="77777777" w:rsidR="00D42C05" w:rsidRPr="002C15DB" w:rsidRDefault="00D42C05" w:rsidP="00824612">
            <w:pPr>
              <w:spacing w:after="0" w:line="240" w:lineRule="auto"/>
              <w:ind w:left="-103"/>
              <w:jc w:val="both"/>
              <w:rPr>
                <w:rFonts w:asciiTheme="minorHAnsi" w:hAnsiTheme="minorHAnsi" w:cstheme="minorHAnsi"/>
                <w:sz w:val="12"/>
                <w:szCs w:val="12"/>
                <w:lang w:val="en-US"/>
              </w:rPr>
            </w:pPr>
          </w:p>
        </w:tc>
      </w:tr>
      <w:tr w:rsidR="00D42C05" w:rsidRPr="00A94872" w14:paraId="28D5582B" w14:textId="1893548E" w:rsidTr="00C86194">
        <w:tc>
          <w:tcPr>
            <w:tcW w:w="9219" w:type="dxa"/>
          </w:tcPr>
          <w:p w14:paraId="400F2739" w14:textId="491430DA" w:rsidR="00FB376B" w:rsidRPr="00FB376B" w:rsidRDefault="00CB5F40" w:rsidP="00FB376B">
            <w:pPr>
              <w:spacing w:after="0" w:line="240" w:lineRule="auto"/>
              <w:ind w:left="-103"/>
              <w:jc w:val="both"/>
              <w:rPr>
                <w:rFonts w:asciiTheme="minorHAnsi" w:hAnsiTheme="minorHAnsi" w:cstheme="minorHAnsi"/>
                <w:bCs/>
                <w:iCs/>
                <w:color w:val="000000" w:themeColor="text1"/>
                <w:sz w:val="14"/>
                <w:szCs w:val="14"/>
                <w:lang w:val="hr-HR"/>
              </w:rPr>
            </w:pPr>
            <w:r>
              <w:rPr>
                <w:rFonts w:asciiTheme="minorHAnsi" w:hAnsiTheme="minorHAnsi" w:cstheme="minorHAnsi"/>
                <w:b/>
                <w:color w:val="943634" w:themeColor="accent2" w:themeShade="BF"/>
                <w:sz w:val="14"/>
                <w:szCs w:val="14"/>
                <w:vertAlign w:val="superscript"/>
                <w:lang w:val="en-US"/>
              </w:rPr>
              <w:t>a</w:t>
            </w:r>
            <w:r>
              <w:rPr>
                <w:rFonts w:asciiTheme="minorHAnsi" w:hAnsiTheme="minorHAnsi" w:cstheme="minorHAnsi"/>
                <w:bCs/>
                <w:iCs/>
                <w:color w:val="000000" w:themeColor="text1"/>
                <w:sz w:val="14"/>
                <w:szCs w:val="14"/>
                <w:lang w:val="hr-HR"/>
              </w:rPr>
              <w:t xml:space="preserve">Academy of Policy and Development, Nam An Khanh Urban Area, Hoai Duc District, Hanoi, Vietnam.</w:t>
            </w:r>
          </w:p>
          <w:p w14:paraId="20607C71" w14:textId="716A071D" w:rsidR="00FB376B" w:rsidRPr="00FB376B" w:rsidRDefault="00FB376B" w:rsidP="00FB376B">
            <w:pPr>
              <w:spacing w:after="0" w:line="240" w:lineRule="auto"/>
              <w:ind w:left="-103"/>
              <w:jc w:val="both"/>
              <w:rPr>
                <w:rFonts w:asciiTheme="minorHAnsi" w:hAnsiTheme="minorHAnsi" w:cstheme="minorHAnsi"/>
                <w:bCs/>
                <w:iCs/>
                <w:color w:val="000000" w:themeColor="text1"/>
                <w:sz w:val="14"/>
                <w:szCs w:val="14"/>
                <w:lang w:val="hr-HR"/>
              </w:rPr>
            </w:pPr>
            <w:r>
              <w:rPr>
                <w:rFonts w:asciiTheme="minorHAnsi" w:hAnsiTheme="minorHAnsi" w:cstheme="minorHAnsi"/>
                <w:b/>
                <w:bCs/>
                <w:iCs/>
                <w:color w:val="943634" w:themeColor="accent2" w:themeShade="BF"/>
                <w:sz w:val="14"/>
                <w:szCs w:val="14"/>
                <w:vertAlign w:val="superscript"/>
                <w:lang w:val="hr-HR"/>
              </w:rPr>
              <w:t>b</w:t>
            </w:r>
            <w:r>
              <w:rPr>
                <w:rFonts w:asciiTheme="minorHAnsi" w:hAnsiTheme="minorHAnsi" w:cstheme="minorHAnsi"/>
                <w:bCs/>
                <w:iCs/>
                <w:color w:val="000000" w:themeColor="text1"/>
                <w:sz w:val="14"/>
                <w:szCs w:val="14"/>
                <w:lang w:val="hr-HR"/>
              </w:rPr>
              <w:t xml:space="preserve">School of Accounting and Auditing, National Economics University, Hanoi, Vietnam.</w:t>
            </w:r>
          </w:p>
        </w:tc>
        <w:tc>
          <w:tcPr>
            <w:tcW w:w="990" w:type="dxa"/>
          </w:tcPr>
          <w:p w14:paraId="3D7A2492" w14:textId="77777777" w:rsidR="00D42C05" w:rsidRPr="002C15DB" w:rsidRDefault="00D42C05" w:rsidP="00824612">
            <w:pPr>
              <w:spacing w:after="0" w:line="240" w:lineRule="auto"/>
              <w:rPr>
                <w:rFonts w:asciiTheme="minorHAnsi" w:hAnsiTheme="minorHAnsi" w:cstheme="minorHAnsi"/>
                <w:bCs/>
                <w:i/>
                <w:sz w:val="14"/>
                <w:szCs w:val="14"/>
                <w:lang w:val="en-US"/>
              </w:rPr>
            </w:pPr>
          </w:p>
          <w:p w14:paraId="671F7937" w14:textId="77777777" w:rsidR="00D42C05" w:rsidRPr="002C15DB" w:rsidRDefault="00D42C05" w:rsidP="00824612">
            <w:pPr>
              <w:spacing w:after="0" w:line="240" w:lineRule="auto"/>
              <w:ind w:left="-102"/>
              <w:jc w:val="right"/>
              <w:rPr>
                <w:rFonts w:asciiTheme="minorHAnsi" w:hAnsiTheme="minorHAnsi" w:cstheme="minorHAnsi"/>
                <w:bCs/>
                <w:i/>
                <w:sz w:val="14"/>
                <w:szCs w:val="14"/>
                <w:lang w:val="en-US"/>
              </w:rPr>
            </w:pPr>
          </w:p>
        </w:tc>
      </w:tr>
    </w:tbl>
    <w:p w14:paraId="3A208D12" w14:textId="78A7A9F0" w:rsidR="002453A7" w:rsidRPr="0078120D" w:rsidRDefault="00D01EE6" w:rsidP="00824612">
      <w:pPr>
        <w:pageBreakBefore/>
        <w:spacing w:after="0" w:line="240" w:lineRule="auto"/>
        <w:rPr>
          <w:rFonts w:ascii="Times New Roman" w:hAnsi="Times New Roman"/>
          <w:sz w:val="4"/>
          <w:szCs w:val="4"/>
          <w:lang w:val="en-US"/>
        </w:rPr>
        <w:sectPr w:rsidR="002453A7" w:rsidRPr="0078120D" w:rsidSect="00C16F30">
          <w:headerReference w:type="default" r:id="rId15"/>
          <w:footerReference w:type="default" r:id="rId16"/>
          <w:headerReference w:type="first" r:id="rId17"/>
          <w:footerReference w:type="first" r:id="rId18"/>
          <w:pgSz w:w="11906" w:h="16838"/>
          <w:pgMar w:top="1134" w:right="851" w:bottom="1134" w:left="851" w:header="709" w:footer="709" w:gutter="0"/>
          <w:pgNumType w:start="1"/>
          <w:cols w:space="708"/>
          <w:titlePg/>
          <w:docGrid w:linePitch="360"/>
        </w:sectPr>
      </w:pPr>
      <w:r>
        <w:rPr>
          <w:rFonts w:ascii="Candara" w:hAnsi="Candara" w:cstheme="majorHAnsi"/>
          <w:noProof/>
          <w:szCs w:val="30"/>
          <w:lang w:eastAsia="pt-BR"/>
        </w:rPr>
        <mc:AlternateContent>
          <mc:Choice Requires="wps">
            <w:drawing>
              <wp:anchor distT="0" distB="0" distL="114300" distR="114300" simplePos="0" relativeHeight="251658240" behindDoc="0" locked="0" layoutInCell="1" allowOverlap="1" wp14:anchorId="2C608016" wp14:editId="34AE8FE1">
                <wp:simplePos x="0" y="0"/>
                <wp:positionH relativeFrom="margin">
                  <wp:align>left</wp:align>
                </wp:positionH>
                <wp:positionV relativeFrom="paragraph">
                  <wp:posOffset>45085</wp:posOffset>
                </wp:positionV>
                <wp:extent cx="6477000" cy="3327400"/>
                <wp:effectExtent l="0" t="0" r="12700" b="12700"/>
                <wp:wrapTopAndBottom/>
                <wp:docPr id="23" name="Caixa de texto 23"/>
                <wp:cNvGraphicFramePr/>
                <a:graphic xmlns:a="http://schemas.openxmlformats.org/drawingml/2006/main">
                  <a:graphicData uri="http://schemas.microsoft.com/office/word/2010/wordprocessingShape">
                    <wps:wsp>
                      <wps:cNvSpPr txBox="1"/>
                      <wps:spPr>
                        <a:xfrm>
                          <a:off x="0" y="0"/>
                          <a:ext cx="6477000" cy="3327400"/>
                        </a:xfrm>
                        <a:prstGeom prst="rect">
                          <a:avLst/>
                        </a:prstGeom>
                        <a:solidFill>
                          <a:schemeClr val="accent2">
                            <a:lumMod val="20000"/>
                            <a:lumOff val="80000"/>
                          </a:schemeClr>
                        </a:solidFill>
                        <a:ln w="6350">
                          <a:solidFill>
                            <a:srgbClr val="83150E"/>
                          </a:solidFill>
                        </a:ln>
                        <a:effectLst/>
                      </wps:spPr>
                      <wps:style>
                        <a:lnRef idx="0">
                          <a:schemeClr val="accent1"/>
                        </a:lnRef>
                        <a:fillRef idx="0">
                          <a:schemeClr val="accent1"/>
                        </a:fillRef>
                        <a:effectRef idx="0">
                          <a:schemeClr val="accent1"/>
                        </a:effectRef>
                        <a:fontRef idx="minor">
                          <a:schemeClr val="dk1"/>
                        </a:fontRef>
                      </wps:style>
                      <wps:txbx>
                        <w:txbxContent>
                          <w:p w14:paraId="6F763DD0" w14:textId="262E42C9" w:rsidR="007010C3" w:rsidRDefault="00A633A5" w:rsidP="001A2274">
                            <w:pPr>
                              <w:spacing w:after="0" w:line="240" w:lineRule="auto"/>
                              <w:ind w:right="-46"/>
                              <w:jc w:val="both"/>
                              <w:rPr>
                                <w:rFonts w:asciiTheme="minorHAnsi" w:hAnsiTheme="minorHAnsi" w:cstheme="minorHAnsi"/>
                                <w:color w:val="000000" w:themeColor="text1"/>
                                <w:sz w:val="20"/>
                                <w:szCs w:val="20"/>
                                <w:lang w:val="en-US"/>
                              </w:rPr>
                            </w:pPr>
                            <w:r>
                              <w:rPr>
                                <w:rFonts w:asciiTheme="minorHAnsi" w:hAnsiTheme="minorHAnsi" w:cstheme="minorHAnsi"/>
                                <w:b/>
                                <w:color w:val="000000" w:themeColor="text1"/>
                                <w:sz w:val="20"/>
                                <w:szCs w:val="20"/>
                                <w:lang w:val="en-US"/>
                              </w:rPr>
                              <w:t>Abstract</w:t>
                            </w:r>
                            <w:r>
                              <w:rPr>
                                <w:rFonts w:asciiTheme="minorHAnsi" w:hAnsiTheme="minorHAnsi" w:cstheme="minorHAnsi"/>
                                <w:color w:val="000000" w:themeColor="text1"/>
                                <w:sz w:val="20"/>
                                <w:szCs w:val="20"/>
                                <w:lang w:val="en-US"/>
                              </w:rPr>
                              <w:t xml:space="preserve"> Daily price limits are meant to cool markets, but they may also delay price discovery. We examine what happens after a stock closes at its daily limit on the Ho Chi Minh Stock Exchange, a market dominated by individual investors that applies one 7% band and sets opening and closing prices by call auction. Using daily prices for 347 stocks from August 2024 to September 2026, we split the next-day abnormal return after limit closes into an overnight gap and an intraday return. We compare limit closes with stocks that rose or fell almost as far, and we test the limit effect together with a broad set of price- and volume-based characteristics under false discovery rate control. The limit tests survive this control, whereas none of the characteristics does. After a ceiling close, the stock opens on average 2.2% above the market, and the following session gives back about 24% of this gap. The gap is 2.7 percentage points larger than after rises that stop short of the limit, and the difference remains when those stocks also closed at their daily high. An investor who buys at the next opening cannot capture the effect and loses 0.7% against the market by the fifth close. Floor closes are followed by a negative gap whose size depends on the benchmark. The ceiling gap appears in every calendar quarter and before the exchange changed its trading platform in 2025. The pattern is consistent with delayed price discovery, but news, investor attention, and auction overshooting may also contribute, and data on news and order books are needed to separate them. For market design, the results suggest that the opening auction absorbs much of the price adjustment that the 7% band postpones.</w:t>
                            </w:r>
                          </w:p>
                          <w:p w14:paraId="106004E8" w14:textId="77777777" w:rsidR="005705D6" w:rsidRPr="0078120D" w:rsidRDefault="005705D6" w:rsidP="00C85EFE">
                            <w:pPr>
                              <w:spacing w:after="0" w:line="240" w:lineRule="auto"/>
                              <w:jc w:val="both"/>
                              <w:rPr>
                                <w:rFonts w:asciiTheme="minorHAnsi" w:eastAsia="Times New Roman" w:hAnsiTheme="minorHAnsi" w:cstheme="minorHAnsi"/>
                                <w:sz w:val="8"/>
                                <w:szCs w:val="8"/>
                                <w:lang w:val="en-US" w:eastAsia="es-MX"/>
                              </w:rPr>
                            </w:pPr>
                          </w:p>
                          <w:p w14:paraId="4EA8DF3E" w14:textId="66CA68A7" w:rsidR="005705D6" w:rsidRPr="007B2E86" w:rsidRDefault="00A633A5" w:rsidP="002504A6">
                            <w:pPr>
                              <w:spacing w:after="0" w:line="240" w:lineRule="auto"/>
                              <w:ind w:right="-28"/>
                              <w:rPr>
                                <w:rFonts w:cstheme="minorHAnsi"/>
                                <w:sz w:val="20"/>
                                <w:szCs w:val="20"/>
                                <w:lang w:val="en-US"/>
                              </w:rPr>
                            </w:pPr>
                            <w:r>
                              <w:rPr>
                                <w:rFonts w:asciiTheme="minorHAnsi" w:hAnsiTheme="minorHAnsi" w:cstheme="minorHAnsi"/>
                                <w:b/>
                                <w:iCs/>
                                <w:color w:val="000000" w:themeColor="text1"/>
                                <w:sz w:val="20"/>
                                <w:szCs w:val="20"/>
                                <w:lang w:val="en-US"/>
                              </w:rPr>
                              <w:t>Keywords</w:t>
                            </w:r>
                            <w:r>
                              <w:rPr>
                                <w:rFonts w:asciiTheme="minorHAnsi" w:hAnsiTheme="minorHAnsi" w:cstheme="minorHAnsi"/>
                                <w:b/>
                                <w:iCs/>
                                <w:color w:val="000000" w:themeColor="text1"/>
                                <w:sz w:val="20"/>
                                <w:szCs w:val="20"/>
                                <w:lang w:val="hr-HR"/>
                              </w:rPr>
                              <w:t>:</w:t>
                            </w:r>
                            <w:r>
                              <w:rPr>
                                <w:rFonts w:asciiTheme="minorHAnsi" w:hAnsiTheme="minorHAnsi" w:cstheme="minorHAnsi"/>
                                <w:iCs/>
                                <w:color w:val="000000" w:themeColor="text1"/>
                                <w:sz w:val="20"/>
                                <w:szCs w:val="20"/>
                                <w:lang w:val="hr-HR"/>
                              </w:rPr>
                              <w:t xml:space="preserve"> Market microstructure, Multiple testing, False discovery rate, Call auction, Emerging markets, Ho Chi Minh Stock Exchange.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08016" id="_x0000_t202" coordsize="21600,21600" o:spt="202" path="m,l,21600r21600,l21600,xe">
                <v:stroke joinstyle="miter"/>
                <v:path gradientshapeok="t" o:connecttype="rect"/>
              </v:shapetype>
              <v:shape id="Caixa de texto 23" o:spid="_x0000_s1026" type="#_x0000_t202" style="position:absolute;margin-left:0;margin-top:3.55pt;width:510pt;height:262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sxWdmwIAAM4FAAAOAAAAZHJzL2Uyb0RvYy54bWysVFtv0zAUfkfiP1h+Z0kvuxAtncrGENLY Jja0Z9exWwvHx9huk/LrOXaSthvwMMRLcnzu5zuX84u21mQjnFdgSjo6yikRhkOlzLKk3x6v351R 4gMzFdNgREm3wtOL2ds3540txBhWoCvhCDoxvmhsSVch2CLLPF+JmvkjsMKgUIKrWcCnW2aVYw16 r3U2zvOTrAFXWQdceI/cq05IZ8m/lIKHOym9CESXFHML6evSdxG/2eycFUvH7ErxPg32D1nUTBkM unN1xQIja6d+c1Ur7sCDDEcc6gykVFykGrCaUf6imocVsyLVguB4u4PJ/z+3/HbzYO8dCe0HaLGB EZDG+sIjM9bTSlfHP2ZKUI4QbnewiTYQjsyT6elpnqOIo2w8mkxO8IF+sr25dT58ElCTSJTUYV8S XGxz40OnOqjEaB60qq6V1ukRZ0Fcakc2DLvIOBcmjJO5XtdfoOr4OA1dWFYgG7vesc8GNmaTpip6 Srk9C6INabCSyXGeHD+Tebdc7MKfTUbH+ce+vAM1dK9NTFekqevL2kOZqLDVIupo81VIoqqE6F9r TM1IflE7aklE5DWGvf4+q9cYd3UMkcGEnXGtDLgOpuetqb4PKctOH3E+qDuSoV20/YgtoNri5Dno ltJbfq1wOm6YD/fM4RbiROFlCXf4kRqwPdBTlKzA/fwTP+rjcqCUkga3uqT+x5o5QYn+bHBt3o+m 03gG0mN6fDrGhzuULA4lZl1fAo7cCG+Y5YmM+kEPpHRQP+EBmseoKGKGY+yShoG8DN2twQPGxXye lHDxLQs35sHy6Dp2J87+Y/vEnO0XJOBu3cKw/6x4sSedbrQ0MF8HkCotUQS4Q7UHHo9GGvX+wMWr dPhOWvszPPsFAAD//wMAUEsDBBQABgAIAAAAIQDWYp9Z3wAAAAwBAAAPAAAAZHJzL2Rvd25yZXYu eG1sTI/bSsNAEIbvBd9hGcE7u0lbbEkzKVHxShCtPsA2OznY7GzIbtv49p1e6c3A8PMfvnw7uV6d aAydZ4R0loAirrztuEH4/np9WIMK0bA1vWdC+KUA2+L2JjeZ9Wf+pNMuNkpCOGQGoY1xyLQOVUvO hJkfiEWr/ehMlHdstB3NWcJdr+dJ8qid6VgaWjPQc0vVYXd0CD+trXV4eivL6n2ecr368OtDiXh/ N71s5JQbUJGm+OeAK4Psh0KG7f2RbVA9gtBEhFUK6iom0ghqj7BYLlLQRa7/QxQXAAAA//8DAFBL AQItABQABgAIAAAAIQC2gziS/gAAAOEBAAATAAAAAAAAAAAAAAAAAAAAAABbQ29udGVudF9UeXBl c10ueG1sUEsBAi0AFAAGAAgAAAAhADj9If/WAAAAlAEAAAsAAAAAAAAAAAAAAAAALwEAAF9yZWxz Ly5yZWxzUEsBAi0AFAAGAAgAAAAhAMizFZ2bAgAAzgUAAA4AAAAAAAAAAAAAAAAALgIAAGRycy9l Mm9Eb2MueG1sUEsBAi0AFAAGAAgAAAAhANZin1nfAAAADAEAAA8AAAAAAAAAAAAAAAAA9QQAAGRy cy9kb3ducmV2LnhtbFBLBQYAAAAABAAEAPMAAAABBgAAAAA= " fillcolor="#f2dbdb [661]" strokecolor="#83150e" strokeweight=".5pt">
                <v:textbox>
                  <w:txbxContent>
                    <w:p w14:paraId="6F763DD0" w14:textId="262E42C9" w:rsidR="007010C3" w:rsidRDefault="00A633A5" w:rsidP="001A2274">
                      <w:pPr>
                        <w:spacing w:after="0" w:line="240" w:lineRule="auto"/>
                        <w:ind w:right="-46"/>
                        <w:jc w:val="both"/>
                        <w:rPr>
                          <w:rFonts w:asciiTheme="minorHAnsi" w:hAnsiTheme="minorHAnsi" w:cstheme="minorHAnsi"/>
                          <w:color w:val="000000" w:themeColor="text1"/>
                          <w:sz w:val="20"/>
                          <w:szCs w:val="20"/>
                          <w:lang w:val="en-US"/>
                        </w:rPr>
                      </w:pPr>
                      <w:r>
                        <w:rPr>
                          <w:rFonts w:asciiTheme="minorHAnsi" w:hAnsiTheme="minorHAnsi" w:cstheme="minorHAnsi"/>
                          <w:b/>
                          <w:color w:val="000000" w:themeColor="text1"/>
                          <w:sz w:val="20"/>
                          <w:szCs w:val="20"/>
                          <w:lang w:val="en-US"/>
                        </w:rPr>
                        <w:t>Abstract</w:t>
                      </w:r>
                      <w:r>
                        <w:rPr>
                          <w:rFonts w:asciiTheme="minorHAnsi" w:hAnsiTheme="minorHAnsi" w:cstheme="minorHAnsi"/>
                          <w:color w:val="000000" w:themeColor="text1"/>
                          <w:sz w:val="20"/>
                          <w:szCs w:val="20"/>
                          <w:lang w:val="en-US"/>
                        </w:rPr>
                        <w:t xml:space="preserve"> Daily price limits are meant to cool markets, but they may also delay price discovery. We examine what happens after a stock closes at its daily limit on the Ho Chi Minh Stock Exchange, a market dominated by individual investors that applies one 7% band and sets opening and closing prices by call auction. Using daily prices for 347 stocks from August 2024 to September 2026, we split the next-day abnormal return after limit closes into an overnight gap and an intraday return. We compare limit closes with stocks that rose or fell almost as far, and we test the limit effect together with a broad set of price- and volume-based characteristics under false discovery rate control. The limit tests survive this control, whereas none of the characteristics does. After a ceiling close, the stock opens on average 2.2% above the market, and the following session gives back about 24% of this gap. The gap is 2.7 percentage points larger than after rises that stop short of the limit, and the difference remains when those stocks also closed at their daily high. An investor who buys at the next opening cannot capture the effect and loses 0.7% against the market by the fifth close. Floor closes are followed by a negative gap whose size depends on the benchmark. The ceiling gap appears in every calendar quarter and before the exchange changed its trading platform in 2025. The pattern is consistent with delayed price discovery, but news, investor attention, and auction overshooting may also contribute, and data on news and order books are needed to separate them. For market design, the results suggest that the opening auction absorbs much of the price adjustment that the 7% band postpones.</w:t>
                      </w:r>
                    </w:p>
                    <w:p w14:paraId="106004E8" w14:textId="77777777" w:rsidR="005705D6" w:rsidRPr="0078120D" w:rsidRDefault="005705D6" w:rsidP="00C85EFE">
                      <w:pPr>
                        <w:spacing w:after="0" w:line="240" w:lineRule="auto"/>
                        <w:jc w:val="both"/>
                        <w:rPr>
                          <w:rFonts w:asciiTheme="minorHAnsi" w:eastAsia="Times New Roman" w:hAnsiTheme="minorHAnsi" w:cstheme="minorHAnsi"/>
                          <w:sz w:val="8"/>
                          <w:szCs w:val="8"/>
                          <w:lang w:val="en-US" w:eastAsia="es-MX"/>
                        </w:rPr>
                      </w:pPr>
                    </w:p>
                    <w:p w14:paraId="4EA8DF3E" w14:textId="66CA68A7" w:rsidR="005705D6" w:rsidRPr="007B2E86" w:rsidRDefault="00A633A5" w:rsidP="002504A6">
                      <w:pPr>
                        <w:spacing w:after="0" w:line="240" w:lineRule="auto"/>
                        <w:ind w:right="-28"/>
                        <w:rPr>
                          <w:rFonts w:cstheme="minorHAnsi"/>
                          <w:sz w:val="20"/>
                          <w:szCs w:val="20"/>
                          <w:lang w:val="en-US"/>
                        </w:rPr>
                      </w:pPr>
                      <w:r>
                        <w:rPr>
                          <w:rFonts w:asciiTheme="minorHAnsi" w:hAnsiTheme="minorHAnsi" w:cstheme="minorHAnsi"/>
                          <w:b/>
                          <w:iCs/>
                          <w:color w:val="000000" w:themeColor="text1"/>
                          <w:sz w:val="20"/>
                          <w:szCs w:val="20"/>
                          <w:lang w:val="en-US"/>
                        </w:rPr>
                        <w:t>Keywords</w:t>
                      </w:r>
                      <w:r>
                        <w:rPr>
                          <w:rFonts w:asciiTheme="minorHAnsi" w:hAnsiTheme="minorHAnsi" w:cstheme="minorHAnsi"/>
                          <w:b/>
                          <w:iCs/>
                          <w:color w:val="000000" w:themeColor="text1"/>
                          <w:sz w:val="20"/>
                          <w:szCs w:val="20"/>
                          <w:lang w:val="hr-HR"/>
                        </w:rPr>
                        <w:t>:</w:t>
                      </w:r>
                      <w:r>
                        <w:rPr>
                          <w:rFonts w:asciiTheme="minorHAnsi" w:hAnsiTheme="minorHAnsi" w:cstheme="minorHAnsi"/>
                          <w:iCs/>
                          <w:color w:val="000000" w:themeColor="text1"/>
                          <w:sz w:val="20"/>
                          <w:szCs w:val="20"/>
                          <w:lang w:val="hr-HR"/>
                        </w:rPr>
                        <w:t xml:space="preserve"> Market microstructure, Multiple testing, False discovery rate, Call auction, Emerging markets, Ho Chi Minh Stock Exchange.</w:t>
                      </w:r>
                    </w:p>
                  </w:txbxContent>
                </v:textbox>
                <w10:wrap type="topAndBottom" anchorx="margin"/>
              </v:shape>
            </w:pict>
          </mc:Fallback>
        </mc:AlternateConten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1. Introduction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 daily price limit prevents stocks from moving beyond a fixed band within a single trading day. Exchanges in Tokyo, Taipei, Seoul, Shenzhen, and Ho Chi Minh City have used limits to cool markets after large shocks, and economists ask whether a limit protects prices or postpones adjustment. The question is sharpest where limit closes are common and call auctions set opening and closing prices. The Ho Chi Minh Stock Exchange (HOSE) has both features: one 7% band applies to all stocks, and about 2.0% of stock-days in our event window close at the upper limit (a ceiling close; Section 2.2) and about 1.4% at the lower limit (a floor close).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Studies on band changes have documented effects on volatility, liquidity, and crash risk (Jia et al., 2024; Lien et al., 2019; Qi, 2023), and account-level data have shown that large investors buy on the limit day and sell on the next (Chen et al., 2019). For Vietnam, Le (2018) evaluated how narrower bands after 2008 affected stock price risk, and Farber et al. (2006) documented clusters and sequences of limit hits in the early years of the market. Huang et al. (2001) reported for Taiwan that the overnight overreaction after limit hits reverses on the following day. Less is known about three questions. How large are the overnight gap and the intraday reversal after a limit close relative to a benchmark? Does the limit effect remain once the many other price-based signals that a researcher could test are taken into account? How does the pattern behave around the 2025 move of the HOSE to a new trading platform?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We estimate the abnormal return after the ceiling and floor close on the HOSE, split it into an overnight gap and an intraday return, and test whether an outside buyer can capture it. We place the four limit tests in a family of 26 tests with 22 price- and volume-based characteristics and control the false discovery rate (FDR; Benjamini &amp; Hochberg, 1995; Harvey et al., 2016).</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This study makes three contributions. First, we measure the overnight gap and the intraday return after limit closes, a pattern that Huang et al. (2001) describe qualitatively for Taiwan, and show that the ceiling effect is a gap of 2.2%, of which the following session reverses 24%. Second, we show that the ceiling gap is 2.7 percentage points larger than after rises of 5% to 6.5% that stop short of the limit, and that the contrast survives when the comparison stocks also close at their daily high. Third, we show that all four limit tests survive a multiplicity-controlled family in which no characteristic survives and that a buyer at the next open loses 0.7% against the market by the fifth close. We also split the events at the 2025 platform change.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1.1. Related literature and hypotheses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Theory.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Models predict protection or distortion depending on the source of the shock. Brennan (1986) rationalized limits in futures markets, Kodres and O’Brien (1994) showed that well-chosen limits can be Pareto superior when fundamental news drives prices because they partly insure traders against implementation risk, and Greenwald and Stein (1991) linked crashes to imperfect transactional mechanisms. Subrahmanyam (1994) showed that halts can advance trades in time and raise price variability. In the model of Chen et al. (2024), volatility rises as the price nears a circuit breaker, a magnet effect. A limit that only delays adjustment leaves a predictable next-day continuation, which the return after a limit close can reveal.</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Classic evidence.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Kim and Rhee (1997) found support in Tokyo for three criticisms of limits: they spill volatility into later days, delay price discovery, and interfere with trading. Bildik and Gülay (2006) found the same result in Istanbul, with stronger evidence from price locks than from limit moves alone. Chen (1993) found that serial correlation decreases as the Taiwanese limit widens, which implies delayed adjustment under the narrower limit. Berkman and Lee (2002) examined volatility and trading activity around the revision of the Korean limit system. Huang et al. (2001) reported for Taiwan that the overnight overreaction after limit hits reverses the following day, the timing pattern we test. Cho et al. (2003) found a magnet effect: prices accelerate toward the upper limit in five-minute Taiwanese datasets. Kim and Limpaphayom (2000) showed that small, volatile, and high-volume stocks hit limits more often, whereas Deb et al. (2013) argued that rigid limits in Tokyo can disrupt price discovery and liquidity provision.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Band changes and investor-level data.</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After ChiNext widened its band from 10% to 20% in August 2020, Qi (2023) confirmed delayed price discovery, volatility spillover, and trading interference, stronger at the lower limit and with no magnet effect. Zhang et al. (2022) found higher liquidity, volatility, and probability of informed trading, and Jia et al. (2024) found lower crash risk. Wider bands raised spreads and intraday volatility but improved execution quality in Taiwan (Lien et al., 2019) and raised intraday realized variance in Korea (Kim &amp; Jun, 2019). In Shenzhen account data, large investors buy on the day a stock hits the 10% upper limit and sell the next day, and their limit-day net buying predicts a stronger long-run reversal (Chen et al., 2019). Stocks with large limit exposures attract attention and earn lower future returns, especially where retail investors hold many shares (Lin et al., 2023), and stocks with frequent upper-limit hits also earn lower future returns (Zeng et al., 2024). Liang and Hu (2025) forecast limit hits; the record we could access reports no returns after the hit.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Overnight and intraday returns.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Kelly and Clark (2011) showed that overnight and intraday returns differ for index funds. In U.S. stocks, positive overnight returns are followed by intraday reversals, concentrated among stocks with recent retail attention (Berkman et al., 2012). Aboody et al. (2018) tied overnight persistence to sentiment, Lou et al. (2019) found overnight and intraday continuation with an offsetting cross-period reversal, Akbas et al. (2022) found that persistent positive-overnight and negative-daytime patterns predict higher returns, Bogousslavsky (2021) linked the split to margin and lending costs, and Lu et al. (2023) linked it to market makers who absorb retail imbalances near the open. In China, overnight returns are negative on average, which Qiao and Dam (2020) linked to the T+1 rule that bars selling shares on the day of purchase; the lottery-like anomaly arises mainly overnight (Gu et al., 2025); day-night anomalies concentrate at the open and close (Qiu et al., 2025); and small retail investors show weak stock selection (Jones et al., 2025).</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Multiple testing and weekly regressions.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Harvey et al. (2016) argued that a new factor needs a</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-statistic above 3.0, and Harvey and Liu (2020) tied the hurdle to a chosen FDR. Chordia et al. (2020) put multiple-testing thresholds for cross-sectional regressions near 3.4, and Hou et al. (2020) found that with microcaps mitigated, 65% of 452 anomalies fail the single-test hurdle of 1.96. Petersen (2009) compared standard-error estimators for panel data, which motivates our alternative clusters, and Gutierrez and Kelley (2008) studied weekly returns, the frequency of our regressions. For Vietnam, Huang et al. (2023) found a size effect and an earnings-to-price effect.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Gap and hypotheses.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These studies compared band regimes, sorted stocks by limit exposure, or split overnight and intraday returns for all stocks. Huang et al. (2001) linked limit hits to the overnight-intraday timing in Taiwan. The present study measures this split against benchmarks on the HOSE, places the limit tests in a family that controls for multiple testing, and uses the 2025 platform change. If a limit delays price discovery, a ceiling close predicts a positive next-day abnormal return, and a floor close predicts a negative one (H</w:t>
      </w:r>
      <w:r>
        <w:rPr>
          <w:rFonts w:asciiTheme="minorHAnsi" w:eastAsia="Georgia" w:hAnsiTheme="minorHAnsi" w:cstheme="minorHAnsi"/>
          <w:color w:val="000000"/>
          <w:sz w:val="20"/>
          <w:szCs w:val="20"/>
          <w:bdr w:val="nil"/>
          <w:vertAlign w:val="subscript"/>
          <w:lang w:val="hr-HR" w:eastAsia="es-MX"/>
        </w:rPr>
        <w:t xml:space="preserve">1</w:t>
      </w:r>
      <w:r>
        <w:rPr>
          <w:rFonts w:asciiTheme="minorHAnsi" w:eastAsia="Georgia" w:hAnsiTheme="minorHAnsi" w:cstheme="minorHAnsi"/>
          <w:color w:val="000000"/>
          <w:sz w:val="20"/>
          <w:szCs w:val="20"/>
          <w:bdr w:val="nil"/>
          <w:lang w:val="hr-HR" w:eastAsia="es-MX"/>
        </w:rPr>
        <w:t xml:space="preserve">). If the opening auction absorbs blocked demand, the effect concentrates in the overnight gap (H</w:t>
      </w:r>
      <w:r>
        <w:rPr>
          <w:rFonts w:asciiTheme="minorHAnsi" w:eastAsia="Georgia" w:hAnsiTheme="minorHAnsi" w:cstheme="minorHAnsi"/>
          <w:color w:val="000000"/>
          <w:sz w:val="20"/>
          <w:szCs w:val="20"/>
          <w:bdr w:val="nil"/>
          <w:vertAlign w:val="subscript"/>
          <w:lang w:val="hr-HR" w:eastAsia="es-MX"/>
        </w:rPr>
        <w:t xml:space="preserve">2</w:t>
      </w:r>
      <w:r>
        <w:rPr>
          <w:rFonts w:asciiTheme="minorHAnsi" w:eastAsia="Georgia" w:hAnsiTheme="minorHAnsi" w:cstheme="minorHAnsi"/>
          <w:color w:val="000000"/>
          <w:sz w:val="20"/>
          <w:szCs w:val="20"/>
          <w:bdr w:val="nil"/>
          <w:lang w:val="hr-HR" w:eastAsia="es-MX"/>
        </w:rPr>
        <w:t xml:space="preserve">). If the limit itself drives the gap, the gap after a limit close exceeds the gap after moves of a similar size that stop short of the limit (H</w:t>
      </w:r>
      <w:r>
        <w:rPr>
          <w:rFonts w:asciiTheme="minorHAnsi" w:eastAsia="Georgia" w:hAnsiTheme="minorHAnsi" w:cstheme="minorHAnsi"/>
          <w:color w:val="000000"/>
          <w:sz w:val="20"/>
          <w:szCs w:val="20"/>
          <w:bdr w:val="nil"/>
          <w:vertAlign w:val="subscript"/>
          <w:lang w:val="hr-HR" w:eastAsia="es-MX"/>
        </w:rPr>
        <w:t xml:space="preserve">3</w:t>
      </w:r>
      <w:r>
        <w:rPr>
          <w:rFonts w:asciiTheme="minorHAnsi" w:eastAsia="Georgia" w:hAnsiTheme="minorHAnsi" w:cstheme="minorHAnsi"/>
          <w:color w:val="000000"/>
          <w:sz w:val="20"/>
          <w:szCs w:val="20"/>
          <w:bdr w:val="nil"/>
          <w:lang w:val="hr-HR" w:eastAsia="es-MX"/>
        </w:rPr>
        <w:t xml:space="preserve">). If the gap already contains the blocked demand, an investor who buys at the next open cannot earn the continuation; the abnormal return from the next open to the fifth close is then zero or negative (H</w:t>
      </w:r>
      <w:r>
        <w:rPr>
          <w:rFonts w:asciiTheme="minorHAnsi" w:eastAsia="Georgia" w:hAnsiTheme="minorHAnsi" w:cstheme="minorHAnsi"/>
          <w:color w:val="000000"/>
          <w:sz w:val="20"/>
          <w:szCs w:val="20"/>
          <w:bdr w:val="nil"/>
          <w:vertAlign w:val="subscript"/>
          <w:lang w:val="hr-HR" w:eastAsia="es-MX"/>
        </w:rPr>
        <w:t xml:space="preserve">4</w:t>
      </w:r>
      <w:r>
        <w:rPr>
          <w:rFonts w:asciiTheme="minorHAnsi" w:eastAsia="Georgia" w:hAnsiTheme="minorHAnsi" w:cstheme="minorHAnsi"/>
          <w:color w:val="000000"/>
          <w:sz w:val="20"/>
          <w:szCs w:val="20"/>
          <w:bdr w:val="nil"/>
          <w:lang w:val="hr-HR" w:eastAsia="es-MX"/>
        </w:rPr>
        <w:t xml:space="preserve">). A limit effect that survives the screen applied to all 22 characteristics is more credible than a single large estimate.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2. Materials and Methods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2.1. Data and institutional setting</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Data source.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On September 24, 2026, we downloaded daily open, high, low, close, and volume series for all HOSE-listed stocks with the vnstock Python library (version 4.0.4; source Vietcap Securities, VCI). A listing file from the same source and date (743 rows for all instrument types) defines the universe. The retrieval returned 405 HOSE stock files with records through September 23, 2026, and we used the 519 trading days from August 21, 2024. Prices are in thousand dong. The vendor does not document corporate-action adjustment, and the files contain no market capitalization, order book, investor type, or news.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Sample.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We kept the 347 stocks with at least 95% non-missing closes, 178,773 stock-days in all. The daily close-to-close return has a mean of 0.018%, a median of 0.00%, and a standard deviation of 2.10%. Dollar volume (price times shares traded, in dong) is skewed, with a median of 2.6 billion dong per stock-day and a mean of 51.2 billion. The stocks span 18 two-digit Industry Classification Benchmark sectors; the largest holds 15% of them.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Institutional setting.</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 HOSE sets a daily price limit of 7% around the reference price, the previous close on normal trading days (Ho Chi Minh City Securities Corporation [HSC], 2025). On May 5, 2025, the HOSE moved to the trading platform of the Korea Exchange (KRX). The band remained unchanged, but at-the-open and at-the-close orders lost their priority over limit orders in the opening and closing call auctions (HSC, 2025; Viet Nam News, 2025), whose prices define our events and gaps. Treating the band, tick sizes, and reference-price rule as assumptions, we check the band against the data: 1.98% of stock-days fall between +6.5% and +7.1% and 1.30% between −7.1% and −6.5%, against 0.29% between +6.0% and +6.5%, a pile-up consistent with a 7% band.</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2.2. Research design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Returns and events.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For stock</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i</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on trading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C</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O</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H</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and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L</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are the close, open, high, and low prices, and the close-to-close return is</w:t>
      </w:r>
    </w:p>
    <w:tbl>
      <w:tblPr>
        <w:tblW w:type="pct" w:w="5000"/>
        <w:tblBorders>
          <w:top w:val="nil"/>
          <w:left w:val="nil"/>
          <w:bottom w:val="nil"/>
          <w:right w:val="nil"/>
          <w:insideH w:val="nil"/>
          <w:insideV w:val="nil"/>
        </w:tblBorders>
        <w:tblLayout w:type="fixed"/>
      </w:tblPr>
      <w:tblGrid>
        <w:gridCol w:w="9100"/>
        <w:gridCol w:w="1100"/>
      </w:tblGrid>
      <w:tr>
        <w:trPr>
          <w:cantSplit/>
        </w:trPr>
        <w:tc>
          <w:tcPr>
            <w:tcW w:type="dxa" w:w="9100"/>
            <w:vAlign w:val="center"/>
          </w:tcPr>
          <w:p>
            <w:pPr>
              <w:spacing w:before="60" w:after="60"/>
              <w:jc w:val="center"/>
            </w:pPr>
            <m:oMathPara>
              <m:oMathParaPr>
                <m:jc m:val="center"/>
              </m:oMathParaPr>
              <m:oMath>
                <m:sSub>
                  <m:e>
                    <m:r>
                      <m:t>R</m:t>
                    </m:r>
                  </m:e>
                  <m:sub>
                    <m:r>
                      <m:t>i</m:t>
                    </m:r>
                    <m:r>
                      <m:rPr>
                        <m:sty m:val="p"/>
                      </m:rPr>
                      <m:t>,</m:t>
                    </m:r>
                    <m:r>
                      <m:t>d</m:t>
                    </m:r>
                  </m:sub>
                </m:sSub>
                <m:r>
                  <m:rPr>
                    <m:sty m:val="p"/>
                  </m:rPr>
                  <m:t>=</m:t>
                </m:r>
                <m:f>
                  <m:fPr>
                    <m:type m:val="bar"/>
                  </m:fPr>
                  <m:num>
                    <m:sSub>
                      <m:e>
                        <m:r>
                          <m:t>C</m:t>
                        </m:r>
                      </m:e>
                      <m:sub>
                        <m:r>
                          <m:t>i</m:t>
                        </m:r>
                        <m:r>
                          <m:rPr>
                            <m:sty m:val="p"/>
                          </m:rPr>
                          <m:t>,</m:t>
                        </m:r>
                        <m:r>
                          <m:t>d</m:t>
                        </m:r>
                      </m:sub>
                    </m:sSub>
                  </m:num>
                  <m:den>
                    <m:sSub>
                      <m:e>
                        <m:r>
                          <m:t>C</m:t>
                        </m:r>
                      </m:e>
                      <m:sub>
                        <m:r>
                          <m:t>i</m:t>
                        </m:r>
                        <m:r>
                          <m:rPr>
                            <m:sty m:val="p"/>
                          </m:rPr>
                          <m:t>,</m:t>
                        </m:r>
                        <m:r>
                          <m:t>d</m:t>
                        </m:r>
                        <m:r>
                          <m:rPr>
                            <m:sty m:val="p"/>
                          </m:rPr>
                          <m:t>−</m:t>
                        </m:r>
                        <m:r>
                          <m:t>1</m:t>
                        </m:r>
                      </m:sub>
                    </m:sSub>
                  </m:den>
                </m:f>
                <m:r>
                  <m:rPr>
                    <m:sty m:val="p"/>
                  </m:rPr>
                  <m:t>−</m:t>
                </m:r>
                <m:r>
                  <m:t>1</m:t>
                </m:r>
                <m:r>
                  <m:rPr>
                    <m:sty m:val="p"/>
                  </m:rPr>
                  <m:t>.</m:t>
                </m:r>
              </m:oMath>
            </m:oMathPara>
          </w:p>
        </w:tc>
        <w:tc>
          <w:tcPr>
            <w:tcW w:type="dxa" w:w="1100"/>
            <w:vAlign w:val="center"/>
          </w:tcPr>
          <w:p>
            <w:pPr>
              <w:jc w:val="right"/>
            </w:pPr>
            <w:r>
              <w:rPr>
                <w:rFonts w:asciiTheme="minorHAnsi" w:eastAsia="Georgia" w:hAnsiTheme="minorHAnsi" w:cstheme="minorHAnsi"/>
                <w:color w:val="000000"/>
                <w:sz w:val="20"/>
                <w:szCs w:val="20"/>
                <w:bdr w:val="nil"/>
                <w:lang w:val="hr-HR" w:eastAsia="es-MX"/>
              </w:rPr>
              <w:t xml:space="preserve">(1)</w:t>
            </w:r>
          </w:p>
        </w:tc>
      </w:tr>
    </w:tbl>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 ceiling event has a return (Equation (1)) of</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R</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0.065 and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C</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H</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whereas a floor event has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R</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−0.065 and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C</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L</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The event window runs from day 61, when a 60-day volume history exists, to five days before the sample end. The market return weights stocks by dollar volume,</w:t>
      </w:r>
    </w:p>
    <w:tbl>
      <w:tblPr>
        <w:tblW w:type="pct" w:w="5000"/>
        <w:tblBorders>
          <w:top w:val="nil"/>
          <w:left w:val="nil"/>
          <w:bottom w:val="nil"/>
          <w:right w:val="nil"/>
          <w:insideH w:val="nil"/>
          <w:insideV w:val="nil"/>
        </w:tblBorders>
        <w:tblLayout w:type="fixed"/>
      </w:tblPr>
      <w:tblGrid>
        <w:gridCol w:w="9100"/>
        <w:gridCol w:w="1100"/>
      </w:tblGrid>
      <w:tr>
        <w:trPr>
          <w:cantSplit/>
        </w:trPr>
        <w:tc>
          <w:tcPr>
            <w:tcW w:type="dxa" w:w="9100"/>
            <w:vAlign w:val="center"/>
          </w:tcPr>
          <w:p>
            <w:pPr>
              <w:spacing w:before="60" w:after="60"/>
              <w:jc w:val="center"/>
            </w:pPr>
            <m:oMathPara>
              <m:oMathParaPr>
                <m:jc m:val="center"/>
              </m:oMathParaPr>
              <m:oMath>
                <m:sSubSup>
                  <m:e>
                    <m:r>
                      <m:t>R</m:t>
                    </m:r>
                  </m:e>
                  <m:sub>
                    <m:r>
                      <m:t>d</m:t>
                    </m:r>
                  </m:sub>
                  <m:sup>
                    <m:r>
                      <m:rPr>
                        <m:nor/>
                      </m:rPr>
                      <m:t>mkt</m:t>
                    </m:r>
                  </m:sup>
                </m:sSubSup>
                <m:r>
                  <m:rPr>
                    <m:sty m:val="p"/>
                  </m:rPr>
                  <m:t>=</m:t>
                </m:r>
                <m:nary>
                  <m:naryPr>
                    <m:chr m:val="∑"/>
                    <m:limLoc m:val="undOvr"/>
                    <m:subHide m:val="off"/>
                    <m:supHide m:val="on"/>
                  </m:naryPr>
                  <m:sub>
                    <m:r>
                      <m:t>j</m:t>
                    </m:r>
                  </m:sub>
                  <m:sup>
                    <m:r>
                      <m:t>​</m:t>
                    </m:r>
                  </m:sup>
                  <m:e>
                    <m:sSub>
                      <m:e>
                        <m:r>
                          <m:t>w</m:t>
                        </m:r>
                      </m:e>
                      <m:sub>
                        <m:r>
                          <m:t>j</m:t>
                        </m:r>
                        <m:r>
                          <m:rPr>
                            <m:sty m:val="p"/>
                          </m:rPr>
                          <m:t>,</m:t>
                        </m:r>
                        <m:r>
                          <m:t>d</m:t>
                        </m:r>
                      </m:sub>
                    </m:sSub>
                  </m:e>
                </m:nary>
                <m:r>
                  <m:t> </m:t>
                </m:r>
                <m:sSub>
                  <m:e>
                    <m:r>
                      <m:t>R</m:t>
                    </m:r>
                  </m:e>
                  <m:sub>
                    <m:r>
                      <m:t>j</m:t>
                    </m:r>
                    <m:r>
                      <m:rPr>
                        <m:sty m:val="p"/>
                      </m:rPr>
                      <m:t>,</m:t>
                    </m:r>
                    <m:r>
                      <m:t>d</m:t>
                    </m:r>
                  </m:sub>
                </m:sSub>
                <m:r>
                  <m:rPr>
                    <m:sty m:val="p"/>
                  </m:rPr>
                  <m:t>,</m:t>
                </m:r>
                <m:r>
                  <m:t>  </m:t>
                </m:r>
                <m:sSub>
                  <m:e>
                    <m:r>
                      <m:t>w</m:t>
                    </m:r>
                  </m:e>
                  <m:sub>
                    <m:r>
                      <m:t>j</m:t>
                    </m:r>
                    <m:r>
                      <m:rPr>
                        <m:sty m:val="p"/>
                      </m:rPr>
                      <m:t>,</m:t>
                    </m:r>
                    <m:r>
                      <m:t>d</m:t>
                    </m:r>
                  </m:sub>
                </m:sSub>
                <m:r>
                  <m:rPr>
                    <m:sty m:val="p"/>
                  </m:rPr>
                  <m:t>=</m:t>
                </m:r>
                <m:f>
                  <m:fPr>
                    <m:type m:val="bar"/>
                  </m:fPr>
                  <m:num>
                    <m:sSub>
                      <m:e>
                        <m:bar>
                          <m:barPr>
                            <m:pos m:val="top"/>
                          </m:barPr>
                          <m:e>
                            <m:r>
                              <m:t>V</m:t>
                            </m:r>
                          </m:e>
                        </m:bar>
                      </m:e>
                      <m:sub>
                        <m:r>
                          <m:t>j</m:t>
                        </m:r>
                        <m:r>
                          <m:rPr>
                            <m:sty m:val="p"/>
                          </m:rPr>
                          <m:t>,</m:t>
                        </m:r>
                        <m:r>
                          <m:t>d</m:t>
                        </m:r>
                      </m:sub>
                    </m:sSub>
                  </m:num>
                  <m:den>
                    <m:nary>
                      <m:naryPr>
                        <m:chr m:val="∑"/>
                        <m:limLoc m:val="undOvr"/>
                        <m:subHide m:val="off"/>
                        <m:supHide m:val="on"/>
                      </m:naryPr>
                      <m:sub>
                        <m:r>
                          <m:t>l</m:t>
                        </m:r>
                      </m:sub>
                      <m:sup>
                        <m:r>
                          <m:t>​</m:t>
                        </m:r>
                      </m:sup>
                      <m:e>
                        <m:sSub>
                          <m:e>
                            <m:bar>
                              <m:barPr>
                                <m:pos m:val="top"/>
                              </m:barPr>
                              <m:e>
                                <m:r>
                                  <m:t>V</m:t>
                                </m:r>
                              </m:e>
                            </m:bar>
                          </m:e>
                          <m:sub>
                            <m:r>
                              <m:t>l</m:t>
                            </m:r>
                            <m:r>
                              <m:rPr>
                                <m:sty m:val="p"/>
                              </m:rPr>
                              <m:t>,</m:t>
                            </m:r>
                            <m:r>
                              <m:t>d</m:t>
                            </m:r>
                          </m:sub>
                        </m:sSub>
                      </m:e>
                    </m:nary>
                  </m:den>
                </m:f>
              </m:oMath>
            </m:oMathPara>
          </w:p>
        </w:tc>
        <w:tc>
          <w:tcPr>
            <w:tcW w:type="dxa" w:w="1100"/>
            <w:vAlign w:val="center"/>
          </w:tcPr>
          <w:p>
            <w:pPr>
              <w:jc w:val="right"/>
            </w:pPr>
            <w:r>
              <w:rPr>
                <w:rFonts w:asciiTheme="minorHAnsi" w:eastAsia="Georgia" w:hAnsiTheme="minorHAnsi" w:cstheme="minorHAnsi"/>
                <w:color w:val="000000"/>
                <w:sz w:val="20"/>
                <w:szCs w:val="20"/>
                <w:bdr w:val="nil"/>
                <w:lang w:val="hr-HR" w:eastAsia="es-MX"/>
              </w:rPr>
              <w:t xml:space="preserve">(2)</w:t>
            </w:r>
          </w:p>
        </w:tc>
      </w:tr>
    </w:tbl>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where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j</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l</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run over stocks with a 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return and a full 60-day history, and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V̄</w:t>
      </w:r>
      <w:r>
        <w:rPr>
          <w:rFonts w:asciiTheme="minorHAnsi" w:eastAsia="Georgia" w:hAnsiTheme="minorHAnsi" w:cstheme="minorHAnsi"/>
          <w:i/>
          <w:color w:val="000000"/>
          <w:sz w:val="20"/>
          <w:szCs w:val="20"/>
          <w:bdr w:val="nil"/>
          <w:vertAlign w:val="subscript"/>
          <w:lang w:val="hr-HR" w:eastAsia="es-MX"/>
        </w:rPr>
        <w:t xml:space="preserve">j</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the mean dollar volume of stock</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j</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over the 60 trading days through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Exact hits.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 exact hit is an event whose close equals the limit price (within 10</w:t>
      </w:r>
      <w:r>
        <w:rPr>
          <w:rFonts w:asciiTheme="minorHAnsi" w:eastAsia="Georgia" w:hAnsiTheme="minorHAnsi" w:cstheme="minorHAnsi"/>
          <w:color w:val="000000"/>
          <w:sz w:val="20"/>
          <w:szCs w:val="20"/>
          <w:bdr w:val="nil"/>
          <w:vertAlign w:val="superscript"/>
          <w:lang w:val="hr-HR" w:eastAsia="es-MX"/>
        </w:rPr>
        <w:t xml:space="preserve">−6</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thousand dong),</w:t>
      </w:r>
    </w:p>
    <w:tbl>
      <w:tblPr>
        <w:tblW w:type="pct" w:w="5000"/>
        <w:tblBorders>
          <w:top w:val="nil"/>
          <w:left w:val="nil"/>
          <w:bottom w:val="nil"/>
          <w:right w:val="nil"/>
          <w:insideH w:val="nil"/>
          <w:insideV w:val="nil"/>
        </w:tblBorders>
        <w:tblLayout w:type="fixed"/>
      </w:tblPr>
      <w:tblGrid>
        <w:gridCol w:w="9100"/>
        <w:gridCol w:w="1100"/>
      </w:tblGrid>
      <w:tr>
        <w:trPr>
          <w:cantSplit/>
        </w:trPr>
        <w:tc>
          <w:tcPr>
            <w:tcW w:type="dxa" w:w="9100"/>
            <w:vAlign w:val="center"/>
          </w:tcPr>
          <w:p>
            <w:pPr>
              <w:spacing w:before="60" w:after="60"/>
              <w:jc w:val="center"/>
            </w:pPr>
            <m:oMathPara>
              <m:oMathParaPr>
                <m:jc m:val="center"/>
              </m:oMathParaPr>
              <m:oMath>
                <m:sSubSup>
                  <m:e>
                    <m:r>
                      <m:t>P</m:t>
                    </m:r>
                  </m:e>
                  <m:sub>
                    <m:r>
                      <m:t>i</m:t>
                    </m:r>
                    <m:r>
                      <m:rPr>
                        <m:sty m:val="p"/>
                      </m:rPr>
                      <m:t>,</m:t>
                    </m:r>
                    <m:r>
                      <m:t>d</m:t>
                    </m:r>
                  </m:sub>
                  <m:sup>
                    <m:r>
                      <m:rPr>
                        <m:nor/>
                      </m:rPr>
                      <m:t>ceiling</m:t>
                    </m:r>
                  </m:sup>
                </m:sSubSup>
                <m:r>
                  <m:rPr>
                    <m:sty m:val="p"/>
                  </m:rPr>
                  <m:t>=</m:t>
                </m:r>
                <m:d>
                  <m:dPr>
                    <m:begChr m:val="⌊"/>
                    <m:sepChr m:val=""/>
                    <m:endChr m:val="⌋"/>
                    <m:grow/>
                  </m:dPr>
                  <m:e>
                    <m:f>
                      <m:fPr>
                        <m:type m:val="bar"/>
                      </m:fPr>
                      <m:num>
                        <m:r>
                          <m:t>1.07</m:t>
                        </m:r>
                        <m:r>
                          <m:t> </m:t>
                        </m:r>
                        <m:sSub>
                          <m:e>
                            <m:r>
                              <m:t>C</m:t>
                            </m:r>
                          </m:e>
                          <m:sub>
                            <m:r>
                              <m:t>i</m:t>
                            </m:r>
                            <m:r>
                              <m:rPr>
                                <m:sty m:val="p"/>
                              </m:rPr>
                              <m:t>,</m:t>
                            </m:r>
                            <m:r>
                              <m:t>d</m:t>
                            </m:r>
                            <m:r>
                              <m:rPr>
                                <m:sty m:val="p"/>
                              </m:rPr>
                              <m:t>−</m:t>
                            </m:r>
                            <m:r>
                              <m:t>1</m:t>
                            </m:r>
                          </m:sub>
                        </m:sSub>
                      </m:num>
                      <m:den>
                        <m:r>
                          <m:t>δ</m:t>
                        </m:r>
                      </m:den>
                    </m:f>
                  </m:e>
                </m:d>
                <m:r>
                  <m:t>δ</m:t>
                </m:r>
                <m:r>
                  <m:rPr>
                    <m:sty m:val="p"/>
                  </m:rPr>
                  <m:t>,</m:t>
                </m:r>
                <m:r>
                  <m:t>  </m:t>
                </m:r>
                <m:sSubSup>
                  <m:e>
                    <m:r>
                      <m:t>P</m:t>
                    </m:r>
                  </m:e>
                  <m:sub>
                    <m:r>
                      <m:t>i</m:t>
                    </m:r>
                    <m:r>
                      <m:rPr>
                        <m:sty m:val="p"/>
                      </m:rPr>
                      <m:t>,</m:t>
                    </m:r>
                    <m:r>
                      <m:t>d</m:t>
                    </m:r>
                  </m:sub>
                  <m:sup>
                    <m:r>
                      <m:rPr>
                        <m:nor/>
                      </m:rPr>
                      <m:t>floor</m:t>
                    </m:r>
                  </m:sup>
                </m:sSubSup>
                <m:r>
                  <m:rPr>
                    <m:sty m:val="p"/>
                  </m:rPr>
                  <m:t>=</m:t>
                </m:r>
                <m:d>
                  <m:dPr>
                    <m:begChr m:val="⌈"/>
                    <m:sepChr m:val=""/>
                    <m:endChr m:val="⌉"/>
                    <m:grow/>
                  </m:dPr>
                  <m:e>
                    <m:f>
                      <m:fPr>
                        <m:type m:val="bar"/>
                      </m:fPr>
                      <m:num>
                        <m:r>
                          <m:t>0.93</m:t>
                        </m:r>
                        <m:r>
                          <m:t> </m:t>
                        </m:r>
                        <m:sSub>
                          <m:e>
                            <m:r>
                              <m:t>C</m:t>
                            </m:r>
                          </m:e>
                          <m:sub>
                            <m:r>
                              <m:t>i</m:t>
                            </m:r>
                            <m:r>
                              <m:rPr>
                                <m:sty m:val="p"/>
                              </m:rPr>
                              <m:t>,</m:t>
                            </m:r>
                            <m:r>
                              <m:t>d</m:t>
                            </m:r>
                            <m:r>
                              <m:rPr>
                                <m:sty m:val="p"/>
                              </m:rPr>
                              <m:t>−</m:t>
                            </m:r>
                            <m:r>
                              <m:t>1</m:t>
                            </m:r>
                          </m:sub>
                        </m:sSub>
                      </m:num>
                      <m:den>
                        <m:r>
                          <m:t>δ</m:t>
                        </m:r>
                      </m:den>
                    </m:f>
                  </m:e>
                </m:d>
                <m:r>
                  <m:t>δ</m:t>
                </m:r>
              </m:oMath>
            </m:oMathPara>
          </w:p>
        </w:tc>
        <w:tc>
          <w:tcPr>
            <w:tcW w:type="dxa" w:w="1100"/>
            <w:vAlign w:val="center"/>
          </w:tcPr>
          <w:p>
            <w:pPr>
              <w:jc w:val="right"/>
            </w:pPr>
            <w:r>
              <w:rPr>
                <w:rFonts w:asciiTheme="minorHAnsi" w:eastAsia="Georgia" w:hAnsiTheme="minorHAnsi" w:cstheme="minorHAnsi"/>
                <w:color w:val="000000"/>
                <w:sz w:val="20"/>
                <w:szCs w:val="20"/>
                <w:bdr w:val="nil"/>
                <w:lang w:val="hr-HR" w:eastAsia="es-MX"/>
              </w:rPr>
              <w:t xml:space="preserve">(3)</w:t>
            </w:r>
          </w:p>
        </w:tc>
      </w:tr>
    </w:tbl>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where ⌊ · ⌋ and ⌈ · ⌉ round down and up (after adding and subtracting 10</w:t>
      </w:r>
      <w:r>
        <w:rPr>
          <w:rFonts w:asciiTheme="minorHAnsi" w:eastAsia="Georgia" w:hAnsiTheme="minorHAnsi" w:cstheme="minorHAnsi"/>
          <w:color w:val="000000"/>
          <w:sz w:val="20"/>
          <w:szCs w:val="20"/>
          <w:bdr w:val="nil"/>
          <w:vertAlign w:val="superscript"/>
          <w:lang w:val="hr-HR" w:eastAsia="es-MX"/>
        </w:rPr>
        <w:t xml:space="preserve">−9</w:t>
      </w:r>
      <w:r>
        <w:rPr>
          <w:rFonts w:asciiTheme="minorHAnsi" w:eastAsia="Georgia" w:hAnsiTheme="minorHAnsi" w:cstheme="minorHAnsi"/>
          <w:color w:val="000000"/>
          <w:sz w:val="20"/>
          <w:szCs w:val="20"/>
          <w:bdr w:val="nil"/>
          <w:lang w:val="hr-HR" w:eastAsia="es-MX"/>
        </w:rPr>
        <w:t xml:space="preserve">, respectively, against floating-point error), and the tick δ is 0.01, 0.05, or 0.10 thousand dong for reference prices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C</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vertAlign w:val="subscript"/>
          <w:lang w:val="hr-HR" w:eastAsia="es-MX"/>
        </w:rPr>
        <w:t xml:space="preserve">−1</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below 10, from 10 to below 50, and from 50 upward. Other events are near hits (see Section 4.1, vendor price adjustment).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Outcomes.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 abnormal return (AR) on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 and the cumulative abnormal return (CAR) over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+ 5 are</w:t>
      </w:r>
    </w:p>
    <w:tbl>
      <w:tblPr>
        <w:tblW w:type="pct" w:w="5000"/>
        <w:tblBorders>
          <w:top w:val="nil"/>
          <w:left w:val="nil"/>
          <w:bottom w:val="nil"/>
          <w:right w:val="nil"/>
          <w:insideH w:val="nil"/>
          <w:insideV w:val="nil"/>
        </w:tblBorders>
        <w:tblLayout w:type="fixed"/>
      </w:tblPr>
      <w:tblGrid>
        <w:gridCol w:w="9100"/>
        <w:gridCol w:w="1100"/>
      </w:tblGrid>
      <w:tr>
        <w:trPr>
          <w:cantSplit/>
        </w:trPr>
        <w:tc>
          <w:tcPr>
            <w:tcW w:type="dxa" w:w="9100"/>
            <w:vAlign w:val="center"/>
          </w:tcPr>
          <w:p>
            <w:pPr>
              <w:spacing w:before="60" w:after="60"/>
              <w:jc w:val="center"/>
            </w:pPr>
            <m:oMathPara>
              <m:oMathParaPr>
                <m:jc m:val="center"/>
              </m:oMathParaPr>
              <m:oMath>
                <m:sSub>
                  <m:e>
                    <m:r>
                      <m:rPr>
                        <m:sty m:val="p"/>
                      </m:rPr>
                      <m:t>A</m:t>
                    </m:r>
                    <m:r>
                      <m:rPr>
                        <m:sty m:val="p"/>
                      </m:rPr>
                      <m:t>R</m:t>
                    </m:r>
                  </m:e>
                  <m:sub>
                    <m:r>
                      <m:t>i</m:t>
                    </m:r>
                    <m:r>
                      <m:rPr>
                        <m:sty m:val="p"/>
                      </m:rPr>
                      <m:t>,</m:t>
                    </m:r>
                    <m:r>
                      <m:t>d</m:t>
                    </m:r>
                  </m:sub>
                </m:sSub>
                <m:r>
                  <m:rPr>
                    <m:sty m:val="p"/>
                  </m:rPr>
                  <m:t>=</m:t>
                </m:r>
                <m:sSub>
                  <m:e>
                    <m:r>
                      <m:t>R</m:t>
                    </m:r>
                  </m:e>
                  <m:sub>
                    <m:r>
                      <m:t>i</m:t>
                    </m:r>
                    <m:r>
                      <m:rPr>
                        <m:sty m:val="p"/>
                      </m:rPr>
                      <m:t>,</m:t>
                    </m:r>
                    <m:r>
                      <m:t>d</m:t>
                    </m:r>
                    <m:r>
                      <m:rPr>
                        <m:sty m:val="p"/>
                      </m:rPr>
                      <m:t>+</m:t>
                    </m:r>
                    <m:r>
                      <m:t>1</m:t>
                    </m:r>
                  </m:sub>
                </m:sSub>
                <m:r>
                  <m:rPr>
                    <m:sty m:val="p"/>
                  </m:rPr>
                  <m:t>−</m:t>
                </m:r>
                <m:sSubSup>
                  <m:e>
                    <m:r>
                      <m:t>R</m:t>
                    </m:r>
                  </m:e>
                  <m:sub>
                    <m:r>
                      <m:t>d</m:t>
                    </m:r>
                    <m:r>
                      <m:rPr>
                        <m:sty m:val="p"/>
                      </m:rPr>
                      <m:t>+</m:t>
                    </m:r>
                    <m:r>
                      <m:t>1</m:t>
                    </m:r>
                  </m:sub>
                  <m:sup>
                    <m:r>
                      <m:rPr>
                        <m:nor/>
                      </m:rPr>
                      <m:t>mkt</m:t>
                    </m:r>
                  </m:sup>
                </m:sSubSup>
                <m:r>
                  <m:rPr>
                    <m:sty m:val="p"/>
                  </m:rPr>
                  <m:t>,</m:t>
                </m:r>
                <m:r>
                  <m:t>  </m:t>
                </m:r>
                <m:sSub>
                  <m:e>
                    <m:r>
                      <m:rPr>
                        <m:sty m:val="p"/>
                      </m:rPr>
                      <m:t>C</m:t>
                    </m:r>
                    <m:r>
                      <m:rPr>
                        <m:sty m:val="p"/>
                      </m:rPr>
                      <m:t>A</m:t>
                    </m:r>
                    <m:r>
                      <m:rPr>
                        <m:sty m:val="p"/>
                      </m:rPr>
                      <m:t>R</m:t>
                    </m:r>
                  </m:e>
                  <m:sub>
                    <m:r>
                      <m:t>i</m:t>
                    </m:r>
                    <m:r>
                      <m:rPr>
                        <m:sty m:val="p"/>
                      </m:rPr>
                      <m:t>,</m:t>
                    </m:r>
                    <m:r>
                      <m:t>d</m:t>
                    </m:r>
                  </m:sub>
                </m:sSub>
                <m:r>
                  <m:rPr>
                    <m:sty m:val="p"/>
                  </m:rPr>
                  <m:t>=</m:t>
                </m:r>
                <m:nary>
                  <m:naryPr>
                    <m:chr m:val="∏"/>
                    <m:limLoc m:val="undOvr"/>
                    <m:subHide m:val="off"/>
                    <m:supHide m:val="off"/>
                  </m:naryPr>
                  <m:sub>
                    <m:r>
                      <m:t>k</m:t>
                    </m:r>
                    <m:r>
                      <m:rPr>
                        <m:sty m:val="p"/>
                      </m:rPr>
                      <m:t>=</m:t>
                    </m:r>
                    <m:r>
                      <m:t>1</m:t>
                    </m:r>
                  </m:sub>
                  <m:sup>
                    <m:r>
                      <m:t>5</m:t>
                    </m:r>
                  </m:sup>
                  <m:e>
                    <m:d>
                      <m:dPr>
                        <m:begChr m:val="("/>
                        <m:sepChr m:val=""/>
                        <m:endChr m:val=")"/>
                        <m:grow/>
                      </m:dPr>
                      <m:e>
                        <m:r>
                          <m:t>1</m:t>
                        </m:r>
                        <m:r>
                          <m:rPr>
                            <m:sty m:val="p"/>
                          </m:rPr>
                          <m:t>+</m:t>
                        </m:r>
                        <m:sSub>
                          <m:e>
                            <m:r>
                              <m:t>R</m:t>
                            </m:r>
                          </m:e>
                          <m:sub>
                            <m:r>
                              <m:t>i</m:t>
                            </m:r>
                            <m:r>
                              <m:rPr>
                                <m:sty m:val="p"/>
                              </m:rPr>
                              <m:t>,</m:t>
                            </m:r>
                            <m:r>
                              <m:t>d</m:t>
                            </m:r>
                            <m:r>
                              <m:rPr>
                                <m:sty m:val="p"/>
                              </m:rPr>
                              <m:t>+</m:t>
                            </m:r>
                            <m:r>
                              <m:t>k</m:t>
                            </m:r>
                          </m:sub>
                        </m:sSub>
                      </m:e>
                    </m:d>
                  </m:e>
                </m:nary>
                <m:r>
                  <m:rPr>
                    <m:sty m:val="p"/>
                  </m:rPr>
                  <m:t>−</m:t>
                </m:r>
                <m:nary>
                  <m:naryPr>
                    <m:chr m:val="∏"/>
                    <m:limLoc m:val="undOvr"/>
                    <m:subHide m:val="off"/>
                    <m:supHide m:val="off"/>
                  </m:naryPr>
                  <m:sub>
                    <m:r>
                      <m:t>k</m:t>
                    </m:r>
                    <m:r>
                      <m:rPr>
                        <m:sty m:val="p"/>
                      </m:rPr>
                      <m:t>=</m:t>
                    </m:r>
                    <m:r>
                      <m:t>1</m:t>
                    </m:r>
                  </m:sub>
                  <m:sup>
                    <m:r>
                      <m:t>5</m:t>
                    </m:r>
                  </m:sup>
                  <m:e>
                    <m:d>
                      <m:dPr>
                        <m:begChr m:val="("/>
                        <m:sepChr m:val=""/>
                        <m:endChr m:val=")"/>
                        <m:grow/>
                      </m:dPr>
                      <m:e>
                        <m:r>
                          <m:t>1</m:t>
                        </m:r>
                        <m:r>
                          <m:rPr>
                            <m:sty m:val="p"/>
                          </m:rPr>
                          <m:t>+</m:t>
                        </m:r>
                        <m:sSubSup>
                          <m:e>
                            <m:r>
                              <m:t>R</m:t>
                            </m:r>
                          </m:e>
                          <m:sub>
                            <m:r>
                              <m:t>d</m:t>
                            </m:r>
                            <m:r>
                              <m:rPr>
                                <m:sty m:val="p"/>
                              </m:rPr>
                              <m:t>+</m:t>
                            </m:r>
                            <m:r>
                              <m:t>k</m:t>
                            </m:r>
                          </m:sub>
                          <m:sup>
                            <m:r>
                              <m:rPr>
                                <m:nor/>
                              </m:rPr>
                              <m:t>mkt</m:t>
                            </m:r>
                          </m:sup>
                        </m:sSubSup>
                      </m:e>
                    </m:d>
                  </m:e>
                </m:nary>
              </m:oMath>
            </m:oMathPara>
          </w:p>
        </w:tc>
        <w:tc>
          <w:tcPr>
            <w:tcW w:type="dxa" w:w="1100"/>
            <w:vAlign w:val="center"/>
          </w:tcPr>
          <w:p>
            <w:pPr>
              <w:jc w:val="right"/>
            </w:pPr>
            <w:r>
              <w:rPr>
                <w:rFonts w:asciiTheme="minorHAnsi" w:eastAsia="Georgia" w:hAnsiTheme="minorHAnsi" w:cstheme="minorHAnsi"/>
                <w:color w:val="000000"/>
                <w:sz w:val="20"/>
                <w:szCs w:val="20"/>
                <w:bdr w:val="nil"/>
                <w:lang w:val="hr-HR" w:eastAsia="es-MX"/>
              </w:rPr>
              <w:t xml:space="preserve">(4)</w:t>
            </w:r>
          </w:p>
        </w:tc>
      </w:tr>
    </w:tbl>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where each</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R</w:t>
      </w:r>
      <w:r>
        <w:rPr>
          <w:rFonts w:asciiTheme="minorHAnsi" w:eastAsia="Georgia" w:hAnsiTheme="minorHAnsi" w:cstheme="minorHAnsi"/>
          <w:color w:val="000000"/>
          <w:sz w:val="20"/>
          <w:szCs w:val="20"/>
          <w:bdr w:val="nil"/>
          <w:vertAlign w:val="superscript"/>
          <w:lang w:val="hr-HR" w:eastAsia="es-MX"/>
        </w:rPr>
        <w:t xml:space="preserve">mkt</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k</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uses weights through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k</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(Table 1). The 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 return splits into the overnight gap and the intraday return,</w:t>
      </w:r>
    </w:p>
    <w:tbl>
      <w:tblPr>
        <w:tblW w:type="pct" w:w="5000"/>
        <w:tblBorders>
          <w:top w:val="nil"/>
          <w:left w:val="nil"/>
          <w:bottom w:val="nil"/>
          <w:right w:val="nil"/>
          <w:insideH w:val="nil"/>
          <w:insideV w:val="nil"/>
        </w:tblBorders>
        <w:tblLayout w:type="fixed"/>
      </w:tblPr>
      <w:tblGrid>
        <w:gridCol w:w="9100"/>
        <w:gridCol w:w="1100"/>
      </w:tblGrid>
      <w:tr>
        <w:trPr>
          <w:cantSplit/>
        </w:trPr>
        <w:tc>
          <w:tcPr>
            <w:tcW w:type="dxa" w:w="9100"/>
            <w:vAlign w:val="center"/>
          </w:tcPr>
          <w:p>
            <w:pPr>
              <w:spacing w:before="60" w:after="60"/>
              <w:jc w:val="center"/>
            </w:pPr>
            <m:oMathPara>
              <m:oMathParaPr>
                <m:jc m:val="center"/>
              </m:oMathParaPr>
              <m:oMath>
                <m:sSub>
                  <m:e>
                    <m:r>
                      <m:rPr>
                        <m:sty m:val="p"/>
                      </m:rPr>
                      <m:t>G</m:t>
                    </m:r>
                    <m:r>
                      <m:rPr>
                        <m:sty m:val="p"/>
                      </m:rPr>
                      <m:t>A</m:t>
                    </m:r>
                    <m:r>
                      <m:rPr>
                        <m:sty m:val="p"/>
                      </m:rPr>
                      <m:t>P</m:t>
                    </m:r>
                  </m:e>
                  <m:sub>
                    <m:r>
                      <m:t>i</m:t>
                    </m:r>
                    <m:r>
                      <m:rPr>
                        <m:sty m:val="p"/>
                      </m:rPr>
                      <m:t>,</m:t>
                    </m:r>
                    <m:r>
                      <m:t>d</m:t>
                    </m:r>
                  </m:sub>
                </m:sSub>
                <m:r>
                  <m:rPr>
                    <m:sty m:val="p"/>
                  </m:rPr>
                  <m:t>=</m:t>
                </m:r>
                <m:f>
                  <m:fPr>
                    <m:type m:val="bar"/>
                  </m:fPr>
                  <m:num>
                    <m:sSub>
                      <m:e>
                        <m:r>
                          <m:t>O</m:t>
                        </m:r>
                      </m:e>
                      <m:sub>
                        <m:r>
                          <m:t>i</m:t>
                        </m:r>
                        <m:r>
                          <m:rPr>
                            <m:sty m:val="p"/>
                          </m:rPr>
                          <m:t>,</m:t>
                        </m:r>
                        <m:r>
                          <m:t>d</m:t>
                        </m:r>
                        <m:r>
                          <m:rPr>
                            <m:sty m:val="p"/>
                          </m:rPr>
                          <m:t>+</m:t>
                        </m:r>
                        <m:r>
                          <m:t>1</m:t>
                        </m:r>
                      </m:sub>
                    </m:sSub>
                  </m:num>
                  <m:den>
                    <m:sSub>
                      <m:e>
                        <m:r>
                          <m:t>C</m:t>
                        </m:r>
                      </m:e>
                      <m:sub>
                        <m:r>
                          <m:t>i</m:t>
                        </m:r>
                        <m:r>
                          <m:rPr>
                            <m:sty m:val="p"/>
                          </m:rPr>
                          <m:t>,</m:t>
                        </m:r>
                        <m:r>
                          <m:t>d</m:t>
                        </m:r>
                      </m:sub>
                    </m:sSub>
                  </m:den>
                </m:f>
                <m:r>
                  <m:rPr>
                    <m:sty m:val="p"/>
                  </m:rPr>
                  <m:t>−</m:t>
                </m:r>
                <m:r>
                  <m:t>1</m:t>
                </m:r>
                <m:r>
                  <m:rPr>
                    <m:sty m:val="p"/>
                  </m:rPr>
                  <m:t>,</m:t>
                </m:r>
                <m:r>
                  <m:t>  </m:t>
                </m:r>
                <m:sSub>
                  <m:e>
                    <m:r>
                      <m:rPr>
                        <m:sty m:val="p"/>
                      </m:rPr>
                      <m:t>I</m:t>
                    </m:r>
                    <m:r>
                      <m:rPr>
                        <m:sty m:val="p"/>
                      </m:rPr>
                      <m:t>N</m:t>
                    </m:r>
                    <m:r>
                      <m:rPr>
                        <m:sty m:val="p"/>
                      </m:rPr>
                      <m:t>T</m:t>
                    </m:r>
                    <m:r>
                      <m:rPr>
                        <m:sty m:val="p"/>
                      </m:rPr>
                      <m:t>R</m:t>
                    </m:r>
                    <m:r>
                      <m:rPr>
                        <m:sty m:val="p"/>
                      </m:rPr>
                      <m:t>A</m:t>
                    </m:r>
                  </m:e>
                  <m:sub>
                    <m:r>
                      <m:t>i</m:t>
                    </m:r>
                    <m:r>
                      <m:rPr>
                        <m:sty m:val="p"/>
                      </m:rPr>
                      <m:t>,</m:t>
                    </m:r>
                    <m:r>
                      <m:t>d</m:t>
                    </m:r>
                  </m:sub>
                </m:sSub>
                <m:r>
                  <m:rPr>
                    <m:sty m:val="p"/>
                  </m:rPr>
                  <m:t>=</m:t>
                </m:r>
                <m:f>
                  <m:fPr>
                    <m:type m:val="bar"/>
                  </m:fPr>
                  <m:num>
                    <m:sSub>
                      <m:e>
                        <m:r>
                          <m:t>C</m:t>
                        </m:r>
                      </m:e>
                      <m:sub>
                        <m:r>
                          <m:t>i</m:t>
                        </m:r>
                        <m:r>
                          <m:rPr>
                            <m:sty m:val="p"/>
                          </m:rPr>
                          <m:t>,</m:t>
                        </m:r>
                        <m:r>
                          <m:t>d</m:t>
                        </m:r>
                        <m:r>
                          <m:rPr>
                            <m:sty m:val="p"/>
                          </m:rPr>
                          <m:t>+</m:t>
                        </m:r>
                        <m:r>
                          <m:t>1</m:t>
                        </m:r>
                      </m:sub>
                    </m:sSub>
                  </m:num>
                  <m:den>
                    <m:sSub>
                      <m:e>
                        <m:r>
                          <m:t>O</m:t>
                        </m:r>
                      </m:e>
                      <m:sub>
                        <m:r>
                          <m:t>i</m:t>
                        </m:r>
                        <m:r>
                          <m:rPr>
                            <m:sty m:val="p"/>
                          </m:rPr>
                          <m:t>,</m:t>
                        </m:r>
                        <m:r>
                          <m:t>d</m:t>
                        </m:r>
                        <m:r>
                          <m:rPr>
                            <m:sty m:val="p"/>
                          </m:rPr>
                          <m:t>+</m:t>
                        </m:r>
                        <m:r>
                          <m:t>1</m:t>
                        </m:r>
                      </m:sub>
                    </m:sSub>
                  </m:den>
                </m:f>
                <m:r>
                  <m:rPr>
                    <m:sty m:val="p"/>
                  </m:rPr>
                  <m:t>−</m:t>
                </m:r>
                <m:r>
                  <m:t>1</m:t>
                </m:r>
                <m:r>
                  <m:rPr>
                    <m:sty m:val="p"/>
                  </m:rPr>
                  <m:t>,</m:t>
                </m:r>
                <m:r>
                  <m:t>  </m:t>
                </m:r>
                <m:r>
                  <m:t>1</m:t>
                </m:r>
                <m:r>
                  <m:rPr>
                    <m:sty m:val="p"/>
                  </m:rPr>
                  <m:t>+</m:t>
                </m:r>
                <m:sSub>
                  <m:e>
                    <m:r>
                      <m:t>R</m:t>
                    </m:r>
                  </m:e>
                  <m:sub>
                    <m:r>
                      <m:t>i</m:t>
                    </m:r>
                    <m:r>
                      <m:rPr>
                        <m:sty m:val="p"/>
                      </m:rPr>
                      <m:t>,</m:t>
                    </m:r>
                    <m:r>
                      <m:t>d</m:t>
                    </m:r>
                    <m:r>
                      <m:rPr>
                        <m:sty m:val="p"/>
                      </m:rPr>
                      <m:t>+</m:t>
                    </m:r>
                    <m:r>
                      <m:t>1</m:t>
                    </m:r>
                  </m:sub>
                </m:sSub>
                <m:r>
                  <m:rPr>
                    <m:sty m:val="p"/>
                  </m:rPr>
                  <m:t>=</m:t>
                </m:r>
                <m:d>
                  <m:dPr>
                    <m:begChr m:val="("/>
                    <m:sepChr m:val=""/>
                    <m:endChr m:val=")"/>
                    <m:grow/>
                  </m:dPr>
                  <m:e>
                    <m:r>
                      <m:t>1</m:t>
                    </m:r>
                    <m:r>
                      <m:rPr>
                        <m:sty m:val="p"/>
                      </m:rPr>
                      <m:t>+</m:t>
                    </m:r>
                    <m:sSub>
                      <m:e>
                        <m:r>
                          <m:rPr>
                            <m:sty m:val="p"/>
                          </m:rPr>
                          <m:t>G</m:t>
                        </m:r>
                        <m:r>
                          <m:rPr>
                            <m:sty m:val="p"/>
                          </m:rPr>
                          <m:t>A</m:t>
                        </m:r>
                        <m:r>
                          <m:rPr>
                            <m:sty m:val="p"/>
                          </m:rPr>
                          <m:t>P</m:t>
                        </m:r>
                      </m:e>
                      <m:sub>
                        <m:r>
                          <m:t>i</m:t>
                        </m:r>
                        <m:r>
                          <m:rPr>
                            <m:sty m:val="p"/>
                          </m:rPr>
                          <m:t>,</m:t>
                        </m:r>
                        <m:r>
                          <m:t>d</m:t>
                        </m:r>
                      </m:sub>
                    </m:sSub>
                  </m:e>
                </m:d>
                <m:d>
                  <m:dPr>
                    <m:begChr m:val="("/>
                    <m:sepChr m:val=""/>
                    <m:endChr m:val=")"/>
                    <m:grow/>
                  </m:dPr>
                  <m:e>
                    <m:r>
                      <m:t>1</m:t>
                    </m:r>
                    <m:r>
                      <m:rPr>
                        <m:sty m:val="p"/>
                      </m:rPr>
                      <m:t>+</m:t>
                    </m:r>
                    <m:sSub>
                      <m:e>
                        <m:r>
                          <m:rPr>
                            <m:sty m:val="p"/>
                          </m:rPr>
                          <m:t>I</m:t>
                        </m:r>
                        <m:r>
                          <m:rPr>
                            <m:sty m:val="p"/>
                          </m:rPr>
                          <m:t>N</m:t>
                        </m:r>
                        <m:r>
                          <m:rPr>
                            <m:sty m:val="p"/>
                          </m:rPr>
                          <m:t>T</m:t>
                        </m:r>
                        <m:r>
                          <m:rPr>
                            <m:sty m:val="p"/>
                          </m:rPr>
                          <m:t>R</m:t>
                        </m:r>
                        <m:r>
                          <m:rPr>
                            <m:sty m:val="p"/>
                          </m:rPr>
                          <m:t>A</m:t>
                        </m:r>
                      </m:e>
                      <m:sub>
                        <m:r>
                          <m:t>i</m:t>
                        </m:r>
                        <m:r>
                          <m:rPr>
                            <m:sty m:val="p"/>
                          </m:rPr>
                          <m:t>,</m:t>
                        </m:r>
                        <m:r>
                          <m:t>d</m:t>
                        </m:r>
                      </m:sub>
                    </m:sSub>
                  </m:e>
                </m:d>
              </m:oMath>
            </m:oMathPara>
          </w:p>
        </w:tc>
        <w:tc>
          <w:tcPr>
            <w:tcW w:type="dxa" w:w="1100"/>
            <w:vAlign w:val="center"/>
          </w:tcPr>
          <w:p>
            <w:pPr>
              <w:jc w:val="right"/>
            </w:pPr>
            <w:r>
              <w:rPr>
                <w:rFonts w:asciiTheme="minorHAnsi" w:eastAsia="Georgia" w:hAnsiTheme="minorHAnsi" w:cstheme="minorHAnsi"/>
                <w:color w:val="000000"/>
                <w:sz w:val="20"/>
                <w:szCs w:val="20"/>
                <w:bdr w:val="nil"/>
                <w:lang w:val="hr-HR" w:eastAsia="es-MX"/>
              </w:rPr>
              <w:t xml:space="preserve">(5)</w:t>
            </w:r>
          </w:p>
        </w:tc>
      </w:tr>
    </w:tbl>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and abnormal values subtract the market counterpart of each component, the same-interval return across stocks weighted by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w</w:t>
      </w:r>
      <w:r>
        <w:rPr>
          <w:rFonts w:asciiTheme="minorHAnsi" w:eastAsia="Georgia" w:hAnsiTheme="minorHAnsi" w:cstheme="minorHAnsi"/>
          <w:i/>
          <w:color w:val="000000"/>
          <w:sz w:val="20"/>
          <w:szCs w:val="20"/>
          <w:bdr w:val="nil"/>
          <w:vertAlign w:val="subscript"/>
          <w:lang w:val="hr-HR" w:eastAsia="es-MX"/>
        </w:rPr>
        <w:t xml:space="preserve">j</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known at the event close. A buyer at the next open earns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C</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vertAlign w:val="subscript"/>
          <w:lang w:val="hr-HR" w:eastAsia="es-MX"/>
        </w:rPr>
        <w:t xml:space="preserve">+5</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i/>
          <w:color w:val="000000"/>
          <w:sz w:val="20"/>
          <w:szCs w:val="20"/>
          <w:bdr w:val="nil"/>
          <w:lang w:val="hr-HR" w:eastAsia="es-MX"/>
        </w:rPr>
        <w:t xml:space="preserve">O</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vertAlign w:val="subscript"/>
          <w:lang w:val="hr-HR" w:eastAsia="es-MX"/>
        </w:rPr>
        <w:t xml:space="preserve">+1</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 less the buy-and-hold market return Σ</w:t>
      </w:r>
      <w:r>
        <w:rPr>
          <w:rFonts w:asciiTheme="minorHAnsi" w:eastAsia="Georgia" w:hAnsiTheme="minorHAnsi" w:cstheme="minorHAnsi"/>
          <w:i/>
          <w:color w:val="000000"/>
          <w:sz w:val="20"/>
          <w:szCs w:val="20"/>
          <w:bdr w:val="nil"/>
          <w:vertAlign w:val="subscript"/>
          <w:lang w:val="hr-HR" w:eastAsia="es-MX"/>
        </w:rPr>
        <w:t xml:space="preserve">j</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w</w:t>
      </w:r>
      <w:r>
        <w:rPr>
          <w:rFonts w:asciiTheme="minorHAnsi" w:eastAsia="Georgia" w:hAnsiTheme="minorHAnsi" w:cstheme="minorHAnsi"/>
          <w:i/>
          <w:color w:val="000000"/>
          <w:sz w:val="20"/>
          <w:szCs w:val="20"/>
          <w:bdr w:val="nil"/>
          <w:vertAlign w:val="subscript"/>
          <w:lang w:val="hr-HR" w:eastAsia="es-MX"/>
        </w:rPr>
        <w:t xml:space="preserve">j</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i/>
          <w:color w:val="000000"/>
          <w:sz w:val="20"/>
          <w:szCs w:val="20"/>
          <w:bdr w:val="nil"/>
          <w:lang w:val="hr-HR" w:eastAsia="es-MX"/>
        </w:rPr>
        <w:t xml:space="preserve">C</w:t>
      </w:r>
      <w:r>
        <w:rPr>
          <w:rFonts w:asciiTheme="minorHAnsi" w:eastAsia="Georgia" w:hAnsiTheme="minorHAnsi" w:cstheme="minorHAnsi"/>
          <w:i/>
          <w:color w:val="000000"/>
          <w:sz w:val="20"/>
          <w:szCs w:val="20"/>
          <w:bdr w:val="nil"/>
          <w:vertAlign w:val="subscript"/>
          <w:lang w:val="hr-HR" w:eastAsia="es-MX"/>
        </w:rPr>
        <w:t xml:space="preserve">j</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vertAlign w:val="subscript"/>
          <w:lang w:val="hr-HR" w:eastAsia="es-MX"/>
        </w:rPr>
        <w:t xml:space="preserve">+5</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i/>
          <w:color w:val="000000"/>
          <w:sz w:val="20"/>
          <w:szCs w:val="20"/>
          <w:bdr w:val="nil"/>
          <w:lang w:val="hr-HR" w:eastAsia="es-MX"/>
        </w:rPr>
        <w:t xml:space="preserve">O</w:t>
      </w:r>
      <w:r>
        <w:rPr>
          <w:rFonts w:asciiTheme="minorHAnsi" w:eastAsia="Georgia" w:hAnsiTheme="minorHAnsi" w:cstheme="minorHAnsi"/>
          <w:i/>
          <w:color w:val="000000"/>
          <w:sz w:val="20"/>
          <w:szCs w:val="20"/>
          <w:bdr w:val="nil"/>
          <w:vertAlign w:val="subscript"/>
          <w:lang w:val="hr-HR" w:eastAsia="es-MX"/>
        </w:rPr>
        <w:t xml:space="preserve">j</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vertAlign w:val="subscript"/>
          <w:lang w:val="hr-HR" w:eastAsia="es-MX"/>
        </w:rPr>
        <w:t xml:space="preserve">+1</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 The control benchmark is the equal-weighted mean same-interval return of control stocks (absolute 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return below 6.5%) in the event stock’s tercile of</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V̄</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on that date; dates with fewer than 30 control stocks have no benchmark.</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Samples.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 event definition uses only returns and the close-at-high (close-at-low) condition, which proportional price adjustment by the vendor leaves unchanged except on ex-dates; the exact-hit split is a diagnostic only (Section 4.1). Event counts differ across exhibits because each outcome requires different data. Table 1 requires returns on all five days after the event (3,187 ceiling and 2,105 floor events). Tables 2 to 4 require the opening and closing prices of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+1 (3,199 and 2,111 events), the open-to-day-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return also requires the 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closing price, and the control benchmark requires at least 30 control stocks on the date (3,100 and 2,047 events). Figure 2 uses event days up to the second-to-last trading day (3,220 ceiling events). No event was dropped for any other reason.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Inference.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For</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N</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events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e</w:t>
      </w:r>
      <w:r>
        <w:rPr>
          <w:rFonts w:asciiTheme="minorHAnsi" w:eastAsia="Georgia" w:hAnsiTheme="minorHAnsi" w:cstheme="minorHAnsi"/>
          <w:color w:val="000000"/>
          <w:sz w:val="20"/>
          <w:szCs w:val="20"/>
          <w:bdr w:val="nil"/>
          <w:lang w:val="hr-HR" w:eastAsia="es-MX"/>
        </w:rPr>
        <w:t xml:space="preserve">, each a stock-day pair, with outcome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y</w:t>
      </w:r>
      <w:r>
        <w:rPr>
          <w:rFonts w:asciiTheme="minorHAnsi" w:eastAsia="Georgia" w:hAnsiTheme="minorHAnsi" w:cstheme="minorHAnsi"/>
          <w:i/>
          <w:color w:val="000000"/>
          <w:sz w:val="20"/>
          <w:szCs w:val="20"/>
          <w:bdr w:val="nil"/>
          <w:vertAlign w:val="subscript"/>
          <w:lang w:val="hr-HR" w:eastAsia="es-MX"/>
        </w:rPr>
        <w:t xml:space="preserve">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and mean</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N</w:t>
      </w:r>
      <w:r>
        <w:rPr>
          <w:rFonts w:asciiTheme="minorHAnsi" w:eastAsia="Georgia" w:hAnsiTheme="minorHAnsi" w:cstheme="minorHAnsi"/>
          <w:color w:val="000000"/>
          <w:sz w:val="20"/>
          <w:szCs w:val="20"/>
          <w:bdr w:val="nil"/>
          <w:vertAlign w:val="superscript"/>
          <w:lang w:val="hr-HR" w:eastAsia="es-MX"/>
        </w:rPr>
        <w:t xml:space="preserve">−1</w:t>
      </w:r>
      <w:r>
        <w:rPr>
          <w:rFonts w:asciiTheme="minorHAnsi" w:eastAsia="Georgia" w:hAnsiTheme="minorHAnsi" w:cstheme="minorHAnsi"/>
          <w:color w:val="000000"/>
          <w:sz w:val="20"/>
          <w:szCs w:val="20"/>
          <w:bdr w:val="nil"/>
          <w:lang w:val="hr-HR" w:eastAsia="es-MX"/>
        </w:rPr>
        <w:t xml:space="preserve">Σ</w:t>
      </w:r>
      <w:r>
        <w:rPr>
          <w:rFonts w:asciiTheme="minorHAnsi" w:eastAsia="Georgia" w:hAnsiTheme="minorHAnsi" w:cstheme="minorHAnsi"/>
          <w:i/>
          <w:color w:val="000000"/>
          <w:sz w:val="20"/>
          <w:szCs w:val="20"/>
          <w:bdr w:val="nil"/>
          <w:vertAlign w:val="subscript"/>
          <w:lang w:val="hr-HR" w:eastAsia="es-MX"/>
        </w:rPr>
        <w:t xml:space="preserve">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y</w:t>
      </w:r>
      <w:r>
        <w:rPr>
          <w:rFonts w:asciiTheme="minorHAnsi" w:eastAsia="Georgia" w:hAnsiTheme="minorHAnsi" w:cstheme="minorHAnsi"/>
          <w:i/>
          <w:color w:val="000000"/>
          <w:sz w:val="20"/>
          <w:szCs w:val="20"/>
          <w:bdr w:val="nil"/>
          <w:vertAlign w:val="subscript"/>
          <w:lang w:val="hr-HR" w:eastAsia="es-MX"/>
        </w:rPr>
        <w:t xml:space="preserve">e</w:t>
      </w:r>
      <w:r>
        <w:rPr>
          <w:rFonts w:asciiTheme="minorHAnsi" w:eastAsia="Georgia" w:hAnsiTheme="minorHAnsi" w:cstheme="minorHAnsi"/>
          <w:color w:val="000000"/>
          <w:sz w:val="20"/>
          <w:szCs w:val="20"/>
          <w:bdr w:val="nil"/>
          <w:lang w:val="hr-HR" w:eastAsia="es-MX"/>
        </w:rPr>
        <w:t xml:space="preserve">, the cluster-robust variance is</w:t>
      </w:r>
    </w:p>
    <w:tbl>
      <w:tblPr>
        <w:tblW w:type="pct" w:w="5000"/>
        <w:tblBorders>
          <w:top w:val="nil"/>
          <w:left w:val="nil"/>
          <w:bottom w:val="nil"/>
          <w:right w:val="nil"/>
          <w:insideH w:val="nil"/>
          <w:insideV w:val="nil"/>
        </w:tblBorders>
        <w:tblLayout w:type="fixed"/>
      </w:tblPr>
      <w:tblGrid>
        <w:gridCol w:w="9100"/>
        <w:gridCol w:w="1100"/>
      </w:tblGrid>
      <w:tr>
        <w:trPr>
          <w:cantSplit/>
        </w:trPr>
        <w:tc>
          <w:tcPr>
            <w:tcW w:type="dxa" w:w="9100"/>
            <w:vAlign w:val="center"/>
          </w:tcPr>
          <w:p>
            <w:pPr>
              <w:spacing w:before="60" w:after="60"/>
              <w:jc w:val="center"/>
            </w:pPr>
            <m:oMathPara>
              <m:oMathParaPr>
                <m:jc m:val="center"/>
              </m:oMathParaPr>
              <m:oMath>
                <m:acc>
                  <m:accPr>
                    <m:chr m:val="̂"/>
                  </m:accPr>
                  <m:e>
                    <m:r>
                      <m:rPr>
                        <m:sty m:val="p"/>
                      </m:rPr>
                      <m:t>Var</m:t>
                    </m:r>
                  </m:e>
                </m:acc>
                <m:d>
                  <m:dPr>
                    <m:begChr m:val="("/>
                    <m:sepChr m:val=""/>
                    <m:endChr m:val=")"/>
                    <m:grow/>
                  </m:dPr>
                  <m:e>
                    <m:bar>
                      <m:barPr>
                        <m:pos m:val="top"/>
                      </m:barPr>
                      <m:e>
                        <m:r>
                          <m:t>y</m:t>
                        </m:r>
                      </m:e>
                    </m:bar>
                  </m:e>
                </m:d>
                <m:r>
                  <m:rPr>
                    <m:sty m:val="p"/>
                  </m:rPr>
                  <m:t>=</m:t>
                </m:r>
                <m:f>
                  <m:fPr>
                    <m:type m:val="bar"/>
                  </m:fPr>
                  <m:num>
                    <m:r>
                      <m:t>1</m:t>
                    </m:r>
                  </m:num>
                  <m:den>
                    <m:sSup>
                      <m:e>
                        <m:r>
                          <m:t>N</m:t>
                        </m:r>
                      </m:e>
                      <m:sup>
                        <m:r>
                          <m:t>2</m:t>
                        </m:r>
                      </m:sup>
                    </m:sSup>
                  </m:den>
                </m:f>
                <m:r>
                  <m:rPr>
                    <m:sty m:val="p"/>
                  </m:rPr>
                  <m:t>⋅</m:t>
                </m:r>
                <m:f>
                  <m:fPr>
                    <m:type m:val="bar"/>
                  </m:fPr>
                  <m:num>
                    <m:r>
                      <m:t>G</m:t>
                    </m:r>
                  </m:num>
                  <m:den>
                    <m:r>
                      <m:t>G</m:t>
                    </m:r>
                    <m:r>
                      <m:rPr>
                        <m:sty m:val="p"/>
                      </m:rPr>
                      <m:t>−</m:t>
                    </m:r>
                    <m:r>
                      <m:t>1</m:t>
                    </m:r>
                  </m:den>
                </m:f>
                <m:nary>
                  <m:naryPr>
                    <m:chr m:val="∑"/>
                    <m:limLoc m:val="undOvr"/>
                    <m:subHide m:val="off"/>
                    <m:supHide m:val="off"/>
                  </m:naryPr>
                  <m:sub>
                    <m:r>
                      <m:t>g</m:t>
                    </m:r>
                    <m:r>
                      <m:rPr>
                        <m:sty m:val="p"/>
                      </m:rPr>
                      <m:t>=</m:t>
                    </m:r>
                    <m:r>
                      <m:t>1</m:t>
                    </m:r>
                  </m:sub>
                  <m:sup>
                    <m:r>
                      <m:t>G</m:t>
                    </m:r>
                  </m:sup>
                  <m:e>
                    <m:sSup>
                      <m:e>
                        <m:d>
                          <m:dPr>
                            <m:begChr m:val="("/>
                            <m:sepChr m:val=""/>
                            <m:endChr m:val=")"/>
                            <m:grow/>
                          </m:dPr>
                          <m:e>
                            <m:nary>
                              <m:naryPr>
                                <m:chr m:val="∑"/>
                                <m:limLoc m:val="undOvr"/>
                                <m:subHide m:val="off"/>
                                <m:supHide m:val="on"/>
                              </m:naryPr>
                              <m:sub>
                                <m:r>
                                  <m:t>e</m:t>
                                </m:r>
                                <m:r>
                                  <m:rPr>
                                    <m:sty m:val="p"/>
                                  </m:rPr>
                                  <m:t>∈</m:t>
                                </m:r>
                                <m:r>
                                  <m:t>g</m:t>
                                </m:r>
                              </m:sub>
                              <m:sup>
                                <m:r>
                                  <m:t>​</m:t>
                                </m:r>
                              </m:sup>
                              <m:e>
                                <m:d>
                                  <m:dPr>
                                    <m:begChr m:val="("/>
                                    <m:sepChr m:val=""/>
                                    <m:endChr m:val=")"/>
                                    <m:grow/>
                                  </m:dPr>
                                  <m:e>
                                    <m:sSub>
                                      <m:e>
                                        <m:r>
                                          <m:t>y</m:t>
                                        </m:r>
                                      </m:e>
                                      <m:sub>
                                        <m:r>
                                          <m:t>e</m:t>
                                        </m:r>
                                      </m:sub>
                                    </m:sSub>
                                    <m:r>
                                      <m:rPr>
                                        <m:sty m:val="p"/>
                                      </m:rPr>
                                      <m:t>−</m:t>
                                    </m:r>
                                    <m:bar>
                                      <m:barPr>
                                        <m:pos m:val="top"/>
                                      </m:barPr>
                                      <m:e>
                                        <m:r>
                                          <m:t>y</m:t>
                                        </m:r>
                                      </m:e>
                                    </m:bar>
                                  </m:e>
                                </m:d>
                              </m:e>
                            </m:nary>
                          </m:e>
                        </m:d>
                      </m:e>
                      <m:sup>
                        <m:r>
                          <m:t>2</m:t>
                        </m:r>
                      </m:sup>
                    </m:sSup>
                  </m:e>
                </m:nary>
              </m:oMath>
            </m:oMathPara>
          </w:p>
        </w:tc>
        <w:tc>
          <w:tcPr>
            <w:tcW w:type="dxa" w:w="1100"/>
            <w:vAlign w:val="center"/>
          </w:tcPr>
          <w:p>
            <w:pPr>
              <w:jc w:val="right"/>
            </w:pPr>
            <w:r>
              <w:rPr>
                <w:rFonts w:asciiTheme="minorHAnsi" w:eastAsia="Georgia" w:hAnsiTheme="minorHAnsi" w:cstheme="minorHAnsi"/>
                <w:color w:val="000000"/>
                <w:sz w:val="20"/>
                <w:szCs w:val="20"/>
                <w:bdr w:val="nil"/>
                <w:lang w:val="hr-HR" w:eastAsia="es-MX"/>
              </w:rPr>
              <w:t xml:space="preserve">(6)</w:t>
            </w:r>
          </w:p>
        </w:tc>
      </w:tr>
    </w:tbl>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where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g</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 …,</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G</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indexes clusters: event dates, calendar weeks (ISO 8601), or blocks of ten consecutive trading days. The family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-values of the four event tests use Equation (6) with event-date clusters, omit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G</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i/>
          <w:color w:val="000000"/>
          <w:sz w:val="20"/>
          <w:szCs w:val="20"/>
          <w:bdr w:val="nil"/>
          <w:lang w:val="hr-HR" w:eastAsia="es-MX"/>
        </w:rPr>
        <w:t xml:space="preserve">G</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 and take a normal reference. Table 1</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-statistics include the factor and use a</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reference with</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G</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 degrees of freedom. The family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-values follow the analysis plan, which fixed the normal reference before any result was computed, so changing them after seeing the results would weaken the multiplicity control. Table 1 adds the small-sample factor and the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reference as a more conservative check. Under these settings, the four event tests still survive a Bonferroni correction in families of up to 683 tests (Section 3), so the choice does not change any conclusion. Two-way clustering by date and stock follows Cameron et al. (2011), without the factor and with the variance bounded below at 10</w:t>
      </w:r>
      <w:r>
        <w:rPr>
          <w:rFonts w:asciiTheme="minorHAnsi" w:eastAsia="Georgia" w:hAnsiTheme="minorHAnsi" w:cstheme="minorHAnsi"/>
          <w:color w:val="000000"/>
          <w:sz w:val="20"/>
          <w:szCs w:val="20"/>
          <w:bdr w:val="nil"/>
          <w:vertAlign w:val="superscript"/>
          <w:lang w:val="hr-HR" w:eastAsia="es-MX"/>
        </w:rPr>
        <w:t xml:space="preserve">−12</w:t>
      </w:r>
      <w:r>
        <w:rPr>
          <w:rFonts w:asciiTheme="minorHAnsi" w:eastAsia="Georgia" w:hAnsiTheme="minorHAnsi" w:cstheme="minorHAnsi"/>
          <w:color w:val="000000"/>
          <w:sz w:val="20"/>
          <w:szCs w:val="20"/>
          <w:bdr w:val="nil"/>
          <w:lang w:val="hr-HR" w:eastAsia="es-MX"/>
        </w:rPr>
        <w:t xml:space="preserve">. Table 3 reports β̂ from</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y</w:t>
      </w:r>
      <w:r>
        <w:rPr>
          <w:rFonts w:asciiTheme="minorHAnsi" w:eastAsia="Georgia" w:hAnsiTheme="minorHAnsi" w:cstheme="minorHAnsi"/>
          <w:i/>
          <w:color w:val="000000"/>
          <w:sz w:val="20"/>
          <w:szCs w:val="20"/>
          <w:bdr w:val="nil"/>
          <w:vertAlign w:val="subscript"/>
          <w:lang w:val="hr-HR" w:eastAsia="es-MX"/>
        </w:rPr>
        <w:t xml:space="preserve">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α + β</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i/>
          <w:color w:val="000000"/>
          <w:sz w:val="20"/>
          <w:szCs w:val="20"/>
          <w:bdr w:val="nil"/>
          <w:vertAlign w:val="subscript"/>
          <w:lang w:val="hr-HR" w:eastAsia="es-MX"/>
        </w:rPr>
        <w:t xml:space="preserve">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u</w:t>
      </w:r>
      <w:r>
        <w:rPr>
          <w:rFonts w:asciiTheme="minorHAnsi" w:eastAsia="Georgia" w:hAnsiTheme="minorHAnsi" w:cstheme="minorHAnsi"/>
          <w:i/>
          <w:color w:val="000000"/>
          <w:sz w:val="20"/>
          <w:szCs w:val="20"/>
          <w:bdr w:val="nil"/>
          <w:vertAlign w:val="subscript"/>
          <w:lang w:val="hr-HR" w:eastAsia="es-MX"/>
        </w:rPr>
        <w:t xml:space="preserve">e</w:t>
      </w:r>
      <w:r>
        <w:rPr>
          <w:rFonts w:asciiTheme="minorHAnsi" w:eastAsia="Georgia" w:hAnsiTheme="minorHAnsi" w:cstheme="minorHAnsi"/>
          <w:color w:val="000000"/>
          <w:sz w:val="20"/>
          <w:szCs w:val="20"/>
          <w:bdr w:val="nil"/>
          <w:lang w:val="hr-HR" w:eastAsia="es-MX"/>
        </w:rPr>
        <w:t xml:space="preserve">, where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i/>
          <w:color w:val="000000"/>
          <w:sz w:val="20"/>
          <w:szCs w:val="20"/>
          <w:bdr w:val="nil"/>
          <w:vertAlign w:val="subscript"/>
          <w:lang w:val="hr-HR" w:eastAsia="es-MX"/>
        </w:rPr>
        <w:t xml:space="preserve">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 for limit closes and 0 for the comparison moves, α is the intercept, and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u</w:t>
      </w:r>
      <w:r>
        <w:rPr>
          <w:rFonts w:asciiTheme="minorHAnsi" w:eastAsia="Georgia" w:hAnsiTheme="minorHAnsi" w:cstheme="minorHAnsi"/>
          <w:i/>
          <w:color w:val="000000"/>
          <w:sz w:val="20"/>
          <w:szCs w:val="20"/>
          <w:bdr w:val="nil"/>
          <w:vertAlign w:val="subscript"/>
          <w:lang w:val="hr-HR" w:eastAsia="es-MX"/>
        </w:rPr>
        <w:t xml:space="preserve">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the error, with date-clustered HC1 standard errors (R package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sandwich</w:t>
      </w:r>
      <w:r>
        <w:rPr>
          <w:rFonts w:asciiTheme="minorHAnsi" w:eastAsia="Georgia" w:hAnsiTheme="minorHAnsi" w:cstheme="minorHAnsi"/>
          <w:color w:val="000000"/>
          <w:sz w:val="20"/>
          <w:szCs w:val="20"/>
          <w:bdr w:val="nil"/>
          <w:lang w:val="hr-HR" w:eastAsia="es-MX"/>
        </w:rPr>
        <w:t xml:space="preserv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Characteristics.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We form cross-sections on trading days 120 (so that every lookback is complete), 125, and so on to 510:</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79 formation weeks τ (five-trading-day periods, not the calendar weeks used for clustering), each followed by a non-overlapping five-day holding period. Each week, we rank-normalize each characteristic</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x</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,τ</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across the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n</w:t>
      </w:r>
      <w:r>
        <w:rPr>
          <w:rFonts w:asciiTheme="minorHAnsi" w:eastAsia="Georgia" w:hAnsiTheme="minorHAnsi" w:cstheme="minorHAnsi"/>
          <w:color w:val="000000"/>
          <w:sz w:val="20"/>
          <w:szCs w:val="20"/>
          <w:bdr w:val="nil"/>
          <w:vertAlign w:val="subscript"/>
          <w:lang w:val="hr-HR" w:eastAsia="es-MX"/>
        </w:rPr>
        <w:t xml:space="preserve">τ</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stocks with complete data (all 115 days of the longest lookback, trades on at least 50 of the last 60 days, and next-five-day returns) as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z</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,τ</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Φ</w:t>
      </w:r>
      <w:r>
        <w:rPr>
          <w:rFonts w:asciiTheme="minorHAnsi" w:eastAsia="Georgia" w:hAnsiTheme="minorHAnsi" w:cstheme="minorHAnsi"/>
          <w:color w:val="000000"/>
          <w:sz w:val="20"/>
          <w:szCs w:val="20"/>
          <w:bdr w:val="nil"/>
          <w:vertAlign w:val="superscript"/>
          <w:lang w:val="hr-HR" w:eastAsia="es-MX"/>
        </w:rPr>
        <w:t xml:space="preserve">−1</w:t>
      </w:r>
      <w:r>
        <w:rPr>
          <w:rFonts w:asciiTheme="minorHAnsi" w:eastAsia="Georgia" w:hAnsiTheme="minorHAnsi" w:cstheme="minorHAnsi"/>
          <w:color w:val="000000"/>
          <w:sz w:val="20"/>
          <w:szCs w:val="20"/>
          <w:bdr w:val="nil"/>
          <w:lang w:val="hr-HR" w:eastAsia="es-MX"/>
        </w:rPr>
        <w:t xml:space="preserve">((rank(</w:t>
      </w:r>
      <w:r>
        <w:rPr>
          <w:rFonts w:asciiTheme="minorHAnsi" w:eastAsia="Georgia" w:hAnsiTheme="minorHAnsi" w:cstheme="minorHAnsi"/>
          <w:i/>
          <w:color w:val="000000"/>
          <w:sz w:val="20"/>
          <w:szCs w:val="20"/>
          <w:bdr w:val="nil"/>
          <w:lang w:val="hr-HR" w:eastAsia="es-MX"/>
        </w:rPr>
        <w:t xml:space="preserve">x</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,τ</w:t>
      </w:r>
      <w:r>
        <w:rPr>
          <w:rFonts w:asciiTheme="minorHAnsi" w:eastAsia="Georgia" w:hAnsiTheme="minorHAnsi" w:cstheme="minorHAnsi"/>
          <w:color w:val="000000"/>
          <w:sz w:val="20"/>
          <w:szCs w:val="20"/>
          <w:bdr w:val="nil"/>
          <w:lang w:val="hr-HR" w:eastAsia="es-MX"/>
        </w:rPr>
        <w:t xml:space="preserve">) − 0.5)/</w:t>
      </w:r>
      <w:r>
        <w:rPr>
          <w:rFonts w:asciiTheme="minorHAnsi" w:eastAsia="Georgia" w:hAnsiTheme="minorHAnsi" w:cstheme="minorHAnsi"/>
          <w:i/>
          <w:color w:val="000000"/>
          <w:sz w:val="20"/>
          <w:szCs w:val="20"/>
          <w:bdr w:val="nil"/>
          <w:lang w:val="hr-HR" w:eastAsia="es-MX"/>
        </w:rPr>
        <w:t xml:space="preserve">n</w:t>
      </w:r>
      <w:r>
        <w:rPr>
          <w:rFonts w:asciiTheme="minorHAnsi" w:eastAsia="Georgia" w:hAnsiTheme="minorHAnsi" w:cstheme="minorHAnsi"/>
          <w:color w:val="000000"/>
          <w:sz w:val="20"/>
          <w:szCs w:val="20"/>
          <w:bdr w:val="nil"/>
          <w:vertAlign w:val="subscript"/>
          <w:lang w:val="hr-HR" w:eastAsia="es-MX"/>
        </w:rPr>
        <w:t xml:space="preserve">τ</w:t>
      </w:r>
      <w:r>
        <w:rPr>
          <w:rFonts w:asciiTheme="minorHAnsi" w:eastAsia="Georgia" w:hAnsiTheme="minorHAnsi" w:cstheme="minorHAnsi"/>
          <w:color w:val="000000"/>
          <w:sz w:val="20"/>
          <w:szCs w:val="20"/>
          <w:bdr w:val="nil"/>
          <w:lang w:val="hr-HR" w:eastAsia="es-MX"/>
        </w:rPr>
        <w:t xml:space="preserve">), with ties at average ranks and Φ</w:t>
      </w:r>
      <w:r>
        <w:rPr>
          <w:rFonts w:asciiTheme="minorHAnsi" w:eastAsia="Georgia" w:hAnsiTheme="minorHAnsi" w:cstheme="minorHAnsi"/>
          <w:color w:val="000000"/>
          <w:sz w:val="20"/>
          <w:szCs w:val="20"/>
          <w:bdr w:val="nil"/>
          <w:vertAlign w:val="superscript"/>
          <w:lang w:val="hr-HR" w:eastAsia="es-MX"/>
        </w:rPr>
        <w:t xml:space="preserve">−1</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 inverse standard normal distribution function. The outcome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y</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,τ</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the stock’s compounded return over the next five trading days minus the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V̄</w:t>
      </w:r>
      <w:r>
        <w:rPr>
          <w:rFonts w:asciiTheme="minorHAnsi" w:eastAsia="Georgia" w:hAnsiTheme="minorHAnsi" w:cstheme="minorHAnsi"/>
          <w:color w:val="000000"/>
          <w:sz w:val="20"/>
          <w:szCs w:val="20"/>
          <w:bdr w:val="nil"/>
          <w:lang w:val="hr-HR" w:eastAsia="es-MX"/>
        </w:rPr>
        <w:t xml:space="preserve">-weighted average five-day return of these stocks. The Fama and MacBeth (1973) regressions are</w:t>
      </w:r>
    </w:p>
    <w:tbl>
      <w:tblPr>
        <w:tblW w:type="pct" w:w="5000"/>
        <w:tblBorders>
          <w:top w:val="nil"/>
          <w:left w:val="nil"/>
          <w:bottom w:val="nil"/>
          <w:right w:val="nil"/>
          <w:insideH w:val="nil"/>
          <w:insideV w:val="nil"/>
        </w:tblBorders>
        <w:tblLayout w:type="fixed"/>
      </w:tblPr>
      <w:tblGrid>
        <w:gridCol w:w="9100"/>
        <w:gridCol w:w="1100"/>
      </w:tblGrid>
      <w:tr>
        <w:trPr>
          <w:cantSplit/>
        </w:trPr>
        <w:tc>
          <w:tcPr>
            <w:tcW w:type="dxa" w:w="9100"/>
            <w:vAlign w:val="center"/>
          </w:tcPr>
          <w:p>
            <w:pPr>
              <w:spacing w:before="60" w:after="60"/>
              <w:jc w:val="center"/>
            </w:pPr>
            <m:oMathPara>
              <m:oMathParaPr>
                <m:jc m:val="center"/>
              </m:oMathParaPr>
              <m:oMath>
                <m:sSub>
                  <m:e>
                    <m:r>
                      <m:t>y</m:t>
                    </m:r>
                  </m:e>
                  <m:sub>
                    <m:r>
                      <m:t>i</m:t>
                    </m:r>
                    <m:r>
                      <m:rPr>
                        <m:sty m:val="p"/>
                      </m:rPr>
                      <m:t>,</m:t>
                    </m:r>
                    <m:r>
                      <m:t>τ</m:t>
                    </m:r>
                  </m:sub>
                </m:sSub>
                <m:r>
                  <m:rPr>
                    <m:sty m:val="p"/>
                  </m:rPr>
                  <m:t>=</m:t>
                </m:r>
                <m:sSub>
                  <m:e>
                    <m:r>
                      <m:t>a</m:t>
                    </m:r>
                  </m:e>
                  <m:sub>
                    <m:r>
                      <m:t>τ</m:t>
                    </m:r>
                  </m:sub>
                </m:sSub>
                <m:r>
                  <m:rPr>
                    <m:sty m:val="p"/>
                  </m:rPr>
                  <m:t>+</m:t>
                </m:r>
                <m:sSub>
                  <m:e>
                    <m:r>
                      <m:t>γ</m:t>
                    </m:r>
                  </m:e>
                  <m:sub>
                    <m:r>
                      <m:t>τ</m:t>
                    </m:r>
                  </m:sub>
                </m:sSub>
                <m:r>
                  <m:t> </m:t>
                </m:r>
                <m:sSub>
                  <m:e>
                    <m:r>
                      <m:t>z</m:t>
                    </m:r>
                  </m:e>
                  <m:sub>
                    <m:r>
                      <m:t>i</m:t>
                    </m:r>
                    <m:r>
                      <m:rPr>
                        <m:sty m:val="p"/>
                      </m:rPr>
                      <m:t>,</m:t>
                    </m:r>
                    <m:r>
                      <m:t>τ</m:t>
                    </m:r>
                  </m:sub>
                </m:sSub>
                <m:r>
                  <m:rPr>
                    <m:sty m:val="p"/>
                  </m:rPr>
                  <m:t>+</m:t>
                </m:r>
                <m:sSub>
                  <m:e>
                    <m:r>
                      <m:t>ε</m:t>
                    </m:r>
                  </m:e>
                  <m:sub>
                    <m:r>
                      <m:t>i</m:t>
                    </m:r>
                    <m:r>
                      <m:rPr>
                        <m:sty m:val="p"/>
                      </m:rPr>
                      <m:t>,</m:t>
                    </m:r>
                    <m:r>
                      <m:t>τ</m:t>
                    </m:r>
                  </m:sub>
                </m:sSub>
                <m:r>
                  <m:rPr>
                    <m:sty m:val="p"/>
                  </m:rPr>
                  <m:t>,</m:t>
                </m:r>
                <m:r>
                  <m:t>  </m:t>
                </m:r>
                <m:acc>
                  <m:accPr>
                    <m:chr m:val="̂"/>
                  </m:accPr>
                  <m:e>
                    <m:r>
                      <m:t>γ</m:t>
                    </m:r>
                  </m:e>
                </m:acc>
                <m:r>
                  <m:rPr>
                    <m:sty m:val="p"/>
                  </m:rPr>
                  <m:t>=</m:t>
                </m:r>
                <m:f>
                  <m:fPr>
                    <m:type m:val="bar"/>
                  </m:fPr>
                  <m:num>
                    <m:r>
                      <m:t>1</m:t>
                    </m:r>
                  </m:num>
                  <m:den>
                    <m:r>
                      <m:t>T</m:t>
                    </m:r>
                  </m:den>
                </m:f>
                <m:nary>
                  <m:naryPr>
                    <m:chr m:val="∑"/>
                    <m:limLoc m:val="undOvr"/>
                    <m:subHide m:val="off"/>
                    <m:supHide m:val="off"/>
                  </m:naryPr>
                  <m:sub>
                    <m:r>
                      <m:t>τ</m:t>
                    </m:r>
                    <m:r>
                      <m:rPr>
                        <m:sty m:val="p"/>
                      </m:rPr>
                      <m:t>=</m:t>
                    </m:r>
                    <m:r>
                      <m:t>1</m:t>
                    </m:r>
                  </m:sub>
                  <m:sup>
                    <m:r>
                      <m:t>T</m:t>
                    </m:r>
                  </m:sup>
                  <m:e>
                    <m:sSub>
                      <m:e>
                        <m:acc>
                          <m:accPr>
                            <m:chr m:val="̂"/>
                          </m:accPr>
                          <m:e>
                            <m:r>
                              <m:t>γ</m:t>
                            </m:r>
                          </m:e>
                        </m:acc>
                      </m:e>
                      <m:sub>
                        <m:r>
                          <m:t>τ</m:t>
                        </m:r>
                      </m:sub>
                    </m:sSub>
                  </m:e>
                </m:nary>
              </m:oMath>
            </m:oMathPara>
          </w:p>
        </w:tc>
        <w:tc>
          <w:tcPr>
            <w:tcW w:type="dxa" w:w="1100"/>
            <w:vAlign w:val="center"/>
          </w:tcPr>
          <w:p>
            <w:pPr>
              <w:jc w:val="right"/>
            </w:pPr>
            <w:r>
              <w:rPr>
                <w:rFonts w:asciiTheme="minorHAnsi" w:eastAsia="Georgia" w:hAnsiTheme="minorHAnsi" w:cstheme="minorHAnsi"/>
                <w:color w:val="000000"/>
                <w:sz w:val="20"/>
                <w:szCs w:val="20"/>
                <w:bdr w:val="nil"/>
                <w:lang w:val="hr-HR" w:eastAsia="es-MX"/>
              </w:rPr>
              <w:t xml:space="preserve">(7)</w:t>
            </w:r>
          </w:p>
        </w:tc>
      </w:tr>
    </w:tbl>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with a weekly intercept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a</w:t>
      </w:r>
      <w:r>
        <w:rPr>
          <w:rFonts w:asciiTheme="minorHAnsi" w:eastAsia="Georgia" w:hAnsiTheme="minorHAnsi" w:cstheme="minorHAnsi"/>
          <w:color w:val="000000"/>
          <w:sz w:val="20"/>
          <w:szCs w:val="20"/>
          <w:bdr w:val="nil"/>
          <w:vertAlign w:val="subscript"/>
          <w:lang w:val="hr-HR" w:eastAsia="es-MX"/>
        </w:rPr>
        <w:t xml:space="preserve">τ</w:t>
      </w:r>
      <w:r>
        <w:rPr>
          <w:rFonts w:asciiTheme="minorHAnsi" w:eastAsia="Georgia" w:hAnsiTheme="minorHAnsi" w:cstheme="minorHAnsi"/>
          <w:color w:val="000000"/>
          <w:sz w:val="20"/>
          <w:szCs w:val="20"/>
          <w:bdr w:val="nil"/>
          <w:lang w:val="hr-HR" w:eastAsia="es-MX"/>
        </w:rPr>
        <w:t xml:space="preserve">, slope γ</w:t>
      </w:r>
      <w:r>
        <w:rPr>
          <w:rFonts w:asciiTheme="minorHAnsi" w:eastAsia="Georgia" w:hAnsiTheme="minorHAnsi" w:cstheme="minorHAnsi"/>
          <w:color w:val="000000"/>
          <w:sz w:val="20"/>
          <w:szCs w:val="20"/>
          <w:bdr w:val="nil"/>
          <w:vertAlign w:val="subscript"/>
          <w:lang w:val="hr-HR" w:eastAsia="es-MX"/>
        </w:rPr>
        <w:t xml:space="preserve">τ</w:t>
      </w:r>
      <w:r>
        <w:rPr>
          <w:rFonts w:asciiTheme="minorHAnsi" w:eastAsia="Georgia" w:hAnsiTheme="minorHAnsi" w:cstheme="minorHAnsi"/>
          <w:color w:val="000000"/>
          <w:sz w:val="20"/>
          <w:szCs w:val="20"/>
          <w:bdr w:val="nil"/>
          <w:lang w:val="hr-HR" w:eastAsia="es-MX"/>
        </w:rPr>
        <w:t xml:space="preserve">, and residual ε</w:t>
      </w:r>
      <w:r>
        <w:rPr>
          <w:rFonts w:asciiTheme="minorHAnsi" w:eastAsia="Georgia" w:hAnsiTheme="minorHAnsi" w:cstheme="minorHAnsi"/>
          <w:i/>
          <w:color w:val="000000"/>
          <w:sz w:val="20"/>
          <w:szCs w:val="20"/>
          <w:bdr w:val="nil"/>
          <w:vertAlign w:val="subscript"/>
          <w:lang w:val="hr-HR" w:eastAsia="es-MX"/>
        </w:rPr>
        <w:t xml:space="preserve">i</w:t>
      </w:r>
      <w:r>
        <w:rPr>
          <w:rFonts w:asciiTheme="minorHAnsi" w:eastAsia="Georgia" w:hAnsiTheme="minorHAnsi" w:cstheme="minorHAnsi"/>
          <w:color w:val="000000"/>
          <w:sz w:val="20"/>
          <w:szCs w:val="20"/>
          <w:bdr w:val="nil"/>
          <w:vertAlign w:val="subscript"/>
          <w:lang w:val="hr-HR" w:eastAsia="es-MX"/>
        </w:rPr>
        <w:t xml:space="preserve">,τ</w:t>
      </w:r>
      <w:r>
        <w:rPr>
          <w:rFonts w:asciiTheme="minorHAnsi" w:eastAsia="Georgia" w:hAnsiTheme="minorHAnsi" w:cstheme="minorHAnsi"/>
          <w:color w:val="000000"/>
          <w:sz w:val="20"/>
          <w:szCs w:val="20"/>
          <w:bdr w:val="nil"/>
          <w:lang w:val="hr-HR" w:eastAsia="es-MX"/>
        </w:rPr>
        <w:t xml:space="preserve">. The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-statistic of γ̂ uses Newey and West’s (1987) standard errors (four lags, Bartlett weights, and no prewhitening) and 78 degrees of freedom. Supplementary Material S1 defines the 22 momentum, reversal, risk, liquidity, volume, and intraday characteristics. We also report long–short spreads between the extreme quintiles before and after a cost of 25 basis points per unit of traded value. The minimum detectable effect (MDE) at 80% power and a 5% two-sided level is MDE = (1.96 + 0.84) ŜE(γ̂) ≈ 2.8 ŜE(γ̂), with ŜE the Newey–West standard error.</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Multiplicity and survival.</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 family has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m</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26 tests: 22 characteristics and the ceiling and floor tests at the two horizons of Equation (4). With</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-values ordered as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vertAlign w:val="subscript"/>
          <w:lang w:val="hr-HR" w:eastAsia="es-MX"/>
        </w:rPr>
        <w:t xml:space="preserve">(1)</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 ≤</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i/>
          <w:color w:val="000000"/>
          <w:sz w:val="20"/>
          <w:szCs w:val="20"/>
          <w:bdr w:val="nil"/>
          <w:vertAlign w:val="subscript"/>
          <w:lang w:val="hr-HR" w:eastAsia="es-MX"/>
        </w:rPr>
        <w:t xml:space="preserve">m</w:t>
      </w:r>
      <w:r>
        <w:rPr>
          <w:rFonts w:asciiTheme="minorHAnsi" w:eastAsia="Georgia" w:hAnsiTheme="minorHAnsi" w:cstheme="minorHAnsi"/>
          <w:color w:val="000000"/>
          <w:sz w:val="20"/>
          <w:szCs w:val="20"/>
          <w:bdr w:val="nil"/>
          <w:vertAlign w:val="subscript"/>
          <w:lang w:val="hr-HR" w:eastAsia="es-MX"/>
        </w:rPr>
        <w:t xml:space="preserve">)</w:t>
      </w:r>
      <w:r>
        <w:rPr>
          <w:rFonts w:asciiTheme="minorHAnsi" w:eastAsia="Georgia" w:hAnsiTheme="minorHAnsi" w:cstheme="minorHAnsi"/>
          <w:color w:val="000000"/>
          <w:sz w:val="20"/>
          <w:szCs w:val="20"/>
          <w:bdr w:val="nil"/>
          <w:lang w:val="hr-HR" w:eastAsia="es-MX"/>
        </w:rPr>
        <w:t xml:space="preserve">, the Benjamini–Hochberg (BH) adjusted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 at rank</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r</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w:t>
      </w:r>
    </w:p>
    <w:tbl>
      <w:tblPr>
        <w:tblW w:type="pct" w:w="5000"/>
        <w:tblBorders>
          <w:top w:val="nil"/>
          <w:left w:val="nil"/>
          <w:bottom w:val="nil"/>
          <w:right w:val="nil"/>
          <w:insideH w:val="nil"/>
          <w:insideV w:val="nil"/>
        </w:tblBorders>
        <w:tblLayout w:type="fixed"/>
      </w:tblPr>
      <w:tblGrid>
        <w:gridCol w:w="9100"/>
        <w:gridCol w:w="1100"/>
      </w:tblGrid>
      <w:tr>
        <w:trPr>
          <w:cantSplit/>
        </w:trPr>
        <w:tc>
          <w:tcPr>
            <w:tcW w:type="dxa" w:w="9100"/>
            <w:vAlign w:val="center"/>
          </w:tcPr>
          <w:p>
            <w:pPr>
              <w:spacing w:before="60" w:after="60"/>
              <w:jc w:val="center"/>
            </w:pPr>
            <m:oMathPara>
              <m:oMathParaPr>
                <m:jc m:val="center"/>
              </m:oMathParaPr>
              <m:oMath>
                <m:sSub>
                  <m:e>
                    <m:acc>
                      <m:accPr>
                        <m:chr m:val="̃"/>
                      </m:accPr>
                      <m:e>
                        <m:r>
                          <m:t>p</m:t>
                        </m:r>
                      </m:e>
                    </m:acc>
                  </m:e>
                  <m:sub>
                    <m:d>
                      <m:dPr>
                        <m:begChr m:val="("/>
                        <m:sepChr m:val=""/>
                        <m:endChr m:val=")"/>
                        <m:grow/>
                      </m:dPr>
                      <m:e>
                        <m:r>
                          <m:t>r</m:t>
                        </m:r>
                      </m:e>
                    </m:d>
                  </m:sub>
                </m:sSub>
                <m:r>
                  <m:rPr>
                    <m:sty m:val="p"/>
                  </m:rPr>
                  <m:t>=</m:t>
                </m:r>
                <m:limLow>
                  <m:e>
                    <m:r>
                      <m:rPr>
                        <m:sty m:val="p"/>
                      </m:rPr>
                      <m:t>min</m:t>
                    </m:r>
                  </m:e>
                  <m:lim>
                    <m:r>
                      <m:t>s</m:t>
                    </m:r>
                    <m:r>
                      <m:rPr>
                        <m:sty m:val="p"/>
                      </m:rPr>
                      <m:t>≥</m:t>
                    </m:r>
                    <m:r>
                      <m:t>r</m:t>
                    </m:r>
                  </m:lim>
                </m:limLow>
                <m:d>
                  <m:dPr>
                    <m:begChr m:val="{"/>
                    <m:sepChr m:val=""/>
                    <m:endChr m:val="}"/>
                    <m:grow/>
                  </m:dPr>
                  <m:e>
                    <m:r>
                      <m:rPr>
                        <m:sty m:val="p"/>
                      </m:rPr>
                      <m:t>min</m:t>
                    </m:r>
                    <m:r>
                      <m:t>​</m:t>
                    </m:r>
                    <m:d>
                      <m:dPr>
                        <m:begChr m:val="("/>
                        <m:sepChr m:val=""/>
                        <m:endChr m:val=")"/>
                        <m:grow/>
                      </m:dPr>
                      <m:e>
                        <m:r>
                          <m:t>1</m:t>
                        </m:r>
                        <m:r>
                          <m:rPr>
                            <m:sty m:val="p"/>
                          </m:rPr>
                          <m:t>,</m:t>
                        </m:r>
                        <m:f>
                          <m:fPr>
                            <m:type m:val="bar"/>
                          </m:fPr>
                          <m:num>
                            <m:r>
                              <m:t>m</m:t>
                            </m:r>
                          </m:num>
                          <m:den>
                            <m:r>
                              <m:t>s</m:t>
                            </m:r>
                          </m:den>
                        </m:f>
                        <m:r>
                          <m:t> </m:t>
                        </m:r>
                        <m:sSub>
                          <m:e>
                            <m:r>
                              <m:t>p</m:t>
                            </m:r>
                          </m:e>
                          <m:sub>
                            <m:d>
                              <m:dPr>
                                <m:begChr m:val="("/>
                                <m:sepChr m:val=""/>
                                <m:endChr m:val=")"/>
                                <m:grow/>
                              </m:dPr>
                              <m:e>
                                <m:r>
                                  <m:t>s</m:t>
                                </m:r>
                              </m:e>
                            </m:d>
                          </m:sub>
                        </m:sSub>
                      </m:e>
                    </m:d>
                  </m:e>
                </m:d>
              </m:oMath>
            </m:oMathPara>
          </w:p>
        </w:tc>
        <w:tc>
          <w:tcPr>
            <w:tcW w:type="dxa" w:w="1100"/>
            <w:vAlign w:val="center"/>
          </w:tcPr>
          <w:p>
            <w:pPr>
              <w:jc w:val="right"/>
            </w:pPr>
            <w:r>
              <w:rPr>
                <w:rFonts w:asciiTheme="minorHAnsi" w:eastAsia="Georgia" w:hAnsiTheme="minorHAnsi" w:cstheme="minorHAnsi"/>
                <w:color w:val="000000"/>
                <w:sz w:val="20"/>
                <w:szCs w:val="20"/>
                <w:bdr w:val="nil"/>
                <w:lang w:val="hr-HR" w:eastAsia="es-MX"/>
              </w:rPr>
              <w:t xml:space="preserve">(8)</w:t>
            </w:r>
          </w:p>
        </w:tc>
      </w:tr>
    </w:tbl>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We also report Holm’s (1979) adjustments and the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 3 hurdle of Harvey et al. (2016). A test survives if</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&lt; 0.05, which controls the FDR at 5%; if its signs agree in the discovery half (the first 39 weeks or events up to the median event date) and the confirmation half; and if its confirmation-half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exceeds 1.96. Lookbacks overlap with the discovery half, so the confirmation half is not a strict hold-out, and the weekly regressions (from day 120) and event window (from day 61) cover different spans. We place the four event tests and the 22 characteristics in one family because the analysis plan treated all 26 as candidate predictors of short-horizon returns examined on the same data, so the limit result pays for every candidate signal in the plan. Section 3 reports the event tests under alternative family definitions.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Analysis plan.</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We fixed the family, estimators, multiplicity control, and survival rule in a written analysis plan before computing the results. A version-control time stamp dates the plan before the first analysis code, but no external registry holds it, and we had examined related data in earlier work, so it gives no independent confirmation. We departed from it by reading its ambiguous second horizon as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+1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(not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+2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splitting event halves at the median event date (not weeks 39 and 40), reporting quintile rather than decile spreads, and omitting its same-stock control and multivariate model. Analyses added after the first results are exploratory, and the tests of H</w:t>
      </w:r>
      <w:r>
        <w:rPr>
          <w:rFonts w:asciiTheme="minorHAnsi" w:eastAsia="Georgia" w:hAnsiTheme="minorHAnsi" w:cstheme="minorHAnsi"/>
          <w:color w:val="000000"/>
          <w:sz w:val="20"/>
          <w:szCs w:val="20"/>
          <w:bdr w:val="nil"/>
          <w:vertAlign w:val="subscript"/>
          <w:lang w:val="hr-HR" w:eastAsia="es-MX"/>
        </w:rPr>
        <w:t xml:space="preserve">2</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to H</w:t>
      </w:r>
      <w:r>
        <w:rPr>
          <w:rFonts w:asciiTheme="minorHAnsi" w:eastAsia="Georgia" w:hAnsiTheme="minorHAnsi" w:cstheme="minorHAnsi"/>
          <w:color w:val="000000"/>
          <w:sz w:val="20"/>
          <w:szCs w:val="20"/>
          <w:bdr w:val="nil"/>
          <w:vertAlign w:val="subscript"/>
          <w:lang w:val="hr-HR" w:eastAsia="es-MX"/>
        </w:rPr>
        <w:t xml:space="preserve">4</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rest on them: decomposition, next-open returns, control group, sub-limit comparison, exact hits, two-way clustering, subsamples, terciles, platform split, and outlier exclusion. We also screened several candidate ideas on the same data before choosing this one, so the effect sizes may be overstated.</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Software and code.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We use R 4.3.3 (packages sandwich 3.1.0, lmtest 0.9.40, and ggplot2 3.4.4). One script reproduces every number, table, and figure; the code, data, and output tables are public (Section 6.5).</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3. Results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event sample contains 3,187 ceiling events on 446 dates and 2,105 floor events on 319 dates. Limit closes cluster in market episodes, so our standard errors allow dependence across dates, weeks, 10-day blocks, and stocks.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Figure 1 plots the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-statistics of the 22 slopes γ̂ in Equation (7): none reaches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 3 in any sample or 1.96 in the full sample, and none survives the BH control. The largest full-sample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is 1.45, for 3-month and idiosyncratic momentum (confirmation-half</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of 1.17 and 1.14). After the 25-basis-point cost, 18 of the 22 long–short quintile spreads are negative. With 79 weekly cross-sections, the MDE at 80% power is 0.12 to 0.31 percentage points per week per standard deviation; therefore, the null excludes only large effects. With eight Newey–West lags, the largest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is 1.79, and dropping the least liquid 20% of stocks leaves it at 1.62.</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Without market capitalization or accounting data, we cannot test the size and earnings-to-price effects that Huang et al. (2023) found in Vietnam; therefore, our null result does not contradict theirs. A short sample, which leaves a premium of a tenth of a percentage point per week below the MDE, and limits that censor the highs and lows of range-based characteristics can each produce the null, and we draw no conclusion about market efficiency.</w:t>
      </w:r>
    </w:p>
    <w:p w14:paraId="0ED581F1" w14:textId="3CA2130A" w:rsidR="00CF7DCB" w:rsidRDefault="007010C3" w:rsidP="007010C3">
      <w:pPr>
        <w:keepNext/>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Table 1 presents the results of the event tests. Ceiling closes earn a market-adjusted return of 1.66% on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+1 and 1.45% over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+1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and floor closes earn −0.71% and −1.76%. All four tests survive the BH control (Equation (8); adjusted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-values of at most 0.0004), maintain their signs in both halves, and exceed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 1.96 in the confirmation half. Clustering by calendar week or 10-day block, with a</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reference, leaves all four significant. The floor five-day test clears the confirmation criterion by the smallest margin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−2.22 with week clusters), and all four tests survive the rule reapplied with week-clustered statistics.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For ceilings, the five-day result comes from the first day: over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+2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the ceiling return is −0.24%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−1.53). After floor closes,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+2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add −1.10%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−2.91), but the confirmation-half week-clustered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−1.14. With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+2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as the second horizon, the ceiling test would fail, and the floor test would fail the confirmation criterion. Ceiling closes carry a one-day effect, whereas floor closes carry a one-day effect plus some later drift. These tests support H</w:t>
      </w:r>
      <w:r>
        <w:rPr>
          <w:rFonts w:asciiTheme="minorHAnsi" w:eastAsia="Georgia" w:hAnsiTheme="minorHAnsi" w:cstheme="minorHAnsi"/>
          <w:color w:val="000000"/>
          <w:sz w:val="20"/>
          <w:szCs w:val="20"/>
          <w:bdr w:val="nil"/>
          <w:vertAlign w:val="subscript"/>
          <w:lang w:val="hr-HR" w:eastAsia="es-MX"/>
        </w:rPr>
        <w:t xml:space="preserve">1</w:t>
      </w:r>
      <w:r>
        <w:rPr>
          <w:rFonts w:asciiTheme="minorHAnsi" w:eastAsia="Georgia" w:hAnsiTheme="minorHAnsi" w:cstheme="minorHAnsi"/>
          <w:color w:val="000000"/>
          <w:sz w:val="20"/>
          <w:szCs w:val="20"/>
          <w:bdr w:val="nil"/>
          <w:lang w:val="hr-HR" w:eastAsia="es-MX"/>
        </w:rPr>
        <w:t xml:space="preserve">: limit closes predict the next day’s abnormal return, whereas none of the 22 characteristics passes the same screen at its weekly horizon.</w:t>
      </w:r>
    </w:p>
    <w:p w14:paraId="0ED581F1" w14:textId="3CA2130A" w:rsidR="00CF7DCB" w:rsidRDefault="007010C3" w:rsidP="007010C3">
      <w:pPr>
        <w:keepNext/>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Table 2 decomposes the next-day return, as in Equation (5). After a ceiling close, the overnight gap is 2.24% (two-way-clustered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9.7) and the intraday return is −0.54%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−3.5): the session reverses about 24% of the gap, and the close-to-close effect is positive because the gap exceeds the giveback. The effect occurs in the opening auction, as H</w:t>
      </w:r>
      <w:r>
        <w:rPr>
          <w:rFonts w:asciiTheme="minorHAnsi" w:eastAsia="Georgia" w:hAnsiTheme="minorHAnsi" w:cstheme="minorHAnsi"/>
          <w:color w:val="000000"/>
          <w:sz w:val="20"/>
          <w:szCs w:val="20"/>
          <w:bdr w:val="nil"/>
          <w:vertAlign w:val="subscript"/>
          <w:lang w:val="hr-HR" w:eastAsia="es-MX"/>
        </w:rPr>
        <w:t xml:space="preserve">2</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predicts. A stock that closes at its ceiling may carry unfilled buy orders into the night; those orders and any overnight news would set the opening price, and the intraday reversal suggests that part of that price reflects transient demand.</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After a floor close, the gap is −0.97%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−4.6). The intraday return is a weak reversal of 0.30%.</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ceiling gap holds for exact limit hits (2.79%) and for the first day of a streak of exact hits (2.39%). Near hits show a smaller gap (1.67%) and no significant intraday return. However, their median 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return is 6.89%, almost the same as the 6.90% of exact hits, and 83% of their closes are not multiples of the tick size. This points to later price adjustment by the vendor rather than to closes below the limit. The split is therefore weighted toward higher-priced stocks, where the tick is coarser, and we do not read the difference as a gradient toward the limit.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ceiling gap is robust across subsamples. It appears in both halves of the sample and on days locked at one price from open to close. It also appears in each tercile of the 60-day average dollar volume; in the most liquid tercile it is 1.52%. Against same-date controls, the ceiling gap is 2.70%.</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floor effect is less robust. Against same-date controls, the floor close-to-close return is −1.65%, so its size depends on the benchmark. Floor events also cluster on market-wide down days: excluding days on which the market fell by more than 2% removes 1,371 of the 2,111 floor events. The floor gap is also not significant in the least liquid tercile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−1.0).</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An outside buyer cannot capture the close-to-close continuation: a buyer who wants a stock at its ceiling joins a queue at the close, so the first obtainable price is the next open, which already contains the gap. From that open, the ceiling return through the fifth close is −0.75% against the market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−2.7) and −0.53% against same-date controls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−1.8), which supports H</w:t>
      </w:r>
      <w:r>
        <w:rPr>
          <w:rFonts w:asciiTheme="minorHAnsi" w:eastAsia="Georgia" w:hAnsiTheme="minorHAnsi" w:cstheme="minorHAnsi"/>
          <w:color w:val="000000"/>
          <w:sz w:val="20"/>
          <w:szCs w:val="20"/>
          <w:bdr w:val="nil"/>
          <w:vertAlign w:val="subscript"/>
          <w:lang w:val="hr-HR" w:eastAsia="es-MX"/>
        </w:rPr>
        <w:t xml:space="preserve">4</w:t>
      </w:r>
      <w:r>
        <w:rPr>
          <w:rFonts w:asciiTheme="minorHAnsi" w:eastAsia="Georgia" w:hAnsiTheme="minorHAnsi" w:cstheme="minorHAnsi"/>
          <w:color w:val="000000"/>
          <w:sz w:val="20"/>
          <w:szCs w:val="20"/>
          <w:bdr w:val="nil"/>
          <w:lang w:val="hr-HR" w:eastAsia="es-MX"/>
        </w:rPr>
        <w:t xml:space="preserve">; a holder who sells at the next open avoids the intraday giveback. These figures use quoted prices and ignore achievable fills: 522 ceiling events were locked at one price all day, and some of these stocks opened at the limit the next day, where a buyer may be rationed. After floor closes, prices fall a further 0.82% from the next open to the fifth close against the market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−1.7), which is not significant at the 5% level.</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Figure 2 plots the three next-day measures against the size of the 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move. Inside the band, the close-to-close relation is negative, a short-term reversal. At the limit, the relation breaks, and the overnight gap jumps up at the ceiling and down at the floor.</w:t>
      </w:r>
    </w:p>
    <w:p w14:paraId="0ED581F1" w14:textId="3CA2130A" w:rsidR="00CF7DCB" w:rsidRDefault="007010C3" w:rsidP="007010C3">
      <w:pPr>
        <w:keepNext/>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Table 3 quantifies the break. Ceiling closers have a gap 2.66 percentage points larger than stocks that rose 5% to 6.5%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14.0). Their intraday return is 0.31 points lower. Floor closers have a gap 1.59 points lower than stocks that fell 5% to 6.5%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−9.7).</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Because the event rule requires a close at the day’s high (low), we repeat the comparison with stocks that also closed at their high (low). The ceiling gap is then 3.14 points larger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14.5), and the floor gap is 1.81 points lower. A strong close therefore does not explain the contrast, which supports H</w:t>
      </w:r>
      <w:r>
        <w:rPr>
          <w:rFonts w:asciiTheme="minorHAnsi" w:eastAsia="Georgia" w:hAnsiTheme="minorHAnsi" w:cstheme="minorHAnsi"/>
          <w:color w:val="000000"/>
          <w:sz w:val="20"/>
          <w:szCs w:val="20"/>
          <w:bdr w:val="nil"/>
          <w:vertAlign w:val="subscript"/>
          <w:lang w:val="hr-HR" w:eastAsia="es-MX"/>
        </w:rPr>
        <w:t xml:space="preserve">3</w:t>
      </w:r>
      <w:r>
        <w:rPr>
          <w:rFonts w:asciiTheme="minorHAnsi" w:eastAsia="Georgia" w:hAnsiTheme="minorHAnsi" w:cstheme="minorHAnsi"/>
          <w:color w:val="000000"/>
          <w:sz w:val="20"/>
          <w:szCs w:val="20"/>
          <w:bdr w:val="nil"/>
          <w:lang w:val="hr-HR" w:eastAsia="es-MX"/>
        </w:rPr>
        <w:t xml:space="preserve">. The contrast is smaller against 3% to 5% moves: 2.40 percentage points for ceilings and 1.14 points for floors. The comparison is an association around a rule-based threshold, and we make no regression-discontinuity claim. The design has no bandwidth choice, manipulation test, or covariate-balance check, and stocks that reach the limit may differ in news content.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Three readings fit the pattern, and our data do not separate them: (1) demand or supply that the limit blocked on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clears at the next opening, the delayed price discovery of Kim and Rhee (1997); (2) news and retail attention persist overnight and produce the overnight gain and intraday reversal of attention-grabbing stocks (Berkman et al., 2012), with or without a limit; and (3) the opening auction overshoots and corrects within the day. Lacking announcements, order books, and limit-free stock-days, we run two partial checks. First, the ceiling gap rises across terciles of 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volume relative to its prior 60-day mean (1.97%, 2.16%, and 2.63%) and of the prior 20-day return (1.41%, 2.18%, and 3.16%), which fits readings (1) and (2) alike, and stays positive and significant in the lowest tercile of each proxy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4.8 and 4.2). For floors, the gap moves from −1.20% to −0.68% across volume terciles and is not monotone in the prior return, so the attention reading does not carry over. Second, the comparison with stocks that closed at their high removes selection on the shape of the close, but not on news. The intraday giveback fits readings (2) and (3) at least as well as permanent price discovery, so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break at the limit</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a description and delayed price discovery one hypothesis. Testing the magnet effect (Chen et al., 2024; Cho et al., 2003) requires intraday prices, which we lack.</w:t>
      </w:r>
    </w:p>
    <w:p w14:paraId="0ED581F1" w14:textId="3CA2130A" w:rsidR="00CF7DCB" w:rsidRDefault="007010C3" w:rsidP="007010C3">
      <w:pPr>
        <w:keepNext/>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Table 4 splits the events on May 5, 2025, when the HOSE moved to the KRX platform.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ceiling gap, followed by an intraday reversal, appears in both periods: 1.65% before and 2.49% after (difference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1.6). The floor gap is more negative after the move, at −0.42% before and −1.37% after (difference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−3.2). After the move, the intraday return after floor closes turns positive (0.64%). The floor drift from the next open to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exists only before the move (−1.73% before and −0.15% after).</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change coincides with a different market period. The post-change sample accounts for 71% of the ceiling events and 58% of the floor events. Before the change, neither the ceiling close-to-close return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1.0) nor the floor gap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−1.9) is significant at the 5% level. The full-sample significance of these two measures therefore rests mainly on post-change events. We cannot attribute the differences between the periods to the auction rules.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Because the events are unbalanced in time, Table 5 reports them by calendar quarter. The ceiling gap is positive and significant in each of the eight quarters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from 2.5 to 16.8). Its weakest quarter, 2025-Q2, contains the platform change. The floor gap is negative in every quarter and significant at the 5% level in seven of them.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We also move the break date to the first trading day of each month from January 2025 to April 2026. These placebo dates give ceiling-gap differences between −0.45 and 0.72 percentage points, all with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of at most 1.4. The split at May 5, 2025, gives the largest difference, 0.85 points, but it is not significant either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1.6). For floors, the difference is positive at the four placebo dates before the platform change and negative at 11 of the 11 later ones. The split at May 5, 2025, gives −0.95 points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−3.2), close to the placebo dates that follow it. Table 5 shows no trend in the floor gap, but the floor gap is weak in 2025-Q2 (−0.34%), the quarter with the most floor events (802). The placebo dates therefore cannot separate a break at the platform change from a shift specific to that quarter.</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 difference-in-differences regression compares limit closes with 5–6.5% movers that also closed at the extreme (repository table C31). For ceilings, the excess gap was 2.91 percentage points before the change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6.2) and changed by 0.38 points after it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0.8). For floors, the excess gap was −1.62 points before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−6.6) and changed by −0.49 points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−1.5). The break at the limit is therefore present before the change and does not depend on the post-change period, although the significance of the raw ceiling close-to-close return and of the raw floor gap does (Table 4). As with the split in Table 4, these comparisons describe timing and do not identify an effect of the auction rules.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Returns beyond ±8%, which a 7% band does not allow, occur on 96 stock-days and may reflect unadjusted corporate actions or listing-day bands. Dropping every event within five trading days of such a return moves the ceiling gap from 2.24% to 2.26% and the floor gap from −0.97% to −0.98%; the outlier days stay in the market benchmark.</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To bound the effect of a wider search, let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vertAlign w:val="subscript"/>
          <w:lang w:val="hr-HR" w:eastAsia="es-MX"/>
        </w:rPr>
        <w:t xml:space="preserve">max</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be the largest event-test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 computed with the factor</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G</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i/>
          <w:color w:val="000000"/>
          <w:sz w:val="20"/>
          <w:szCs w:val="20"/>
          <w:bdr w:val="nil"/>
          <w:lang w:val="hr-HR" w:eastAsia="es-MX"/>
        </w:rPr>
        <w:t xml:space="preserve">G</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 and a</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reference. All four event tests survive a Bonferroni correction at 5% in families of up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m</w:t>
      </w:r>
      <w:r>
        <w:rPr>
          <w:rFonts w:asciiTheme="minorHAnsi" w:eastAsia="Georgia" w:hAnsiTheme="minorHAnsi" w:cstheme="minorHAnsi"/>
          <w:color w:val="000000"/>
          <w:sz w:val="20"/>
          <w:szCs w:val="20"/>
          <w:bdr w:val="nil"/>
          <w:vertAlign w:val="subscript"/>
          <w:lang w:val="hr-HR" w:eastAsia="es-MX"/>
        </w:rPr>
        <w:t xml:space="preserve">max</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 0.05 /</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vertAlign w:val="subscript"/>
          <w:lang w:val="hr-HR" w:eastAsia="es-MX"/>
        </w:rPr>
        <w:t xml:space="preserve">max</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tests: 683 with date clusters and 125 with calendar-week clusters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vertAlign w:val="subscript"/>
          <w:lang w:val="hr-HR" w:eastAsia="es-MX"/>
        </w:rPr>
        <w:t xml:space="preserve">max</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of 0.00007 and 0.00040). The bound limits false discoveries but leaves the upward bias in effect sizes untouched. The four event tests also survive every alternative family definition we consider: the four event tests as their own family, separate ceiling and floor families, the 26 tests under Holm or Bonferroni adjustment, a 28-test family that adds the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+2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outcomes, and week-clustered event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-values; the largest adjusted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 across these definitions is 0.0026 (repository table C32).</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Event definitions that do not depend on the tick grid give the same picture (repository table C28). The ceiling gap is 2.07% for returns of at least 6.0% that close at the high, 2.33% at 6.8%, 2.35% for returns between 6.7% and 7.3%, 2.10% without the close-at-high condition, and 2.91% on days locked at one price (all</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above 2.9); the floor gap ranges from −0.79% to −2.50%.</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results support H</w:t>
      </w:r>
      <w:r>
        <w:rPr>
          <w:rFonts w:asciiTheme="minorHAnsi" w:eastAsia="Georgia" w:hAnsiTheme="minorHAnsi" w:cstheme="minorHAnsi"/>
          <w:color w:val="000000"/>
          <w:sz w:val="20"/>
          <w:szCs w:val="20"/>
          <w:bdr w:val="nil"/>
          <w:vertAlign w:val="subscript"/>
          <w:lang w:val="hr-HR" w:eastAsia="es-MX"/>
        </w:rPr>
        <w:t xml:space="preserve">1</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to H</w:t>
      </w:r>
      <w:r>
        <w:rPr>
          <w:rFonts w:asciiTheme="minorHAnsi" w:eastAsia="Georgia" w:hAnsiTheme="minorHAnsi" w:cstheme="minorHAnsi"/>
          <w:color w:val="000000"/>
          <w:sz w:val="20"/>
          <w:szCs w:val="20"/>
          <w:bdr w:val="nil"/>
          <w:vertAlign w:val="subscript"/>
          <w:lang w:val="hr-HR" w:eastAsia="es-MX"/>
        </w:rPr>
        <w:t xml:space="preserve">4</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for ceilings; the floor effect depends on the benchmark and its drift appears only before the 2025 platform change.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4. Discussion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Our decomposition adds timing to the evidence of Kim and Rhee (1997): on the HOSE, the continuation after ceiling closes arrives at the next opening and ends after the first day, and the intraday giveback is a one-day analogue of the cross-period reversal in Lou et al. (2019). A pure attention reading must explain the contrast with stocks that moved almost as far, including those that also closed at their high, and a gap-only reading cannot explain the pre-change post-open drift after floor closes.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earlier studies measure different outcomes and horizons, so Table 6 compares signs, timing, and mechanisms rather than magnitudes.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 7% band leaves room for a large overnight gap, so the opening auction may do much of the adjustment that a wider band would allow on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The floor results after at-the-open orders lost priority (Table 4) fit auction design shaping how the opening absorbs overnight pressure, but the market period changed at the same time; a band change on the HOSE, like the ChiNext widening that Qi (2023) studied, would give a natural experiment.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volume and prior-return results also fit an attention channel in which the limit amplifies demand: a stock at its ceiling may appear on screens and rankings the next morning, and a queue at the limit may signal excess demand.</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estimates describe what follows limit closes on the HOSE from 2024 to 2026. They cannot show what the limit does to price discovery: the band does not vary, no period lacks a limit, and we measure none of the benefits a limit is meant to deliver. For investors, buying ceiling stocks at the quoted next open lost money against the market by the fifth close, excluding costs and rationing at the open.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4.1. Limitations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(i) The sample covers 519 trading days on one exchange, with one platform change and a period of market stress. (ii) Without order-book, investor-type, announcement, or news data, we infer the unfilled-demand mechanism and cannot separate it from selection on news. (iii) The 7% band, reference price, and platform change come from brokerage and press descriptions, checked against returns but not against exchange circulars; tick sizes, reference prices on corporate-action days, and wider bands for first-day listings and resumed trading are assumptions. (iv) The vendor appears to adjust earlier prices for later corporate actions. For stocks priced at 10 thousand dong or more, only 25% to 58% of closes are tick multiples, and near hits make up 62% of ceiling events for the higher-priced stocks against 23% for the others. Proportional adjustment leaves returns (except on ex-dates), the close-at-high rule, and locked days unchanged but makes the exact-hit classification of Equation (3) unreliable, so we treat that split as a data check, not a measure of distance to the limit. The listing snapshot excludes stocks delisted before the download. (v) Events in one market episode may depend on each other beyond our clustering, and we computed no calendar-time portfolio estimates or standard errors robust to both cross-sectional and serial dependence. (vi) Several characteristics (5-day return, largest and smallest daily returns, move frequency, and overnight return) share inputs with the event definition, and the Corwin–Schultz spread and range volatility use limit-censored highs and lows. (vii) The floor effect depends on the benchmark, and we built no beta- and size-matched control for the five-day outcome. (viii) The characteristic tests have limited power, and effect sizes may carry winner’s-curse bias from choosing this question among several screened on the same data.</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5. Conclusions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Of 26 tests on 347 HOSE stocks, the four price-limit tests survive FDR control and the confirmation-half check, and the 22 lower-powered characteristic tests do not. After a ceiling close, the next-day abnormal return of 1.7% is an overnight gap of 2.2% less an intraday reversal of 0.5%. The gap is 2.7 percentage points larger than for stocks that rose 5% to 6.5% and 3.1 points larger than for those among them that also closed at their high. After a floor close, the overnight gap is −1.0%. An outside buyer at the next open loses 0.7% against the market by the fifth close. The pattern is consistent with delayed price discovery at the limit, but news, attention, and opening-auction overshooting remain possible explanations; longer samples, announcement time stamps, and order-book queues would let future work separate them.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6. Declarations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6.1. Ethical considerations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Not applicable. The study uses public market prices and involves no human or animal participants.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6.2. Use of artificial intelligence (AI)</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authors used the generative AI assistant Claude (Anthropic) to run the literature searches (Supplementary Material S1), write R code, draft and edit text, and check reported numbers against the output files. Every number comes from the authors’ R code. The authors reviewed all AI-assisted output and take full responsibility for the content. References and the institutional facts in Section 2.1 were checked by web search, not against exchange circulars.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6.3. Conflict of interest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authors declare no conflicts of interest.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6.4. Funding</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This research did not receive any financial support.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6.5. Data availability</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price files (vnstock 4.0.4, source VCI, retrieved on September 24, 2026), the R code, and the output tables are available at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https://github.com/trungcandygit/black_litterman_2</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(folders data/raw and paper2).</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6.6. Author contributions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Nguyen Thanh Binh: conceptualization, supervision, validation, and writing (review and editing). Nguyen Van Trung: conceptualization, data curation, formal analysis, methodology, software, visualization, project administration, and writing (original draft). Ha Hong Hanh: methodology, validation, and writing (review and editing). Nguyen Bach Diep: investigation, resources, and writing (review and editing).</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5B549203" w14:textId="56725701" w:rsidR="000F1A86" w:rsidRDefault="000F1A86" w:rsidP="00824612">
      <w:pPr>
        <w:spacing w:after="0" w:line="240" w:lineRule="auto"/>
        <w:jc w:val="both"/>
        <w:rPr>
          <w:rFonts w:asciiTheme="minorHAnsi" w:eastAsia="Arial" w:hAnsiTheme="minorHAnsi" w:cstheme="minorHAnsi"/>
          <w:b/>
          <w:color w:val="000000" w:themeColor="text1"/>
          <w:sz w:val="20"/>
          <w:szCs w:val="20"/>
          <w:lang w:val="en-US"/>
        </w:rPr>
      </w:pPr>
      <w:r>
        <w:rPr>
          <w:rFonts w:asciiTheme="minorHAnsi" w:eastAsia="Arial" w:hAnsiTheme="minorHAnsi" w:cstheme="minorHAnsi"/>
          <w:b/>
          <w:color w:val="000000" w:themeColor="text1"/>
          <w:sz w:val="20"/>
          <w:szCs w:val="20"/>
          <w:lang w:val="en-US"/>
        </w:rPr>
        <w:t xml:space="preserve">References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Aboody, D., Even-Tov, O., Lehavy, R., &amp; Trueman, B. (2018). Overnight returns and firm-specific investor sentiment.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and Quantitative Analysis, 53</w:t>
      </w:r>
      <w:r>
        <w:rPr>
          <w:rFonts w:asciiTheme="minorHAnsi" w:hAnsiTheme="minorHAnsi" w:cstheme="minorHAnsi"/>
          <w:noProof/>
          <w:sz w:val="20"/>
          <w:szCs w:val="20"/>
          <w:lang w:val="hr-HR"/>
        </w:rPr>
        <w:t xml:space="preserve">(2), 485–505.</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Akbas, F., Boehmer, E., Jiang, C., &amp; Koch, P. D. (2022). Overnight returns, daytime reversals, and future stock returns.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Economics, 145</w:t>
      </w:r>
      <w:r>
        <w:rPr>
          <w:rFonts w:asciiTheme="minorHAnsi" w:hAnsiTheme="minorHAnsi" w:cstheme="minorHAnsi"/>
          <w:noProof/>
          <w:sz w:val="20"/>
          <w:szCs w:val="20"/>
          <w:lang w:val="hr-HR"/>
        </w:rPr>
        <w:t xml:space="preserve">(3), 850–875.</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https://doi.org/10.1016/j.jfineco.2021.09.019</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Benjamini, Y., &amp; Hochberg, Y. (1995). Controlling the false discovery rate: A practical and powerful approach to multiple testing.</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the Royal Statistical Society: Series B, 57</w:t>
      </w:r>
      <w:r>
        <w:rPr>
          <w:rFonts w:asciiTheme="minorHAnsi" w:hAnsiTheme="minorHAnsi" w:cstheme="minorHAnsi"/>
          <w:noProof/>
          <w:sz w:val="20"/>
          <w:szCs w:val="20"/>
          <w:lang w:val="hr-HR"/>
        </w:rPr>
        <w:t xml:space="preserve">(1), 289–300.</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https://doi.org/10.1111/j.2517-6161.1995.tb02031.x</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Berkman, H., &amp; Lee, J. B. T. (2002). The effectiveness of price limits in an emerging market: Evidence from the Korean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Pacific-Basin Finance Journal, 10</w:t>
      </w:r>
      <w:r>
        <w:rPr>
          <w:rFonts w:asciiTheme="minorHAnsi" w:hAnsiTheme="minorHAnsi" w:cstheme="minorHAnsi"/>
          <w:noProof/>
          <w:sz w:val="20"/>
          <w:szCs w:val="20"/>
          <w:lang w:val="hr-HR"/>
        </w:rPr>
        <w:t xml:space="preserve">(5), 517–530.</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https://doi.org/10.1016/S0927-538X(02)00040-9</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Berkman, H., Koch, P. D., Tuttle, L., &amp; Zhang, Y. J. (2012). Paying attention: Overnight returns and the hidden cost of buying at the open.</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and Quantitative Analysis, 47</w:t>
      </w:r>
      <w:r>
        <w:rPr>
          <w:rFonts w:asciiTheme="minorHAnsi" w:hAnsiTheme="minorHAnsi" w:cstheme="minorHAnsi"/>
          <w:noProof/>
          <w:sz w:val="20"/>
          <w:szCs w:val="20"/>
          <w:lang w:val="hr-HR"/>
        </w:rPr>
        <w:t xml:space="preserve">(4), 715–741.</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https://doi.org/10.1017/S0022109012000270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Bildik, R., &amp; Gülay, G. (2006). Are price limits effective? Evidence from the Istanbul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Research, 29</w:t>
      </w:r>
      <w:r>
        <w:rPr>
          <w:rFonts w:asciiTheme="minorHAnsi" w:hAnsiTheme="minorHAnsi" w:cstheme="minorHAnsi"/>
          <w:noProof/>
          <w:sz w:val="20"/>
          <w:szCs w:val="20"/>
          <w:lang w:val="hr-HR"/>
        </w:rPr>
        <w:t xml:space="preserve">(3), 383–403.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https://doi.org/10.1111/j.1475-6803.2006.00185.x</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Bogousslavsky, V. (2021). The cross-section of intraday and overnight returns.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Economics, 141</w:t>
      </w:r>
      <w:r>
        <w:rPr>
          <w:rFonts w:asciiTheme="minorHAnsi" w:hAnsiTheme="minorHAnsi" w:cstheme="minorHAnsi"/>
          <w:noProof/>
          <w:sz w:val="20"/>
          <w:szCs w:val="20"/>
          <w:lang w:val="hr-HR"/>
        </w:rPr>
        <w:t xml:space="preserve">(1), 172–194.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Brennan, M. J. (1986). A theory of price limits in futures markets.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Economics, 16</w:t>
      </w:r>
      <w:r>
        <w:rPr>
          <w:rFonts w:asciiTheme="minorHAnsi" w:hAnsiTheme="minorHAnsi" w:cstheme="minorHAnsi"/>
          <w:noProof/>
          <w:sz w:val="20"/>
          <w:szCs w:val="20"/>
          <w:lang w:val="hr-HR"/>
        </w:rPr>
        <w:t xml:space="preserve">(2), 213–233.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https://doi.org/10.1016/0304-405X(86)90061-9</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Cameron, A. C., Gelbach, J. B., &amp; Miller, D. L. (2011). Robust inference with multiway clustering.</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Business &amp; Economic Statistics, 29</w:t>
      </w:r>
      <w:r>
        <w:rPr>
          <w:rFonts w:asciiTheme="minorHAnsi" w:hAnsiTheme="minorHAnsi" w:cstheme="minorHAnsi"/>
          <w:noProof/>
          <w:sz w:val="20"/>
          <w:szCs w:val="20"/>
          <w:lang w:val="hr-HR"/>
        </w:rPr>
        <w:t xml:space="preserve">(2), 238–249.</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https://doi.org/10.1198/jbes.2010.07136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Chen, H., Petukhov, A., Wang, J., &amp; Xing, H. (2024). The dark side of circuit breakers.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Journal of Finance, 79</w:t>
      </w:r>
      <w:r>
        <w:rPr>
          <w:rFonts w:asciiTheme="minorHAnsi" w:hAnsiTheme="minorHAnsi" w:cstheme="minorHAnsi"/>
          <w:noProof/>
          <w:sz w:val="20"/>
          <w:szCs w:val="20"/>
          <w:lang w:val="hr-HR"/>
        </w:rPr>
        <w:t xml:space="preserve">(2), 1405–1455.</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https://doi.org/10.1111/jofi.13310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Chen, T., Gao, Z., He, J., Jiang, W., &amp; Xiong, W. (2019). Daily price limits and destructive market behavior.</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Econometrics, 208</w:t>
      </w:r>
      <w:r>
        <w:rPr>
          <w:rFonts w:asciiTheme="minorHAnsi" w:hAnsiTheme="minorHAnsi" w:cstheme="minorHAnsi"/>
          <w:noProof/>
          <w:sz w:val="20"/>
          <w:szCs w:val="20"/>
          <w:lang w:val="hr-HR"/>
        </w:rPr>
        <w:t xml:space="preserve">(1), 249–264.</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https://doi.org/10.1016/j.jeconom.2018.09.014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Chen, Y.-M. (1993). Price limits and stock market volatility in Taiwan.</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Pacific-Basin Finance Journal, 1</w:t>
      </w:r>
      <w:r>
        <w:rPr>
          <w:rFonts w:asciiTheme="minorHAnsi" w:hAnsiTheme="minorHAnsi" w:cstheme="minorHAnsi"/>
          <w:noProof/>
          <w:sz w:val="20"/>
          <w:szCs w:val="20"/>
          <w:lang w:val="hr-HR"/>
        </w:rPr>
        <w:t xml:space="preserve">(2), 139–153.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https://doi.org/10.1016/0927-538X(93)90005-3</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Cho, D. D., Russell, J., Tiao, G. C., &amp; Tsay, R. S. (2003). The magnet effect of price limits: Evidence from high-frequency data on Taiwan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Empirical Finance, 10</w:t>
      </w:r>
      <w:r>
        <w:rPr>
          <w:rFonts w:asciiTheme="minorHAnsi" w:hAnsiTheme="minorHAnsi" w:cstheme="minorHAnsi"/>
          <w:noProof/>
          <w:sz w:val="20"/>
          <w:szCs w:val="20"/>
          <w:lang w:val="hr-HR"/>
        </w:rPr>
        <w:t xml:space="preserve">(1–2), 133–168.</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https://doi.org/10.1016/S0927-5398(02)00024-5</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Chordia, T., Goyal, A., &amp; Saretto, A. (2020). Anomalies and false rejections.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Review of Financial Studies, 33</w:t>
      </w:r>
      <w:r>
        <w:rPr>
          <w:rFonts w:asciiTheme="minorHAnsi" w:hAnsiTheme="minorHAnsi" w:cstheme="minorHAnsi"/>
          <w:noProof/>
          <w:sz w:val="20"/>
          <w:szCs w:val="20"/>
          <w:lang w:val="hr-HR"/>
        </w:rPr>
        <w:t xml:space="preserve">(5), 2134–2179.</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Deb, S. S., Kalev, P. S., &amp; Marisetty, V. B. (2013). Flexible price limits: The case of Tokyo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International Financial Markets, Institutions and Money, 24</w:t>
      </w:r>
      <w:r>
        <w:rPr>
          <w:rFonts w:asciiTheme="minorHAnsi" w:hAnsiTheme="minorHAnsi" w:cstheme="minorHAnsi"/>
          <w:noProof/>
          <w:sz w:val="20"/>
          <w:szCs w:val="20"/>
          <w:lang w:val="hr-HR"/>
        </w:rPr>
        <w:t xml:space="preserve">, 66–84.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Fama, E. F., &amp; MacBeth, J. D. (1973). Risk, return, and equilibrium: Empirical tests.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Political Economy, 81</w:t>
      </w:r>
      <w:r>
        <w:rPr>
          <w:rFonts w:asciiTheme="minorHAnsi" w:hAnsiTheme="minorHAnsi" w:cstheme="minorHAnsi"/>
          <w:noProof/>
          <w:sz w:val="20"/>
          <w:szCs w:val="20"/>
          <w:lang w:val="hr-HR"/>
        </w:rPr>
        <w:t xml:space="preserve">(3), 607–636.</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https://doi.org/10.1086/260061</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Farber, A., Nguyen, V. N., &amp; Vuong, Q. H. (2006).</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Policy impacts on Vietnam stock market: A case of anomalies and disequilibria 2000–2006</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(CEB Working Paper No. 06/005). Université Libre de Bruxelles.</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https://ideas.repec.org/p/sol/wpaper/06-005.html</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Greenwald, B. C., &amp; Stein, J. C. (1991). Transactional risk, market crashes, and the role of circuit breakers.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Business, 64</w:t>
      </w:r>
      <w:r>
        <w:rPr>
          <w:rFonts w:asciiTheme="minorHAnsi" w:hAnsiTheme="minorHAnsi" w:cstheme="minorHAnsi"/>
          <w:noProof/>
          <w:sz w:val="20"/>
          <w:szCs w:val="20"/>
          <w:lang w:val="hr-HR"/>
        </w:rPr>
        <w:t xml:space="preserve">(4), 443–462.</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Gu, M., Hu, Y., &amp; Xiong, Z. (2025). Dissecting the lottery-like anomaly: Evidence from China.</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Accounting &amp; Finance, 65</w:t>
      </w:r>
      <w:r>
        <w:rPr>
          <w:rFonts w:asciiTheme="minorHAnsi" w:hAnsiTheme="minorHAnsi" w:cstheme="minorHAnsi"/>
          <w:noProof/>
          <w:sz w:val="20"/>
          <w:szCs w:val="20"/>
          <w:lang w:val="hr-HR"/>
        </w:rPr>
        <w:t xml:space="preserve">(1), 883–911.</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https://doi.org/10.1111/acfi.13354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Gutierrez, R. C., Jr., &amp; Kelley, E. K. (2008). The long-lasting momentum in weekly returns.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Journal of Finance, 63</w:t>
      </w:r>
      <w:r>
        <w:rPr>
          <w:rFonts w:asciiTheme="minorHAnsi" w:hAnsiTheme="minorHAnsi" w:cstheme="minorHAnsi"/>
          <w:noProof/>
          <w:sz w:val="20"/>
          <w:szCs w:val="20"/>
          <w:lang w:val="hr-HR"/>
        </w:rPr>
        <w:t xml:space="preserve">(1), 415–447.</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https://doi.org/10.1111/j.1540-6261.2008.01320.x</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Harvey, C. R., &amp; Liu, Y. (2020). False (and missed) discoveries in financial economics.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Journal of Finance, 75</w:t>
      </w:r>
      <w:r>
        <w:rPr>
          <w:rFonts w:asciiTheme="minorHAnsi" w:hAnsiTheme="minorHAnsi" w:cstheme="minorHAnsi"/>
          <w:noProof/>
          <w:sz w:val="20"/>
          <w:szCs w:val="20"/>
          <w:lang w:val="hr-HR"/>
        </w:rPr>
        <w:t xml:space="preserve">(5), 2503–2553.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https://doi.org/10.1111/jofi.12951</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Harvey, C. R., Liu, Y., &amp; Zhu, H. (2016). …and the cross-section of expected returns.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Review of Financial Studies, 29</w:t>
      </w:r>
      <w:r>
        <w:rPr>
          <w:rFonts w:asciiTheme="minorHAnsi" w:hAnsiTheme="minorHAnsi" w:cstheme="minorHAnsi"/>
          <w:noProof/>
          <w:sz w:val="20"/>
          <w:szCs w:val="20"/>
          <w:lang w:val="hr-HR"/>
        </w:rPr>
        <w:t xml:space="preserve">(1), 5–68.</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https://doi.org/10.1093/rfs/hhv059</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Holm, S. (1979). A simple sequentially rejective multiple test procedure.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Scandinavian Journal of Statistics, 6</w:t>
      </w:r>
      <w:r>
        <w:rPr>
          <w:rFonts w:asciiTheme="minorHAnsi" w:hAnsiTheme="minorHAnsi" w:cstheme="minorHAnsi"/>
          <w:noProof/>
          <w:sz w:val="20"/>
          <w:szCs w:val="20"/>
          <w:lang w:val="hr-HR"/>
        </w:rPr>
        <w:t xml:space="preserve">(2), 65–70.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Hou, K., Xue, C., &amp; Zhang, L. (2020). Replicating anomalies.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Review of Financial Studies, 33</w:t>
      </w:r>
      <w:r>
        <w:rPr>
          <w:rFonts w:asciiTheme="minorHAnsi" w:hAnsiTheme="minorHAnsi" w:cstheme="minorHAnsi"/>
          <w:noProof/>
          <w:sz w:val="20"/>
          <w:szCs w:val="20"/>
          <w:lang w:val="hr-HR"/>
        </w:rPr>
        <w:t xml:space="preserve">(5), 2019–2133.</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HSC. (2025).</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Important changes of new trading system</w:t>
      </w:r>
      <w:r>
        <w:rPr>
          <w:rFonts w:asciiTheme="minorHAnsi" w:hAnsiTheme="minorHAnsi" w:cstheme="minorHAnsi"/>
          <w:noProof/>
          <w:sz w:val="20"/>
          <w:szCs w:val="20"/>
          <w:lang w:val="hr-HR"/>
        </w:rPr>
        <w:t xml:space="preserve">. Ho Chi Minh City Securities Corporation.</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https://www.hsc.com.vn/en/important-changes-of-new-trading-system</w:t>
      </w:r>
      <w:r>
        <w:rPr>
          <w:rFonts w:asciiTheme="minorHAnsi" w:hAnsiTheme="minorHAnsi" w:cstheme="minorHAnsi"/>
          <w:noProof/>
          <w:sz w:val="20"/>
          <w:szCs w:val="20"/>
          <w:lang w:val="hr-HR"/>
        </w:rPr>
        <w:t xml:space="preserve">. Accessed on October 5, 2026.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Huang, X., Liu, C., &amp; Shu, T. (2023). Factors and anomalies in the Vietnamese stock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Pacific-Basin Finance Journal, 82</w:t>
      </w:r>
      <w:r>
        <w:rPr>
          <w:rFonts w:asciiTheme="minorHAnsi" w:hAnsiTheme="minorHAnsi" w:cstheme="minorHAnsi"/>
          <w:noProof/>
          <w:sz w:val="20"/>
          <w:szCs w:val="20"/>
          <w:lang w:val="hr-HR"/>
        </w:rPr>
        <w:t xml:space="preserve">, 102176.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Huang, Y.-S., Fu, T.-W., &amp; Ke, M.-C. (2001). Daily price limits and stock price behavior: Evidence from the Taiwan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International Review of Economics &amp; Finance, 10</w:t>
      </w:r>
      <w:r>
        <w:rPr>
          <w:rFonts w:asciiTheme="minorHAnsi" w:hAnsiTheme="minorHAnsi" w:cstheme="minorHAnsi"/>
          <w:noProof/>
          <w:sz w:val="20"/>
          <w:szCs w:val="20"/>
          <w:lang w:val="hr-HR"/>
        </w:rPr>
        <w:t xml:space="preserve">(3), 263–288.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Jia, S., An, Y., Yang, L., &amp; Zhou, F. (2024). Price limit relaxation and stock price crash risk: Evidence from China.</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Finance Research Letters, 59</w:t>
      </w:r>
      <w:r>
        <w:rPr>
          <w:rFonts w:asciiTheme="minorHAnsi" w:hAnsiTheme="minorHAnsi" w:cstheme="minorHAnsi"/>
          <w:noProof/>
          <w:sz w:val="20"/>
          <w:szCs w:val="20"/>
          <w:lang w:val="hr-HR"/>
        </w:rPr>
        <w:t xml:space="preserve">, 104715.</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https://doi.org/10.1016/j.frl.2023.104715</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Jones, C. M., Shi, D., Zhang, X., &amp; Zhang, X. (2025). Retail trading and return predictability in China.</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and Quantitative Analysis, 60</w:t>
      </w:r>
      <w:r>
        <w:rPr>
          <w:rFonts w:asciiTheme="minorHAnsi" w:hAnsiTheme="minorHAnsi" w:cstheme="minorHAnsi"/>
          <w:noProof/>
          <w:sz w:val="20"/>
          <w:szCs w:val="20"/>
          <w:lang w:val="hr-HR"/>
        </w:rPr>
        <w:t xml:space="preserve">(1), 68–104.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Kelly, M. A., &amp; Clark, S. P. (2011). Returns in trading versus non-trading hours: The difference is day and night.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Asset Management, 12</w:t>
      </w:r>
      <w:r>
        <w:rPr>
          <w:rFonts w:asciiTheme="minorHAnsi" w:hAnsiTheme="minorHAnsi" w:cstheme="minorHAnsi"/>
          <w:noProof/>
          <w:sz w:val="20"/>
          <w:szCs w:val="20"/>
          <w:lang w:val="hr-HR"/>
        </w:rPr>
        <w:t xml:space="preserve">, 132–145.</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https://doi.org/10.1057/jam.2011.2</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Kim, K. A., &amp; Limpaphayom, P. (2000). Characteristics of stocks that frequently hit price limits: Empirical evidence from Taiwan and Thailand.</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Markets, 3</w:t>
      </w:r>
      <w:r>
        <w:rPr>
          <w:rFonts w:asciiTheme="minorHAnsi" w:hAnsiTheme="minorHAnsi" w:cstheme="minorHAnsi"/>
          <w:noProof/>
          <w:sz w:val="20"/>
          <w:szCs w:val="20"/>
          <w:lang w:val="hr-HR"/>
        </w:rPr>
        <w:t xml:space="preserve">(3), 315–332.</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Kim, K. A., &amp; Rhee, S. G. (1997). Price limit performance: Evidence from the Tokyo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Journal of Finance, 52</w:t>
      </w:r>
      <w:r>
        <w:rPr>
          <w:rFonts w:asciiTheme="minorHAnsi" w:hAnsiTheme="minorHAnsi" w:cstheme="minorHAnsi"/>
          <w:noProof/>
          <w:sz w:val="20"/>
          <w:szCs w:val="20"/>
          <w:lang w:val="hr-HR"/>
        </w:rPr>
        <w:t xml:space="preserve">(2), 885–901.</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https://doi.org/10.1111/j.1540-6261.1997.tb04827.x</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Kim, W., &amp; Jun, S. (2019). Effects of a price limit change on market stability at the intraday horizon in the Korean stock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Applied Economics Letters, 26</w:t>
      </w:r>
      <w:r>
        <w:rPr>
          <w:rFonts w:asciiTheme="minorHAnsi" w:hAnsiTheme="minorHAnsi" w:cstheme="minorHAnsi"/>
          <w:noProof/>
          <w:sz w:val="20"/>
          <w:szCs w:val="20"/>
          <w:lang w:val="hr-HR"/>
        </w:rPr>
        <w:t xml:space="preserve">(7), 582–586.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Kodres, L. E., &amp; O’Brien, D. P. (1994). The existence of Pareto-superior price limits.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American Economic Review, 84</w:t>
      </w:r>
      <w:r>
        <w:rPr>
          <w:rFonts w:asciiTheme="minorHAnsi" w:hAnsiTheme="minorHAnsi" w:cstheme="minorHAnsi"/>
          <w:noProof/>
          <w:sz w:val="20"/>
          <w:szCs w:val="20"/>
          <w:lang w:val="hr-HR"/>
        </w:rPr>
        <w:t xml:space="preserve">(4), 919–932.</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Le, D. N. (2018). Evaluating impacts of reduction in fluctuation limit on stock price risks in Vietnam.</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Economic Development</w:t>
      </w:r>
      <w:r>
        <w:rPr>
          <w:rFonts w:asciiTheme="minorHAnsi" w:hAnsiTheme="minorHAnsi" w:cstheme="minorHAnsi"/>
          <w:noProof/>
          <w:sz w:val="20"/>
          <w:szCs w:val="20"/>
          <w:lang w:val="hr-HR"/>
        </w:rPr>
        <w:t xml:space="preserve">.</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https://vjol.info.vn/ed/article/view/34298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Liang, H., &amp; Hu, Y. (2025). Stock price limit and its predictability in the Chinese stock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Forecasting, 44</w:t>
      </w:r>
      <w:r>
        <w:rPr>
          <w:rFonts w:asciiTheme="minorHAnsi" w:hAnsiTheme="minorHAnsi" w:cstheme="minorHAnsi"/>
          <w:noProof/>
          <w:sz w:val="20"/>
          <w:szCs w:val="20"/>
          <w:lang w:val="hr-HR"/>
        </w:rPr>
        <w:t xml:space="preserve">, 297–319.</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https://doi.org/10.1002/for.3197</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Lien, D., Hung, P.-H., Zhu, J.-D., &amp; Chen, Y.-H. (2019). Price limit changes and market quality in the Taiwan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Pacific-Basin Finance Journal, 55</w:t>
      </w:r>
      <w:r>
        <w:rPr>
          <w:rFonts w:asciiTheme="minorHAnsi" w:hAnsiTheme="minorHAnsi" w:cstheme="minorHAnsi"/>
          <w:noProof/>
          <w:sz w:val="20"/>
          <w:szCs w:val="20"/>
          <w:lang w:val="hr-HR"/>
        </w:rPr>
        <w:t xml:space="preserve">, 239–258.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Lin, F., Qiu, Z., &amp; Zheng, W. (2023). Cranes among chickens: The general-attention-grabbing effect of daily price limits in China’s stock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Banking &amp; Finance, 150</w:t>
      </w:r>
      <w:r>
        <w:rPr>
          <w:rFonts w:asciiTheme="minorHAnsi" w:hAnsiTheme="minorHAnsi" w:cstheme="minorHAnsi"/>
          <w:noProof/>
          <w:sz w:val="20"/>
          <w:szCs w:val="20"/>
          <w:lang w:val="hr-HR"/>
        </w:rPr>
        <w:t xml:space="preserve">, 106818.</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https://doi.org/10.1016/j.jbankfin.2023.106818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Lou, D., Polk, C., &amp; Skouras, S. (2019). A tug of war: Overnight versus intraday expected returns.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Economics, 134</w:t>
      </w:r>
      <w:r>
        <w:rPr>
          <w:rFonts w:asciiTheme="minorHAnsi" w:hAnsiTheme="minorHAnsi" w:cstheme="minorHAnsi"/>
          <w:noProof/>
          <w:sz w:val="20"/>
          <w:szCs w:val="20"/>
          <w:lang w:val="hr-HR"/>
        </w:rPr>
        <w:t xml:space="preserve">(1), 192–213.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https://doi.org/10.1016/j.jfineco.2019.03.011</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Lu, Z., Malliaris, S. G., &amp; Qin, Z. (2023). Heterogeneous liquidity providers and night-minus-day return predictability.</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Economics, 148</w:t>
      </w:r>
      <w:r>
        <w:rPr>
          <w:rFonts w:asciiTheme="minorHAnsi" w:hAnsiTheme="minorHAnsi" w:cstheme="minorHAnsi"/>
          <w:noProof/>
          <w:sz w:val="20"/>
          <w:szCs w:val="20"/>
          <w:lang w:val="hr-HR"/>
        </w:rPr>
        <w:t xml:space="preserve">(3), 175–200.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Newey, W. K., &amp; West, K. D. (1987). A simple, positive semi-definite, heteroskedasticity and autocorrelation consistent covariance matrix.</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Econometrica, 55</w:t>
      </w:r>
      <w:r>
        <w:rPr>
          <w:rFonts w:asciiTheme="minorHAnsi" w:hAnsiTheme="minorHAnsi" w:cstheme="minorHAnsi"/>
          <w:noProof/>
          <w:sz w:val="20"/>
          <w:szCs w:val="20"/>
          <w:lang w:val="hr-HR"/>
        </w:rPr>
        <w:t xml:space="preserve">(3), 703–708.</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https://doi.org/10.2307/1913610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Petersen, M. A. (2009). Estimating standard errors in finance panel data sets: Comparing approaches.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Review of Financial Studies, 22</w:t>
      </w:r>
      <w:r>
        <w:rPr>
          <w:rFonts w:asciiTheme="minorHAnsi" w:hAnsiTheme="minorHAnsi" w:cstheme="minorHAnsi"/>
          <w:noProof/>
          <w:sz w:val="20"/>
          <w:szCs w:val="20"/>
          <w:lang w:val="hr-HR"/>
        </w:rPr>
        <w:t xml:space="preserve">(1), 435–480.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Qi, B. (2023). Effectiveness of price limits: Evidence from China’s ChiNext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PLOS ONE, 18</w:t>
      </w:r>
      <w:r>
        <w:rPr>
          <w:rFonts w:asciiTheme="minorHAnsi" w:hAnsiTheme="minorHAnsi" w:cstheme="minorHAnsi"/>
          <w:noProof/>
          <w:sz w:val="20"/>
          <w:szCs w:val="20"/>
          <w:lang w:val="hr-HR"/>
        </w:rPr>
        <w:t xml:space="preserve">(6), e0287548.</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https://doi.org/10.1371/journal.pone.0287548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Qiao, K., &amp; Dam, L. (2020). The overnight return puzzle and the</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w:t>
      </w:r>
      <w:r>
        <w:rPr>
          <w:rFonts w:asciiTheme="minorHAnsi" w:hAnsiTheme="minorHAnsi" w:cstheme="minorHAnsi"/>
          <w:noProof/>
          <w:sz w:val="20"/>
          <w:szCs w:val="20"/>
          <w:lang w:val="hr-HR"/>
        </w:rPr>
        <w:t xml:space="preserve">T+1</w:t>
      </w:r>
      <w:r>
        <w:rPr>
          <w:rFonts w:asciiTheme="minorHAnsi" w:hAnsiTheme="minorHAnsi" w:cstheme="minorHAnsi"/>
          <w:noProof/>
          <w:sz w:val="20"/>
          <w:szCs w:val="20"/>
          <w:lang w:val="hr-HR"/>
        </w:rPr>
        <w:t xml:space="preserve">”</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trading rule in Chinese stock markets.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Markets, 50</w:t>
      </w:r>
      <w:r>
        <w:rPr>
          <w:rFonts w:asciiTheme="minorHAnsi" w:hAnsiTheme="minorHAnsi" w:cstheme="minorHAnsi"/>
          <w:noProof/>
          <w:sz w:val="20"/>
          <w:szCs w:val="20"/>
          <w:lang w:val="hr-HR"/>
        </w:rPr>
        <w:t xml:space="preserve">, 100534.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Qiu, J., Huang, W., &amp; Jiang, Y. (2025). Day-night anomaly returns in China: The role of institutions.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Research in International Business and Finance, 75</w:t>
      </w:r>
      <w:r>
        <w:rPr>
          <w:rFonts w:asciiTheme="minorHAnsi" w:hAnsiTheme="minorHAnsi" w:cstheme="minorHAnsi"/>
          <w:noProof/>
          <w:sz w:val="20"/>
          <w:szCs w:val="20"/>
          <w:lang w:val="hr-HR"/>
        </w:rPr>
        <w:t xml:space="preserve">, 102776.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Subrahmanyam, A. (1994). Circuit breakers and market volatility: A theoretical perspective.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Journal of Finance, 49</w:t>
      </w:r>
      <w:r>
        <w:rPr>
          <w:rFonts w:asciiTheme="minorHAnsi" w:hAnsiTheme="minorHAnsi" w:cstheme="minorHAnsi"/>
          <w:noProof/>
          <w:sz w:val="20"/>
          <w:szCs w:val="20"/>
          <w:lang w:val="hr-HR"/>
        </w:rPr>
        <w:t xml:space="preserve">(1), 237–254.</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https://doi.org/10.1111/j.1540-6261.1994.tb04427.x</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Viet Nam News. (2025).</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KRX system officially goes live</w:t>
      </w:r>
      <w:r>
        <w:rPr>
          <w:rFonts w:asciiTheme="minorHAnsi" w:hAnsiTheme="minorHAnsi" w:cstheme="minorHAnsi"/>
          <w:noProof/>
          <w:sz w:val="20"/>
          <w:szCs w:val="20"/>
          <w:lang w:val="hr-HR"/>
        </w:rPr>
        <w:t xml:space="preserve">. Viet Nam News.</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https://vietnamnews.vn/economy/1717047/krx-system-officially-goes-live.html</w:t>
      </w:r>
      <w:r>
        <w:rPr>
          <w:rFonts w:asciiTheme="minorHAnsi" w:hAnsiTheme="minorHAnsi" w:cstheme="minorHAnsi"/>
          <w:noProof/>
          <w:sz w:val="20"/>
          <w:szCs w:val="20"/>
          <w:lang w:val="hr-HR"/>
        </w:rPr>
        <w:t xml:space="preserve">. Accessed on October 5, 2026.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Zeng, Z., Wang, G., &amp; Tang, G. (2024). Price limits hitting effect and cross-sectional stock returns: Evidence from China.</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Finance Research Letters, 60</w:t>
      </w:r>
      <w:r>
        <w:rPr>
          <w:rFonts w:asciiTheme="minorHAnsi" w:hAnsiTheme="minorHAnsi" w:cstheme="minorHAnsi"/>
          <w:noProof/>
          <w:sz w:val="20"/>
          <w:szCs w:val="20"/>
          <w:lang w:val="hr-HR"/>
        </w:rPr>
        <w:t xml:space="preserve">, 104803.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https://doi.org/10.1016/j.frl.2023.104803</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Zhang, X., Wang, Z., Hao, J., &amp; He, F. (2022). Price limit and stock market quality: Evidence from a quasi-natural experiment in the Chinese stock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Pacific-Basin Finance Journal, 74</w:t>
      </w:r>
      <w:r>
        <w:rPr>
          <w:rFonts w:asciiTheme="minorHAnsi" w:hAnsiTheme="minorHAnsi" w:cstheme="minorHAnsi"/>
          <w:noProof/>
          <w:sz w:val="20"/>
          <w:szCs w:val="20"/>
          <w:lang w:val="hr-HR"/>
        </w:rPr>
        <w:t xml:space="preserve">, 101778.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p>
    <w:p w14:paraId="6A806C1A" w14:textId="77777777" w:rsidR="00820C36" w:rsidRDefault="00820C36" w:rsidP="00820C36">
      <w:pPr>
        <w:pageBreakBefore/>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drawing>
          <wp:inline xmlns:a="http://schemas.openxmlformats.org/drawingml/2006/main" xmlns:pic="http://schemas.openxmlformats.org/drawingml/2006/picture">
            <wp:extent cx="5940000" cy="4203692"/>
            <wp:docPr id="2009629076" name="Picture 2009629076"/>
            <wp:cNvGraphicFramePr>
              <a:graphicFrameLocks noChangeAspect="1"/>
            </wp:cNvGraphicFramePr>
            <a:graphic>
              <a:graphicData uri="http://schemas.openxmlformats.org/drawingml/2006/picture">
                <pic:pic>
                  <pic:nvPicPr>
                    <pic:cNvPr id="0" name="F1_characteristics.png"/>
                    <pic:cNvPicPr/>
                  </pic:nvPicPr>
                  <pic:blipFill>
                    <a:blip r:embed="rId30"/>
                    <a:stretch>
                      <a:fillRect/>
                    </a:stretch>
                  </pic:blipFill>
                  <pic:spPr>
                    <a:xfrm>
                      <a:off x="0" y="0"/>
                      <a:ext cx="5940000" cy="4203692"/>
                    </a:xfrm>
                    <a:prstGeom prst="rect"/>
                  </pic:spPr>
                </pic:pic>
              </a:graphicData>
            </a:graphic>
          </wp:inline>
        </w:drawing>
      </w:r>
    </w:p>
    <w:p w14:paraId="6A806C1A"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Figure 1</w:t>
      </w:r>
      <w:r>
        <w:rPr>
          <w:rFonts w:asciiTheme="minorHAnsi" w:eastAsia="Georgia" w:hAnsiTheme="minorHAnsi" w:cstheme="minorHAnsi"/>
          <w:color w:val="000000"/>
          <w:sz w:val="18"/>
          <w:szCs w:val="18"/>
          <w:bdr w:val="nil"/>
          <w:lang w:val="hr-HR" w:eastAsia="es-MX"/>
        </w:rPr>
        <w:t xml:space="preserve"> Fama–MacBeth</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of the 22 characteristics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Full sample, discovery half (first 39 weeks), and confirmation half, ordered by absolute full-sample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Dashed lines mark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 1.96 and dotted lines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 3. Supplementary Material S1 defines the labels.</w:t>
      </w:r>
    </w:p>
    <w:p w14:paraId="6A806C1A"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drawing>
          <wp:inline xmlns:a="http://schemas.openxmlformats.org/drawingml/2006/main" xmlns:pic="http://schemas.openxmlformats.org/drawingml/2006/picture">
            <wp:extent cx="5940000" cy="2558769"/>
            <wp:docPr id="2009629077" name="Picture 2009629077"/>
            <wp:cNvGraphicFramePr>
              <a:graphicFrameLocks noChangeAspect="1"/>
            </wp:cNvGraphicFramePr>
            <a:graphic>
              <a:graphicData uri="http://schemas.openxmlformats.org/drawingml/2006/picture">
                <pic:pic>
                  <pic:nvPicPr>
                    <pic:cNvPr id="0" name="F2_break_at_limit.png"/>
                    <pic:cNvPicPr/>
                  </pic:nvPicPr>
                  <pic:blipFill>
                    <a:blip r:embed="rId31"/>
                    <a:stretch>
                      <a:fillRect/>
                    </a:stretch>
                  </pic:blipFill>
                  <pic:spPr>
                    <a:xfrm>
                      <a:off x="0" y="0"/>
                      <a:ext cx="5940000" cy="2558769"/>
                    </a:xfrm>
                    <a:prstGeom prst="rect"/>
                  </pic:spPr>
                </pic:pic>
              </a:graphicData>
            </a:graphic>
          </wp:inline>
        </w:drawing>
      </w:r>
    </w:p>
    <w:p w14:paraId="6A806C1A"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Figure 2</w:t>
      </w:r>
      <w:r>
        <w:rPr>
          <w:rFonts w:asciiTheme="minorHAnsi" w:eastAsia="Georgia" w:hAnsiTheme="minorHAnsi" w:cstheme="minorHAnsi"/>
          <w:color w:val="000000"/>
          <w:sz w:val="18"/>
          <w:szCs w:val="18"/>
          <w:bdr w:val="nil"/>
          <w:lang w:val="hr-HR" w:eastAsia="es-MX"/>
        </w:rPr>
        <w:t xml:space="preserve"> Next-day abnormal return by the size of the day-</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move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Circles are 1-point bins inside the band, triangles are ceiling and floor events, and squares are other moves of 6.5% to 10%. Bars are 95% confidence intervals clustered by date. Market weights are lagged to day</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1</w:t>
      </w:r>
      <w:r>
        <w:rPr>
          <w:rFonts w:asciiTheme="minorHAnsi" w:eastAsia="Georgia" w:hAnsiTheme="minorHAnsi" w:cstheme="minorHAnsi"/>
          <w:color w:val="000000"/>
          <w:sz w:val="18"/>
          <w:szCs w:val="18"/>
          <w:bdr w:val="nil"/>
          <w:lang w:val="hr-HR" w:eastAsia="es-MX"/>
        </w:rPr>
        <w:t xml:space="preserve"> Market-adjusted returns after ceiling and floor closes</w:t>
      </w:r>
    </w:p>
    <w:tbl>
      <w:tblPr>
        <w:tblW w:type="pct" w:w="5000"/>
        <w:jc w:val="center"/>
        <w:tblLayout w:type="fixed"/>
      </w:tblPr>
      <w:tblGrid>
        <w:gridCol w:w="1324"/>
        <w:gridCol w:w="1324"/>
        <w:gridCol w:w="1059"/>
        <w:gridCol w:w="1192"/>
        <w:gridCol w:w="1192"/>
        <w:gridCol w:w="1457"/>
        <w:gridCol w:w="1457"/>
        <w:gridCol w:w="1192"/>
      </w:tblGrid>
      <w:tr>
        <w:trPr>
          <w:cantSplit/>
          <w:tblHeader w:val="true"/>
        </w:trPr>
        <w:tc>
          <w:tcPr>
            <w:tcW w:type="dxa" w:w="1324"/>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Event</w:t>
            </w:r>
          </w:p>
        </w:tc>
        <w:tc>
          <w:tcPr>
            <w:tcW w:type="dxa" w:w="1324"/>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Horizon</w:t>
            </w:r>
          </w:p>
        </w:tc>
        <w:tc>
          <w:tcPr>
            <w:tcW w:type="dxa" w:w="1059"/>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Mean (%)</w:t>
            </w:r>
          </w:p>
        </w:tc>
        <w:tc>
          <w:tcPr>
            <w:tcW w:type="dxa" w:w="119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i/>
                <w:iCs/>
                <w:sz w:val="16"/>
                <w:szCs w:val="16"/>
              </w:rPr>
              <w:t xml:space="preserve">t</w:t>
            </w:r>
            <w:r>
              <w:rPr>
                <w:rFonts w:asciiTheme="minorHAnsi" w:hAnsiTheme="minorHAnsi" w:cstheme="minorHAnsi"/>
                <w:sz w:val="16"/>
                <w:szCs w:val="16"/>
              </w:rPr>
              <w:t xml:space="preserve"> </w:t>
            </w:r>
            <w:r>
              <w:rPr>
                <w:rFonts w:asciiTheme="minorHAnsi" w:hAnsiTheme="minorHAnsi" w:cstheme="minorHAnsi"/>
                <w:sz w:val="16"/>
                <w:szCs w:val="16"/>
              </w:rPr>
              <w:t xml:space="preserve">(date)</w:t>
            </w:r>
          </w:p>
        </w:tc>
        <w:tc>
          <w:tcPr>
            <w:tcW w:type="dxa" w:w="119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i/>
                <w:iCs/>
                <w:sz w:val="16"/>
                <w:szCs w:val="16"/>
              </w:rPr>
              <w:t xml:space="preserve">t</w:t>
            </w:r>
            <w:r>
              <w:rPr>
                <w:rFonts w:asciiTheme="minorHAnsi" w:hAnsiTheme="minorHAnsi" w:cstheme="minorHAnsi"/>
                <w:sz w:val="16"/>
                <w:szCs w:val="16"/>
              </w:rPr>
              <w:t xml:space="preserve"> </w:t>
            </w:r>
            <w:r>
              <w:rPr>
                <w:rFonts w:asciiTheme="minorHAnsi" w:hAnsiTheme="minorHAnsi" w:cstheme="minorHAnsi"/>
                <w:sz w:val="16"/>
                <w:szCs w:val="16"/>
              </w:rPr>
              <w:t xml:space="preserve">(week)</w:t>
            </w:r>
          </w:p>
        </w:tc>
        <w:tc>
          <w:tcPr>
            <w:tcW w:type="dxa" w:w="1457"/>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i/>
                <w:iCs/>
                <w:sz w:val="16"/>
                <w:szCs w:val="16"/>
              </w:rPr>
              <w:t xml:space="preserve">t</w:t>
            </w:r>
            <w:r>
              <w:rPr>
                <w:rFonts w:asciiTheme="minorHAnsi" w:hAnsiTheme="minorHAnsi" w:cstheme="minorHAnsi"/>
                <w:sz w:val="16"/>
                <w:szCs w:val="16"/>
              </w:rPr>
              <w:t xml:space="preserve"> </w:t>
            </w:r>
            <w:r>
              <w:rPr>
                <w:rFonts w:asciiTheme="minorHAnsi" w:hAnsiTheme="minorHAnsi" w:cstheme="minorHAnsi"/>
                <w:sz w:val="16"/>
                <w:szCs w:val="16"/>
              </w:rPr>
              <w:t xml:space="preserve">(10-day)</w:t>
            </w:r>
          </w:p>
        </w:tc>
        <w:tc>
          <w:tcPr>
            <w:tcW w:type="dxa" w:w="1457"/>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i/>
                <w:iCs/>
                <w:sz w:val="16"/>
                <w:szCs w:val="16"/>
              </w:rPr>
              <w:t xml:space="preserve">t</w:t>
            </w:r>
            <w:r>
              <w:rPr>
                <w:rFonts w:asciiTheme="minorHAnsi" w:hAnsiTheme="minorHAnsi" w:cstheme="minorHAnsi"/>
                <w:sz w:val="16"/>
                <w:szCs w:val="16"/>
              </w:rPr>
              <w:t xml:space="preserve"> </w:t>
            </w:r>
            <w:r>
              <w:rPr>
                <w:rFonts w:asciiTheme="minorHAnsi" w:hAnsiTheme="minorHAnsi" w:cstheme="minorHAnsi"/>
                <w:sz w:val="16"/>
                <w:szCs w:val="16"/>
              </w:rPr>
              <w:t xml:space="preserve">(halves)</w:t>
            </w:r>
          </w:p>
        </w:tc>
        <w:tc>
          <w:tcPr>
            <w:tcW w:type="dxa" w:w="119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Events</w:t>
            </w:r>
          </w:p>
        </w:tc>
      </w:tr>
      <w:tr>
        <w:trPr>
          <w:cantSplit/>
        </w:trPr>
        <w:tc>
          <w:tcPr>
            <w:tcW w:type="dxa" w:w="1324"/>
            <w:tcBorders/>
          </w:tcPr>
          <w:p>
            <w:pPr>
              <w:keepNext/>
              <w:spacing w:before="10" w:after="10" w:line="240" w:lineRule="auto"/>
              <w:jc w:val="left"/>
            </w:pPr>
            <w:r>
              <w:rPr>
                <w:rFonts w:asciiTheme="minorHAnsi" w:hAnsiTheme="minorHAnsi" w:cstheme="minorHAnsi"/>
                <w:sz w:val="16"/>
                <w:szCs w:val="16"/>
              </w:rPr>
              <w:t xml:space="preserve">Ceiling</w:t>
            </w:r>
          </w:p>
        </w:tc>
        <w:tc>
          <w:tcPr>
            <w:tcW w:type="dxa" w:w="1324"/>
            <w:tcBorders/>
          </w:tcPr>
          <w:p>
            <w:pPr>
              <w:keepNext/>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+1</w:t>
            </w:r>
          </w:p>
        </w:tc>
        <w:tc>
          <w:tcPr>
            <w:tcW w:type="dxa" w:w="1059"/>
            <w:tcBorders/>
          </w:tcPr>
          <w:p>
            <w:pPr>
              <w:keepNext/>
              <w:spacing w:before="10" w:after="10" w:line="240" w:lineRule="auto"/>
              <w:jc w:val="left"/>
            </w:pPr>
            <w:r>
              <w:rPr>
                <w:rFonts w:asciiTheme="minorHAnsi" w:hAnsiTheme="minorHAnsi" w:cstheme="minorHAnsi"/>
                <w:sz w:val="16"/>
                <w:szCs w:val="16"/>
              </w:rPr>
              <w:t xml:space="preserve">1.66</w:t>
            </w:r>
          </w:p>
        </w:tc>
        <w:tc>
          <w:tcPr>
            <w:tcW w:type="dxa" w:w="1192"/>
            <w:tcBorders/>
          </w:tcPr>
          <w:p>
            <w:pPr>
              <w:keepNext/>
              <w:spacing w:before="10" w:after="10" w:line="240" w:lineRule="auto"/>
              <w:jc w:val="left"/>
            </w:pPr>
            <w:r>
              <w:rPr>
                <w:rFonts w:asciiTheme="minorHAnsi" w:hAnsiTheme="minorHAnsi" w:cstheme="minorHAnsi"/>
                <w:sz w:val="16"/>
                <w:szCs w:val="16"/>
              </w:rPr>
              <w:t xml:space="preserve">4.90</w:t>
            </w:r>
          </w:p>
        </w:tc>
        <w:tc>
          <w:tcPr>
            <w:tcW w:type="dxa" w:w="1192"/>
            <w:tcBorders/>
          </w:tcPr>
          <w:p>
            <w:pPr>
              <w:keepNext/>
              <w:spacing w:before="10" w:after="10" w:line="240" w:lineRule="auto"/>
              <w:jc w:val="left"/>
            </w:pPr>
            <w:r>
              <w:rPr>
                <w:rFonts w:asciiTheme="minorHAnsi" w:hAnsiTheme="minorHAnsi" w:cstheme="minorHAnsi"/>
                <w:sz w:val="16"/>
                <w:szCs w:val="16"/>
              </w:rPr>
              <w:t xml:space="preserve">4.67</w:t>
            </w:r>
          </w:p>
        </w:tc>
        <w:tc>
          <w:tcPr>
            <w:tcW w:type="dxa" w:w="1457"/>
            <w:tcBorders/>
          </w:tcPr>
          <w:p>
            <w:pPr>
              <w:keepNext/>
              <w:spacing w:before="10" w:after="10" w:line="240" w:lineRule="auto"/>
              <w:jc w:val="left"/>
            </w:pPr>
            <w:r>
              <w:rPr>
                <w:rFonts w:asciiTheme="minorHAnsi" w:hAnsiTheme="minorHAnsi" w:cstheme="minorHAnsi"/>
                <w:sz w:val="16"/>
                <w:szCs w:val="16"/>
              </w:rPr>
              <w:t xml:space="preserve">4.61</w:t>
            </w:r>
          </w:p>
        </w:tc>
        <w:tc>
          <w:tcPr>
            <w:tcW w:type="dxa" w:w="1457"/>
            <w:tcBorders/>
          </w:tcPr>
          <w:p>
            <w:pPr>
              <w:keepNext/>
              <w:spacing w:before="10" w:after="10" w:line="240" w:lineRule="auto"/>
              <w:jc w:val="left"/>
            </w:pPr>
            <w:r>
              <w:rPr>
                <w:rFonts w:asciiTheme="minorHAnsi" w:hAnsiTheme="minorHAnsi" w:cstheme="minorHAnsi"/>
                <w:sz w:val="16"/>
                <w:szCs w:val="16"/>
              </w:rPr>
              <w:t xml:space="preserve">2.2 / 13.7</w:t>
            </w:r>
          </w:p>
        </w:tc>
        <w:tc>
          <w:tcPr>
            <w:tcW w:type="dxa" w:w="1192"/>
            <w:tcBorders/>
          </w:tcPr>
          <w:p>
            <w:pPr>
              <w:keepNext/>
              <w:spacing w:before="10" w:after="10" w:line="240" w:lineRule="auto"/>
              <w:jc w:val="left"/>
            </w:pPr>
            <w:r>
              <w:rPr>
                <w:rFonts w:asciiTheme="minorHAnsi" w:hAnsiTheme="minorHAnsi" w:cstheme="minorHAnsi"/>
                <w:sz w:val="16"/>
                <w:szCs w:val="16"/>
              </w:rPr>
              <w:t xml:space="preserve">3,187</w:t>
            </w:r>
          </w:p>
        </w:tc>
      </w:tr>
      <w:tr>
        <w:trPr>
          <w:cantSplit/>
        </w:trPr>
        <w:tc>
          <w:tcPr>
            <w:tcW w:type="dxa" w:w="1324"/>
            <w:tcBorders/>
          </w:tcPr>
          <w:p>
            <w:pPr>
              <w:keepNext/>
              <w:spacing w:before="10" w:after="10" w:line="240" w:lineRule="auto"/>
              <w:jc w:val="left"/>
            </w:pPr>
            <w:r>
              <w:rPr>
                <w:rFonts w:asciiTheme="minorHAnsi" w:hAnsiTheme="minorHAnsi" w:cstheme="minorHAnsi"/>
                <w:sz w:val="16"/>
                <w:szCs w:val="16"/>
              </w:rPr>
              <w:t xml:space="preserve">Ceiling</w:t>
            </w:r>
          </w:p>
        </w:tc>
        <w:tc>
          <w:tcPr>
            <w:tcW w:type="dxa" w:w="1324"/>
            <w:tcBorders/>
          </w:tcPr>
          <w:p>
            <w:pPr>
              <w:keepNext/>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+1 to</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059"/>
            <w:tcBorders/>
          </w:tcPr>
          <w:p>
            <w:pPr>
              <w:keepNext/>
              <w:spacing w:before="10" w:after="10" w:line="240" w:lineRule="auto"/>
              <w:jc w:val="left"/>
            </w:pPr>
            <w:r>
              <w:rPr>
                <w:rFonts w:asciiTheme="minorHAnsi" w:hAnsiTheme="minorHAnsi" w:cstheme="minorHAnsi"/>
                <w:sz w:val="16"/>
                <w:szCs w:val="16"/>
              </w:rPr>
              <w:t xml:space="preserve">1.45</w:t>
            </w:r>
          </w:p>
        </w:tc>
        <w:tc>
          <w:tcPr>
            <w:tcW w:type="dxa" w:w="1192"/>
            <w:tcBorders/>
          </w:tcPr>
          <w:p>
            <w:pPr>
              <w:keepNext/>
              <w:spacing w:before="10" w:after="10" w:line="240" w:lineRule="auto"/>
              <w:jc w:val="left"/>
            </w:pPr>
            <w:r>
              <w:rPr>
                <w:rFonts w:asciiTheme="minorHAnsi" w:hAnsiTheme="minorHAnsi" w:cstheme="minorHAnsi"/>
                <w:sz w:val="16"/>
                <w:szCs w:val="16"/>
              </w:rPr>
              <w:t xml:space="preserve">4.00</w:t>
            </w:r>
          </w:p>
        </w:tc>
        <w:tc>
          <w:tcPr>
            <w:tcW w:type="dxa" w:w="1192"/>
            <w:tcBorders/>
          </w:tcPr>
          <w:p>
            <w:pPr>
              <w:keepNext/>
              <w:spacing w:before="10" w:after="10" w:line="240" w:lineRule="auto"/>
              <w:jc w:val="left"/>
            </w:pPr>
            <w:r>
              <w:rPr>
                <w:rFonts w:asciiTheme="minorHAnsi" w:hAnsiTheme="minorHAnsi" w:cstheme="minorHAnsi"/>
                <w:sz w:val="16"/>
                <w:szCs w:val="16"/>
              </w:rPr>
              <w:t xml:space="preserve">3.67</w:t>
            </w:r>
          </w:p>
        </w:tc>
        <w:tc>
          <w:tcPr>
            <w:tcW w:type="dxa" w:w="1457"/>
            <w:tcBorders/>
          </w:tcPr>
          <w:p>
            <w:pPr>
              <w:keepNext/>
              <w:spacing w:before="10" w:after="10" w:line="240" w:lineRule="auto"/>
              <w:jc w:val="left"/>
            </w:pPr>
            <w:r>
              <w:rPr>
                <w:rFonts w:asciiTheme="minorHAnsi" w:hAnsiTheme="minorHAnsi" w:cstheme="minorHAnsi"/>
                <w:sz w:val="16"/>
                <w:szCs w:val="16"/>
              </w:rPr>
              <w:t xml:space="preserve">3.81</w:t>
            </w:r>
          </w:p>
        </w:tc>
        <w:tc>
          <w:tcPr>
            <w:tcW w:type="dxa" w:w="1457"/>
            <w:tcBorders/>
          </w:tcPr>
          <w:p>
            <w:pPr>
              <w:keepNext/>
              <w:spacing w:before="10" w:after="10" w:line="240" w:lineRule="auto"/>
              <w:jc w:val="left"/>
            </w:pPr>
            <w:r>
              <w:rPr>
                <w:rFonts w:asciiTheme="minorHAnsi" w:hAnsiTheme="minorHAnsi" w:cstheme="minorHAnsi"/>
                <w:sz w:val="16"/>
                <w:szCs w:val="16"/>
              </w:rPr>
              <w:t xml:space="preserve">1.7 / 5.0</w:t>
            </w:r>
          </w:p>
        </w:tc>
        <w:tc>
          <w:tcPr>
            <w:tcW w:type="dxa" w:w="1192"/>
            <w:tcBorders/>
          </w:tcPr>
          <w:p>
            <w:pPr>
              <w:keepNext/>
              <w:spacing w:before="10" w:after="10" w:line="240" w:lineRule="auto"/>
              <w:jc w:val="left"/>
            </w:pPr>
            <w:r>
              <w:rPr>
                <w:rFonts w:asciiTheme="minorHAnsi" w:hAnsiTheme="minorHAnsi" w:cstheme="minorHAnsi"/>
                <w:sz w:val="16"/>
                <w:szCs w:val="16"/>
              </w:rPr>
              <w:t xml:space="preserve">3,187</w:t>
            </w:r>
          </w:p>
        </w:tc>
      </w:tr>
      <w:tr>
        <w:trPr>
          <w:cantSplit/>
        </w:trPr>
        <w:tc>
          <w:tcPr>
            <w:tcW w:type="dxa" w:w="1324"/>
            <w:tcBorders/>
          </w:tcPr>
          <w:p>
            <w:pPr>
              <w:keepNext/>
              <w:spacing w:before="10" w:after="10" w:line="240" w:lineRule="auto"/>
              <w:jc w:val="left"/>
            </w:pPr>
            <w:r>
              <w:rPr>
                <w:rFonts w:asciiTheme="minorHAnsi" w:hAnsiTheme="minorHAnsi" w:cstheme="minorHAnsi"/>
                <w:sz w:val="16"/>
                <w:szCs w:val="16"/>
              </w:rPr>
              <w:t xml:space="preserve">Ceiling</w:t>
            </w:r>
          </w:p>
        </w:tc>
        <w:tc>
          <w:tcPr>
            <w:tcW w:type="dxa" w:w="1324"/>
            <w:tcBorders/>
          </w:tcPr>
          <w:p>
            <w:pPr>
              <w:keepNext/>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+2 to</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059"/>
            <w:tcBorders/>
          </w:tcPr>
          <w:p>
            <w:pPr>
              <w:keepNext/>
              <w:spacing w:before="10" w:after="10" w:line="240" w:lineRule="auto"/>
              <w:jc w:val="left"/>
            </w:pPr>
            <w:r>
              <w:rPr>
                <w:rFonts w:asciiTheme="minorHAnsi" w:hAnsiTheme="minorHAnsi" w:cstheme="minorHAnsi"/>
                <w:sz w:val="16"/>
                <w:szCs w:val="16"/>
              </w:rPr>
              <w:t xml:space="preserve">−0.24</w:t>
            </w:r>
          </w:p>
        </w:tc>
        <w:tc>
          <w:tcPr>
            <w:tcW w:type="dxa" w:w="1192"/>
            <w:tcBorders/>
          </w:tcPr>
          <w:p>
            <w:pPr>
              <w:keepNext/>
              <w:spacing w:before="10" w:after="10" w:line="240" w:lineRule="auto"/>
              <w:jc w:val="left"/>
            </w:pPr>
            <w:r>
              <w:rPr>
                <w:rFonts w:asciiTheme="minorHAnsi" w:hAnsiTheme="minorHAnsi" w:cstheme="minorHAnsi"/>
                <w:sz w:val="16"/>
                <w:szCs w:val="16"/>
              </w:rPr>
              <w:t xml:space="preserve">−1.53</w:t>
            </w:r>
          </w:p>
        </w:tc>
        <w:tc>
          <w:tcPr>
            <w:tcW w:type="dxa" w:w="1192"/>
            <w:tcBorders/>
          </w:tcPr>
          <w:p>
            <w:pPr>
              <w:keepNext/>
              <w:spacing w:before="10" w:after="10" w:line="240" w:lineRule="auto"/>
              <w:jc w:val="left"/>
            </w:pPr>
            <w:r>
              <w:rPr>
                <w:rFonts w:asciiTheme="minorHAnsi" w:hAnsiTheme="minorHAnsi" w:cstheme="minorHAnsi"/>
                <w:sz w:val="16"/>
                <w:szCs w:val="16"/>
              </w:rPr>
              <w:t xml:space="preserve">−1.11</w:t>
            </w:r>
          </w:p>
        </w:tc>
        <w:tc>
          <w:tcPr>
            <w:tcW w:type="dxa" w:w="1457"/>
            <w:tcBorders/>
          </w:tcPr>
          <w:p>
            <w:pPr>
              <w:keepNext/>
              <w:spacing w:before="10" w:after="10" w:line="240" w:lineRule="auto"/>
              <w:jc w:val="left"/>
            </w:pPr>
            <w:r>
              <w:rPr>
                <w:rFonts w:asciiTheme="minorHAnsi" w:hAnsiTheme="minorHAnsi" w:cstheme="minorHAnsi"/>
                <w:sz w:val="16"/>
                <w:szCs w:val="16"/>
              </w:rPr>
              <w:t xml:space="preserve">−1.25</w:t>
            </w:r>
          </w:p>
        </w:tc>
        <w:tc>
          <w:tcPr>
            <w:tcW w:type="dxa" w:w="1457"/>
            <w:tcBorders/>
          </w:tcPr>
          <w:p>
            <w:pPr>
              <w:keepNext/>
              <w:spacing w:before="10" w:after="10" w:line="240" w:lineRule="auto"/>
              <w:jc w:val="left"/>
            </w:pPr>
            <w:r>
              <w:rPr>
                <w:rFonts w:asciiTheme="minorHAnsi" w:hAnsiTheme="minorHAnsi" w:cstheme="minorHAnsi"/>
                <w:sz w:val="16"/>
                <w:szCs w:val="16"/>
              </w:rPr>
              <w:t xml:space="preserve">−1.1 / −0.4</w:t>
            </w:r>
          </w:p>
        </w:tc>
        <w:tc>
          <w:tcPr>
            <w:tcW w:type="dxa" w:w="1192"/>
            <w:tcBorders/>
          </w:tcPr>
          <w:p>
            <w:pPr>
              <w:keepNext/>
              <w:spacing w:before="10" w:after="10" w:line="240" w:lineRule="auto"/>
              <w:jc w:val="left"/>
            </w:pPr>
            <w:r>
              <w:rPr>
                <w:rFonts w:asciiTheme="minorHAnsi" w:hAnsiTheme="minorHAnsi" w:cstheme="minorHAnsi"/>
                <w:sz w:val="16"/>
                <w:szCs w:val="16"/>
              </w:rPr>
              <w:t xml:space="preserve">3,187</w:t>
            </w:r>
          </w:p>
        </w:tc>
      </w:tr>
      <w:tr>
        <w:trPr>
          <w:cantSplit/>
        </w:trPr>
        <w:tc>
          <w:tcPr>
            <w:tcW w:type="dxa" w:w="1324"/>
            <w:tcBorders/>
          </w:tcPr>
          <w:p>
            <w:pPr>
              <w:keepNext/>
              <w:spacing w:before="10" w:after="10" w:line="240" w:lineRule="auto"/>
              <w:jc w:val="left"/>
            </w:pPr>
            <w:r>
              <w:rPr>
                <w:rFonts w:asciiTheme="minorHAnsi" w:hAnsiTheme="minorHAnsi" w:cstheme="minorHAnsi"/>
                <w:sz w:val="16"/>
                <w:szCs w:val="16"/>
              </w:rPr>
              <w:t xml:space="preserve">Floor</w:t>
            </w:r>
          </w:p>
        </w:tc>
        <w:tc>
          <w:tcPr>
            <w:tcW w:type="dxa" w:w="1324"/>
            <w:tcBorders/>
          </w:tcPr>
          <w:p>
            <w:pPr>
              <w:keepNext/>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+1</w:t>
            </w:r>
          </w:p>
        </w:tc>
        <w:tc>
          <w:tcPr>
            <w:tcW w:type="dxa" w:w="1059"/>
            <w:tcBorders/>
          </w:tcPr>
          <w:p>
            <w:pPr>
              <w:keepNext/>
              <w:spacing w:before="10" w:after="10" w:line="240" w:lineRule="auto"/>
              <w:jc w:val="left"/>
            </w:pPr>
            <w:r>
              <w:rPr>
                <w:rFonts w:asciiTheme="minorHAnsi" w:hAnsiTheme="minorHAnsi" w:cstheme="minorHAnsi"/>
                <w:sz w:val="16"/>
                <w:szCs w:val="16"/>
              </w:rPr>
              <w:t xml:space="preserve">−0.71</w:t>
            </w:r>
          </w:p>
        </w:tc>
        <w:tc>
          <w:tcPr>
            <w:tcW w:type="dxa" w:w="1192"/>
            <w:tcBorders/>
          </w:tcPr>
          <w:p>
            <w:pPr>
              <w:keepNext/>
              <w:spacing w:before="10" w:after="10" w:line="240" w:lineRule="auto"/>
              <w:jc w:val="left"/>
            </w:pPr>
            <w:r>
              <w:rPr>
                <w:rFonts w:asciiTheme="minorHAnsi" w:hAnsiTheme="minorHAnsi" w:cstheme="minorHAnsi"/>
                <w:sz w:val="16"/>
                <w:szCs w:val="16"/>
              </w:rPr>
              <w:t xml:space="preserve">−5.32</w:t>
            </w:r>
          </w:p>
        </w:tc>
        <w:tc>
          <w:tcPr>
            <w:tcW w:type="dxa" w:w="1192"/>
            <w:tcBorders/>
          </w:tcPr>
          <w:p>
            <w:pPr>
              <w:keepNext/>
              <w:spacing w:before="10" w:after="10" w:line="240" w:lineRule="auto"/>
              <w:jc w:val="left"/>
            </w:pPr>
            <w:r>
              <w:rPr>
                <w:rFonts w:asciiTheme="minorHAnsi" w:hAnsiTheme="minorHAnsi" w:cstheme="minorHAnsi"/>
                <w:sz w:val="16"/>
                <w:szCs w:val="16"/>
              </w:rPr>
              <w:t xml:space="preserve">−4.66</w:t>
            </w:r>
          </w:p>
        </w:tc>
        <w:tc>
          <w:tcPr>
            <w:tcW w:type="dxa" w:w="1457"/>
            <w:tcBorders/>
          </w:tcPr>
          <w:p>
            <w:pPr>
              <w:keepNext/>
              <w:spacing w:before="10" w:after="10" w:line="240" w:lineRule="auto"/>
              <w:jc w:val="left"/>
            </w:pPr>
            <w:r>
              <w:rPr>
                <w:rFonts w:asciiTheme="minorHAnsi" w:hAnsiTheme="minorHAnsi" w:cstheme="minorHAnsi"/>
                <w:sz w:val="16"/>
                <w:szCs w:val="16"/>
              </w:rPr>
              <w:t xml:space="preserve">−6.25</w:t>
            </w:r>
          </w:p>
        </w:tc>
        <w:tc>
          <w:tcPr>
            <w:tcW w:type="dxa" w:w="1457"/>
            <w:tcBorders/>
          </w:tcPr>
          <w:p>
            <w:pPr>
              <w:keepNext/>
              <w:spacing w:before="10" w:after="10" w:line="240" w:lineRule="auto"/>
              <w:jc w:val="left"/>
            </w:pPr>
            <w:r>
              <w:rPr>
                <w:rFonts w:asciiTheme="minorHAnsi" w:hAnsiTheme="minorHAnsi" w:cstheme="minorHAnsi"/>
                <w:sz w:val="16"/>
                <w:szCs w:val="16"/>
              </w:rPr>
              <w:t xml:space="preserve">−2.7 / −4.6</w:t>
            </w:r>
          </w:p>
        </w:tc>
        <w:tc>
          <w:tcPr>
            <w:tcW w:type="dxa" w:w="1192"/>
            <w:tcBorders/>
          </w:tcPr>
          <w:p>
            <w:pPr>
              <w:keepNext/>
              <w:spacing w:before="10" w:after="10" w:line="240" w:lineRule="auto"/>
              <w:jc w:val="left"/>
            </w:pPr>
            <w:r>
              <w:rPr>
                <w:rFonts w:asciiTheme="minorHAnsi" w:hAnsiTheme="minorHAnsi" w:cstheme="minorHAnsi"/>
                <w:sz w:val="16"/>
                <w:szCs w:val="16"/>
              </w:rPr>
              <w:t xml:space="preserve">2,105</w:t>
            </w:r>
          </w:p>
        </w:tc>
      </w:tr>
      <w:tr>
        <w:trPr>
          <w:cantSplit/>
        </w:trPr>
        <w:tc>
          <w:tcPr>
            <w:tcW w:type="dxa" w:w="1324"/>
            <w:tcBorders/>
          </w:tcPr>
          <w:p>
            <w:pPr>
              <w:keepNext/>
              <w:spacing w:before="10" w:after="10" w:line="240" w:lineRule="auto"/>
              <w:jc w:val="left"/>
            </w:pPr>
            <w:r>
              <w:rPr>
                <w:rFonts w:asciiTheme="minorHAnsi" w:hAnsiTheme="minorHAnsi" w:cstheme="minorHAnsi"/>
                <w:sz w:val="16"/>
                <w:szCs w:val="16"/>
              </w:rPr>
              <w:t xml:space="preserve">Floor</w:t>
            </w:r>
          </w:p>
        </w:tc>
        <w:tc>
          <w:tcPr>
            <w:tcW w:type="dxa" w:w="1324"/>
            <w:tcBorders/>
          </w:tcPr>
          <w:p>
            <w:pPr>
              <w:keepNext/>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+1 to</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059"/>
            <w:tcBorders/>
          </w:tcPr>
          <w:p>
            <w:pPr>
              <w:keepNext/>
              <w:spacing w:before="10" w:after="10" w:line="240" w:lineRule="auto"/>
              <w:jc w:val="left"/>
            </w:pPr>
            <w:r>
              <w:rPr>
                <w:rFonts w:asciiTheme="minorHAnsi" w:hAnsiTheme="minorHAnsi" w:cstheme="minorHAnsi"/>
                <w:sz w:val="16"/>
                <w:szCs w:val="16"/>
              </w:rPr>
              <w:t xml:space="preserve">−1.76</w:t>
            </w:r>
          </w:p>
        </w:tc>
        <w:tc>
          <w:tcPr>
            <w:tcW w:type="dxa" w:w="1192"/>
            <w:tcBorders/>
          </w:tcPr>
          <w:p>
            <w:pPr>
              <w:keepNext/>
              <w:spacing w:before="10" w:after="10" w:line="240" w:lineRule="auto"/>
              <w:jc w:val="left"/>
            </w:pPr>
            <w:r>
              <w:rPr>
                <w:rFonts w:asciiTheme="minorHAnsi" w:hAnsiTheme="minorHAnsi" w:cstheme="minorHAnsi"/>
                <w:sz w:val="16"/>
                <w:szCs w:val="16"/>
              </w:rPr>
              <w:t xml:space="preserve">−4.74</w:t>
            </w:r>
          </w:p>
        </w:tc>
        <w:tc>
          <w:tcPr>
            <w:tcW w:type="dxa" w:w="1192"/>
            <w:tcBorders/>
          </w:tcPr>
          <w:p>
            <w:pPr>
              <w:keepNext/>
              <w:spacing w:before="10" w:after="10" w:line="240" w:lineRule="auto"/>
              <w:jc w:val="left"/>
            </w:pPr>
            <w:r>
              <w:rPr>
                <w:rFonts w:asciiTheme="minorHAnsi" w:hAnsiTheme="minorHAnsi" w:cstheme="minorHAnsi"/>
                <w:sz w:val="16"/>
                <w:szCs w:val="16"/>
              </w:rPr>
              <w:t xml:space="preserve">−4.80</w:t>
            </w:r>
          </w:p>
        </w:tc>
        <w:tc>
          <w:tcPr>
            <w:tcW w:type="dxa" w:w="1457"/>
            <w:tcBorders/>
          </w:tcPr>
          <w:p>
            <w:pPr>
              <w:keepNext/>
              <w:spacing w:before="10" w:after="10" w:line="240" w:lineRule="auto"/>
              <w:jc w:val="left"/>
            </w:pPr>
            <w:r>
              <w:rPr>
                <w:rFonts w:asciiTheme="minorHAnsi" w:hAnsiTheme="minorHAnsi" w:cstheme="minorHAnsi"/>
                <w:sz w:val="16"/>
                <w:szCs w:val="16"/>
              </w:rPr>
              <w:t xml:space="preserve">−4.92</w:t>
            </w:r>
          </w:p>
        </w:tc>
        <w:tc>
          <w:tcPr>
            <w:tcW w:type="dxa" w:w="1457"/>
            <w:tcBorders/>
          </w:tcPr>
          <w:p>
            <w:pPr>
              <w:keepNext/>
              <w:spacing w:before="10" w:after="10" w:line="240" w:lineRule="auto"/>
              <w:jc w:val="left"/>
            </w:pPr>
            <w:r>
              <w:rPr>
                <w:rFonts w:asciiTheme="minorHAnsi" w:hAnsiTheme="minorHAnsi" w:cstheme="minorHAnsi"/>
                <w:sz w:val="16"/>
                <w:szCs w:val="16"/>
              </w:rPr>
              <w:t xml:space="preserve">−12.3 / −2.2</w:t>
            </w:r>
          </w:p>
        </w:tc>
        <w:tc>
          <w:tcPr>
            <w:tcW w:type="dxa" w:w="1192"/>
            <w:tcBorders/>
          </w:tcPr>
          <w:p>
            <w:pPr>
              <w:keepNext/>
              <w:spacing w:before="10" w:after="10" w:line="240" w:lineRule="auto"/>
              <w:jc w:val="left"/>
            </w:pPr>
            <w:r>
              <w:rPr>
                <w:rFonts w:asciiTheme="minorHAnsi" w:hAnsiTheme="minorHAnsi" w:cstheme="minorHAnsi"/>
                <w:sz w:val="16"/>
                <w:szCs w:val="16"/>
              </w:rPr>
              <w:t xml:space="preserve">2,105</w:t>
            </w:r>
          </w:p>
        </w:tc>
      </w:tr>
      <w:tr>
        <w:trPr>
          <w:cantSplit/>
        </w:trPr>
        <w:tc>
          <w:tcPr>
            <w:tcW w:type="dxa" w:w="1324"/>
            <w:tcBorders>
              <w:bottom w:val="single" w:sz="8" w:space="0" w:color="000000"/>
            </w:tcBorders>
          </w:tcPr>
          <w:p>
            <w:pPr>
              <w:spacing w:before="10" w:after="10" w:line="240" w:lineRule="auto"/>
              <w:jc w:val="left"/>
            </w:pPr>
            <w:r>
              <w:rPr>
                <w:rFonts w:asciiTheme="minorHAnsi" w:hAnsiTheme="minorHAnsi" w:cstheme="minorHAnsi"/>
                <w:sz w:val="16"/>
                <w:szCs w:val="16"/>
              </w:rPr>
              <w:t xml:space="preserve">Floor</w:t>
            </w:r>
          </w:p>
        </w:tc>
        <w:tc>
          <w:tcPr>
            <w:tcW w:type="dxa" w:w="1324"/>
            <w:tcBorders>
              <w:bottom w:val="single" w:sz="8" w:space="0" w:color="000000"/>
            </w:tcBorders>
          </w:tcPr>
          <w:p>
            <w:pPr>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+2 to</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059"/>
            <w:tcBorders>
              <w:bottom w:val="single" w:sz="8" w:space="0" w:color="000000"/>
            </w:tcBorders>
          </w:tcPr>
          <w:p>
            <w:pPr>
              <w:spacing w:before="10" w:after="10" w:line="240" w:lineRule="auto"/>
              <w:jc w:val="left"/>
            </w:pPr>
            <w:r>
              <w:rPr>
                <w:rFonts w:asciiTheme="minorHAnsi" w:hAnsiTheme="minorHAnsi" w:cstheme="minorHAnsi"/>
                <w:sz w:val="16"/>
                <w:szCs w:val="16"/>
              </w:rPr>
              <w:t xml:space="preserve">−1.10</w:t>
            </w:r>
          </w:p>
        </w:tc>
        <w:tc>
          <w:tcPr>
            <w:tcW w:type="dxa" w:w="1192"/>
            <w:tcBorders>
              <w:bottom w:val="single" w:sz="8" w:space="0" w:color="000000"/>
            </w:tcBorders>
          </w:tcPr>
          <w:p>
            <w:pPr>
              <w:spacing w:before="10" w:after="10" w:line="240" w:lineRule="auto"/>
              <w:jc w:val="left"/>
            </w:pPr>
            <w:r>
              <w:rPr>
                <w:rFonts w:asciiTheme="minorHAnsi" w:hAnsiTheme="minorHAnsi" w:cstheme="minorHAnsi"/>
                <w:sz w:val="16"/>
                <w:szCs w:val="16"/>
              </w:rPr>
              <w:t xml:space="preserve">−2.91</w:t>
            </w:r>
          </w:p>
        </w:tc>
        <w:tc>
          <w:tcPr>
            <w:tcW w:type="dxa" w:w="1192"/>
            <w:tcBorders>
              <w:bottom w:val="single" w:sz="8" w:space="0" w:color="000000"/>
            </w:tcBorders>
          </w:tcPr>
          <w:p>
            <w:pPr>
              <w:spacing w:before="10" w:after="10" w:line="240" w:lineRule="auto"/>
              <w:jc w:val="left"/>
            </w:pPr>
            <w:r>
              <w:rPr>
                <w:rFonts w:asciiTheme="minorHAnsi" w:hAnsiTheme="minorHAnsi" w:cstheme="minorHAnsi"/>
                <w:sz w:val="16"/>
                <w:szCs w:val="16"/>
              </w:rPr>
              <w:t xml:space="preserve">−3.01</w:t>
            </w:r>
          </w:p>
        </w:tc>
        <w:tc>
          <w:tcPr>
            <w:tcW w:type="dxa" w:w="1457"/>
            <w:tcBorders>
              <w:bottom w:val="single" w:sz="8" w:space="0" w:color="000000"/>
            </w:tcBorders>
          </w:tcPr>
          <w:p>
            <w:pPr>
              <w:spacing w:before="10" w:after="10" w:line="240" w:lineRule="auto"/>
              <w:jc w:val="left"/>
            </w:pPr>
            <w:r>
              <w:rPr>
                <w:rFonts w:asciiTheme="minorHAnsi" w:hAnsiTheme="minorHAnsi" w:cstheme="minorHAnsi"/>
                <w:sz w:val="16"/>
                <w:szCs w:val="16"/>
              </w:rPr>
              <w:t xml:space="preserve">−2.81</w:t>
            </w:r>
          </w:p>
        </w:tc>
        <w:tc>
          <w:tcPr>
            <w:tcW w:type="dxa" w:w="1457"/>
            <w:tcBorders>
              <w:bottom w:val="single" w:sz="8" w:space="0" w:color="000000"/>
            </w:tcBorders>
          </w:tcPr>
          <w:p>
            <w:pPr>
              <w:spacing w:before="10" w:after="10" w:line="240" w:lineRule="auto"/>
              <w:jc w:val="left"/>
            </w:pPr>
            <w:r>
              <w:rPr>
                <w:rFonts w:asciiTheme="minorHAnsi" w:hAnsiTheme="minorHAnsi" w:cstheme="minorHAnsi"/>
                <w:sz w:val="16"/>
                <w:szCs w:val="16"/>
              </w:rPr>
              <w:t xml:space="preserve">−8.7 / −1.1</w:t>
            </w:r>
          </w:p>
        </w:tc>
        <w:tc>
          <w:tcPr>
            <w:tcW w:type="dxa" w:w="1192"/>
            <w:tcBorders>
              <w:bottom w:val="single" w:sz="8" w:space="0" w:color="000000"/>
            </w:tcBorders>
          </w:tcPr>
          <w:p>
            <w:pPr>
              <w:spacing w:before="10" w:after="10" w:line="240" w:lineRule="auto"/>
              <w:jc w:val="left"/>
            </w:pPr>
            <w:r>
              <w:rPr>
                <w:rFonts w:asciiTheme="minorHAnsi" w:hAnsiTheme="minorHAnsi" w:cstheme="minorHAnsi"/>
                <w:sz w:val="16"/>
                <w:szCs w:val="16"/>
              </w:rPr>
              <w:t xml:space="preserve">2,105</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Mean returns in percent.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(date),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(week), and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(10-day) cluster by event date, calendar week, and 10-day block, with the factor</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G</w:t>
      </w:r>
      <w:r>
        <w:rPr>
          <w:rFonts w:asciiTheme="minorHAnsi" w:eastAsia="Georgia" w:hAnsiTheme="minorHAnsi" w:cstheme="minorHAnsi"/>
          <w:color w:val="000000"/>
          <w:sz w:val="18"/>
          <w:szCs w:val="18"/>
          <w:bdr w:val="nil"/>
          <w:lang w:val="hr-HR" w:eastAsia="es-MX"/>
        </w:rPr>
        <w:t xml:space="preserve">/(</w:t>
      </w:r>
      <w:r>
        <w:rPr>
          <w:rFonts w:asciiTheme="minorHAnsi" w:eastAsia="Georgia" w:hAnsiTheme="minorHAnsi" w:cstheme="minorHAnsi"/>
          <w:i/>
          <w:color w:val="000000"/>
          <w:sz w:val="18"/>
          <w:szCs w:val="18"/>
          <w:bdr w:val="nil"/>
          <w:lang w:val="hr-HR" w:eastAsia="es-MX"/>
        </w:rPr>
        <w:t xml:space="preserve">G</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− 1) and a</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reference with</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G</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− 1 degrees of freedom;</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(halves) is week-clustered for the first and second half of event dates.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2</w:t>
      </w:r>
      <w:r>
        <w:rPr>
          <w:rFonts w:asciiTheme="minorHAnsi" w:eastAsia="Georgia" w:hAnsiTheme="minorHAnsi" w:cstheme="minorHAnsi"/>
          <w:color w:val="000000"/>
          <w:sz w:val="18"/>
          <w:szCs w:val="18"/>
          <w:bdr w:val="nil"/>
          <w:lang w:val="hr-HR" w:eastAsia="es-MX"/>
        </w:rPr>
        <w:t xml:space="preserve"> Decomposition of the next-day abnormal return</w:t>
      </w:r>
    </w:p>
    <w:tbl>
      <w:tblPr>
        <w:tblW w:type="pct" w:w="5000"/>
        <w:jc w:val="center"/>
        <w:tblLayout w:type="fixed"/>
      </w:tblPr>
      <w:tblGrid>
        <w:gridCol w:w="2576"/>
        <w:gridCol w:w="966"/>
        <w:gridCol w:w="1610"/>
        <w:gridCol w:w="1610"/>
        <w:gridCol w:w="1825"/>
        <w:gridCol w:w="1610"/>
      </w:tblGrid>
      <w:tr>
        <w:trPr>
          <w:cantSplit/>
          <w:tblHeader w:val="true"/>
        </w:trPr>
        <w:tc>
          <w:tcPr>
            <w:tcW w:type="dxa" w:w="2576"/>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Sample</w:t>
            </w:r>
          </w:p>
        </w:tc>
        <w:tc>
          <w:tcPr>
            <w:tcW w:type="dxa" w:w="966"/>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Events</w:t>
            </w:r>
          </w:p>
        </w:tc>
        <w:tc>
          <w:tcPr>
            <w:tcW w:type="dxa" w:w="1610"/>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Overnight gap</w:t>
            </w:r>
          </w:p>
        </w:tc>
        <w:tc>
          <w:tcPr>
            <w:tcW w:type="dxa" w:w="1610"/>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Intraday</w:t>
            </w:r>
          </w:p>
        </w:tc>
        <w:tc>
          <w:tcPr>
            <w:tcW w:type="dxa" w:w="1825"/>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Close-to-close</w:t>
            </w:r>
          </w:p>
        </w:tc>
        <w:tc>
          <w:tcPr>
            <w:tcW w:type="dxa" w:w="1610"/>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Open to day</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Ceiling closes</w:t>
            </w:r>
          </w:p>
        </w:tc>
        <w:tc>
          <w:tcPr>
            <w:tcW w:type="dxa" w:w="966"/>
            <w:tcBorders/>
          </w:tcPr>
          <w:p>
            <w:pPr>
              <w:keepNext/>
              <w:spacing w:before="10" w:after="10" w:line="240" w:lineRule="auto"/>
            </w:pPr>
          </w:p>
        </w:tc>
        <w:tc>
          <w:tcPr>
            <w:tcW w:type="dxa" w:w="1610"/>
            <w:tcBorders/>
          </w:tcPr>
          <w:p>
            <w:pPr>
              <w:keepNext/>
              <w:spacing w:before="10" w:after="10" w:line="240" w:lineRule="auto"/>
            </w:pPr>
          </w:p>
        </w:tc>
        <w:tc>
          <w:tcPr>
            <w:tcW w:type="dxa" w:w="1610"/>
            <w:tcBorders/>
          </w:tcPr>
          <w:p>
            <w:pPr>
              <w:keepNext/>
              <w:spacing w:before="10" w:after="10" w:line="240" w:lineRule="auto"/>
            </w:pPr>
          </w:p>
        </w:tc>
        <w:tc>
          <w:tcPr>
            <w:tcW w:type="dxa" w:w="1825"/>
            <w:tcBorders/>
          </w:tcPr>
          <w:p>
            <w:pPr>
              <w:keepNext/>
              <w:spacing w:before="10" w:after="10" w:line="240" w:lineRule="auto"/>
            </w:pPr>
          </w:p>
        </w:tc>
        <w:tc>
          <w:tcPr>
            <w:tcW w:type="dxa" w:w="1610"/>
            <w:tcBorders/>
          </w:tcPr>
          <w:p>
            <w:pPr>
              <w:keepNext/>
              <w:spacing w:before="10" w:after="10" w:line="240" w:lineRule="auto"/>
            </w:pP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All, vs market</w:t>
            </w:r>
          </w:p>
        </w:tc>
        <w:tc>
          <w:tcPr>
            <w:tcW w:type="dxa" w:w="966"/>
            <w:tcBorders/>
          </w:tcPr>
          <w:p>
            <w:pPr>
              <w:keepNext/>
              <w:spacing w:before="10" w:after="10" w:line="240" w:lineRule="auto"/>
              <w:jc w:val="left"/>
            </w:pPr>
            <w:r>
              <w:rPr>
                <w:rFonts w:asciiTheme="minorHAnsi" w:hAnsiTheme="minorHAnsi" w:cstheme="minorHAnsi"/>
                <w:sz w:val="16"/>
                <w:szCs w:val="16"/>
              </w:rPr>
              <w:t xml:space="preserve">3,199</w:t>
            </w:r>
          </w:p>
        </w:tc>
        <w:tc>
          <w:tcPr>
            <w:tcW w:type="dxa" w:w="1610"/>
            <w:tcBorders/>
          </w:tcPr>
          <w:p>
            <w:pPr>
              <w:keepNext/>
              <w:spacing w:before="10" w:after="10" w:line="240" w:lineRule="auto"/>
              <w:jc w:val="left"/>
            </w:pPr>
            <w:r>
              <w:rPr>
                <w:rFonts w:asciiTheme="minorHAnsi" w:hAnsiTheme="minorHAnsi" w:cstheme="minorHAnsi"/>
                <w:sz w:val="16"/>
                <w:szCs w:val="16"/>
              </w:rPr>
              <w:t xml:space="preserve">2.24 (9.7)</w:t>
            </w:r>
          </w:p>
        </w:tc>
        <w:tc>
          <w:tcPr>
            <w:tcW w:type="dxa" w:w="1610"/>
            <w:tcBorders/>
          </w:tcPr>
          <w:p>
            <w:pPr>
              <w:keepNext/>
              <w:spacing w:before="10" w:after="10" w:line="240" w:lineRule="auto"/>
              <w:jc w:val="left"/>
            </w:pPr>
            <w:r>
              <w:rPr>
                <w:rFonts w:asciiTheme="minorHAnsi" w:hAnsiTheme="minorHAnsi" w:cstheme="minorHAnsi"/>
                <w:sz w:val="16"/>
                <w:szCs w:val="16"/>
              </w:rPr>
              <w:t xml:space="preserve">−0.54 (−3.5)</w:t>
            </w:r>
          </w:p>
        </w:tc>
        <w:tc>
          <w:tcPr>
            <w:tcW w:type="dxa" w:w="1825"/>
            <w:tcBorders/>
          </w:tcPr>
          <w:p>
            <w:pPr>
              <w:keepNext/>
              <w:spacing w:before="10" w:after="10" w:line="240" w:lineRule="auto"/>
              <w:jc w:val="left"/>
            </w:pPr>
            <w:r>
              <w:rPr>
                <w:rFonts w:asciiTheme="minorHAnsi" w:hAnsiTheme="minorHAnsi" w:cstheme="minorHAnsi"/>
                <w:sz w:val="16"/>
                <w:szCs w:val="16"/>
              </w:rPr>
              <w:t xml:space="preserve">1.66 (4.8)</w:t>
            </w:r>
          </w:p>
        </w:tc>
        <w:tc>
          <w:tcPr>
            <w:tcW w:type="dxa" w:w="1610"/>
            <w:tcBorders/>
          </w:tcPr>
          <w:p>
            <w:pPr>
              <w:keepNext/>
              <w:spacing w:before="10" w:after="10" w:line="240" w:lineRule="auto"/>
              <w:jc w:val="left"/>
            </w:pPr>
            <w:r>
              <w:rPr>
                <w:rFonts w:asciiTheme="minorHAnsi" w:hAnsiTheme="minorHAnsi" w:cstheme="minorHAnsi"/>
                <w:sz w:val="16"/>
                <w:szCs w:val="16"/>
              </w:rPr>
              <w:t xml:space="preserve">−0.75 (−2.7)</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All, vs same-date controls</w:t>
            </w:r>
          </w:p>
        </w:tc>
        <w:tc>
          <w:tcPr>
            <w:tcW w:type="dxa" w:w="966"/>
            <w:tcBorders/>
          </w:tcPr>
          <w:p>
            <w:pPr>
              <w:keepNext/>
              <w:spacing w:before="10" w:after="10" w:line="240" w:lineRule="auto"/>
              <w:jc w:val="left"/>
            </w:pPr>
            <w:r>
              <w:rPr>
                <w:rFonts w:asciiTheme="minorHAnsi" w:hAnsiTheme="minorHAnsi" w:cstheme="minorHAnsi"/>
                <w:sz w:val="16"/>
                <w:szCs w:val="16"/>
              </w:rPr>
              <w:t xml:space="preserve">3,100</w:t>
            </w:r>
          </w:p>
        </w:tc>
        <w:tc>
          <w:tcPr>
            <w:tcW w:type="dxa" w:w="1610"/>
            <w:tcBorders/>
          </w:tcPr>
          <w:p>
            <w:pPr>
              <w:keepNext/>
              <w:spacing w:before="10" w:after="10" w:line="240" w:lineRule="auto"/>
              <w:jc w:val="left"/>
            </w:pPr>
            <w:r>
              <w:rPr>
                <w:rFonts w:asciiTheme="minorHAnsi" w:hAnsiTheme="minorHAnsi" w:cstheme="minorHAnsi"/>
                <w:sz w:val="16"/>
                <w:szCs w:val="16"/>
              </w:rPr>
              <w:t xml:space="preserve">2.70 (20.2)</w:t>
            </w:r>
          </w:p>
        </w:tc>
        <w:tc>
          <w:tcPr>
            <w:tcW w:type="dxa" w:w="1610"/>
            <w:tcBorders/>
          </w:tcPr>
          <w:p>
            <w:pPr>
              <w:keepNext/>
              <w:spacing w:before="10" w:after="10" w:line="240" w:lineRule="auto"/>
              <w:jc w:val="left"/>
            </w:pPr>
            <w:r>
              <w:rPr>
                <w:rFonts w:asciiTheme="minorHAnsi" w:hAnsiTheme="minorHAnsi" w:cstheme="minorHAnsi"/>
                <w:sz w:val="16"/>
                <w:szCs w:val="16"/>
              </w:rPr>
              <w:t xml:space="preserve">−0.50 (−6.0)</w:t>
            </w:r>
          </w:p>
        </w:tc>
        <w:tc>
          <w:tcPr>
            <w:tcW w:type="dxa" w:w="1825"/>
            <w:tcBorders/>
          </w:tcPr>
          <w:p>
            <w:pPr>
              <w:keepNext/>
              <w:spacing w:before="10" w:after="10" w:line="240" w:lineRule="auto"/>
              <w:jc w:val="left"/>
            </w:pPr>
            <w:r>
              <w:rPr>
                <w:rFonts w:asciiTheme="minorHAnsi" w:hAnsiTheme="minorHAnsi" w:cstheme="minorHAnsi"/>
                <w:sz w:val="16"/>
                <w:szCs w:val="16"/>
              </w:rPr>
              <w:t xml:space="preserve">2.16 (18.0)</w:t>
            </w:r>
          </w:p>
        </w:tc>
        <w:tc>
          <w:tcPr>
            <w:tcW w:type="dxa" w:w="1610"/>
            <w:tcBorders/>
          </w:tcPr>
          <w:p>
            <w:pPr>
              <w:keepNext/>
              <w:spacing w:before="10" w:after="10" w:line="240" w:lineRule="auto"/>
              <w:jc w:val="left"/>
            </w:pPr>
            <w:r>
              <w:rPr>
                <w:rFonts w:asciiTheme="minorHAnsi" w:hAnsiTheme="minorHAnsi" w:cstheme="minorHAnsi"/>
                <w:sz w:val="16"/>
                <w:szCs w:val="16"/>
              </w:rPr>
              <w:t xml:space="preserve">−0.53 (−1.8)</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Exact limit hit</w:t>
            </w:r>
          </w:p>
        </w:tc>
        <w:tc>
          <w:tcPr>
            <w:tcW w:type="dxa" w:w="966"/>
            <w:tcBorders/>
          </w:tcPr>
          <w:p>
            <w:pPr>
              <w:keepNext/>
              <w:spacing w:before="10" w:after="10" w:line="240" w:lineRule="auto"/>
              <w:jc w:val="left"/>
            </w:pPr>
            <w:r>
              <w:rPr>
                <w:rFonts w:asciiTheme="minorHAnsi" w:hAnsiTheme="minorHAnsi" w:cstheme="minorHAnsi"/>
                <w:sz w:val="16"/>
                <w:szCs w:val="16"/>
              </w:rPr>
              <w:t xml:space="preserve">1,642</w:t>
            </w:r>
          </w:p>
        </w:tc>
        <w:tc>
          <w:tcPr>
            <w:tcW w:type="dxa" w:w="1610"/>
            <w:tcBorders/>
          </w:tcPr>
          <w:p>
            <w:pPr>
              <w:keepNext/>
              <w:spacing w:before="10" w:after="10" w:line="240" w:lineRule="auto"/>
              <w:jc w:val="left"/>
            </w:pPr>
            <w:r>
              <w:rPr>
                <w:rFonts w:asciiTheme="minorHAnsi" w:hAnsiTheme="minorHAnsi" w:cstheme="minorHAnsi"/>
                <w:sz w:val="16"/>
                <w:szCs w:val="16"/>
              </w:rPr>
              <w:t xml:space="preserve">2.79 (13.8)</w:t>
            </w:r>
          </w:p>
        </w:tc>
        <w:tc>
          <w:tcPr>
            <w:tcW w:type="dxa" w:w="1610"/>
            <w:tcBorders/>
          </w:tcPr>
          <w:p>
            <w:pPr>
              <w:keepNext/>
              <w:spacing w:before="10" w:after="10" w:line="240" w:lineRule="auto"/>
              <w:jc w:val="left"/>
            </w:pPr>
            <w:r>
              <w:rPr>
                <w:rFonts w:asciiTheme="minorHAnsi" w:hAnsiTheme="minorHAnsi" w:cstheme="minorHAnsi"/>
                <w:sz w:val="16"/>
                <w:szCs w:val="16"/>
              </w:rPr>
              <w:t xml:space="preserve">−0.74 (−5.3)</w:t>
            </w:r>
          </w:p>
        </w:tc>
        <w:tc>
          <w:tcPr>
            <w:tcW w:type="dxa" w:w="1825"/>
            <w:tcBorders/>
          </w:tcPr>
          <w:p>
            <w:pPr>
              <w:keepNext/>
              <w:spacing w:before="10" w:after="10" w:line="240" w:lineRule="auto"/>
              <w:jc w:val="left"/>
            </w:pPr>
            <w:r>
              <w:rPr>
                <w:rFonts w:asciiTheme="minorHAnsi" w:hAnsiTheme="minorHAnsi" w:cstheme="minorHAnsi"/>
                <w:sz w:val="16"/>
                <w:szCs w:val="16"/>
              </w:rPr>
              <w:t xml:space="preserve">2.00 (7.1)</w:t>
            </w:r>
          </w:p>
        </w:tc>
        <w:tc>
          <w:tcPr>
            <w:tcW w:type="dxa" w:w="1610"/>
            <w:tcBorders/>
          </w:tcPr>
          <w:p>
            <w:pPr>
              <w:keepNext/>
              <w:spacing w:before="10" w:after="10" w:line="240" w:lineRule="auto"/>
              <w:jc w:val="left"/>
            </w:pPr>
            <w:r>
              <w:rPr>
                <w:rFonts w:asciiTheme="minorHAnsi" w:hAnsiTheme="minorHAnsi" w:cstheme="minorHAnsi"/>
                <w:sz w:val="16"/>
                <w:szCs w:val="16"/>
              </w:rPr>
              <w:t xml:space="preserve">−1.02 (−3.0)</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Near hit</w:t>
            </w:r>
          </w:p>
        </w:tc>
        <w:tc>
          <w:tcPr>
            <w:tcW w:type="dxa" w:w="966"/>
            <w:tcBorders/>
          </w:tcPr>
          <w:p>
            <w:pPr>
              <w:keepNext/>
              <w:spacing w:before="10" w:after="10" w:line="240" w:lineRule="auto"/>
              <w:jc w:val="left"/>
            </w:pPr>
            <w:r>
              <w:rPr>
                <w:rFonts w:asciiTheme="minorHAnsi" w:hAnsiTheme="minorHAnsi" w:cstheme="minorHAnsi"/>
                <w:sz w:val="16"/>
                <w:szCs w:val="16"/>
              </w:rPr>
              <w:t xml:space="preserve">1,557</w:t>
            </w:r>
          </w:p>
        </w:tc>
        <w:tc>
          <w:tcPr>
            <w:tcW w:type="dxa" w:w="1610"/>
            <w:tcBorders/>
          </w:tcPr>
          <w:p>
            <w:pPr>
              <w:keepNext/>
              <w:spacing w:before="10" w:after="10" w:line="240" w:lineRule="auto"/>
              <w:jc w:val="left"/>
            </w:pPr>
            <w:r>
              <w:rPr>
                <w:rFonts w:asciiTheme="minorHAnsi" w:hAnsiTheme="minorHAnsi" w:cstheme="minorHAnsi"/>
                <w:sz w:val="16"/>
                <w:szCs w:val="16"/>
              </w:rPr>
              <w:t xml:space="preserve">1.67 (6.4)</w:t>
            </w:r>
          </w:p>
        </w:tc>
        <w:tc>
          <w:tcPr>
            <w:tcW w:type="dxa" w:w="1610"/>
            <w:tcBorders/>
          </w:tcPr>
          <w:p>
            <w:pPr>
              <w:keepNext/>
              <w:spacing w:before="10" w:after="10" w:line="240" w:lineRule="auto"/>
              <w:jc w:val="left"/>
            </w:pPr>
            <w:r>
              <w:rPr>
                <w:rFonts w:asciiTheme="minorHAnsi" w:hAnsiTheme="minorHAnsi" w:cstheme="minorHAnsi"/>
                <w:sz w:val="16"/>
                <w:szCs w:val="16"/>
              </w:rPr>
              <w:t xml:space="preserve">−0.32 (−1.6)</w:t>
            </w:r>
          </w:p>
        </w:tc>
        <w:tc>
          <w:tcPr>
            <w:tcW w:type="dxa" w:w="1825"/>
            <w:tcBorders/>
          </w:tcPr>
          <w:p>
            <w:pPr>
              <w:keepNext/>
              <w:spacing w:before="10" w:after="10" w:line="240" w:lineRule="auto"/>
              <w:jc w:val="left"/>
            </w:pPr>
            <w:r>
              <w:rPr>
                <w:rFonts w:asciiTheme="minorHAnsi" w:hAnsiTheme="minorHAnsi" w:cstheme="minorHAnsi"/>
                <w:sz w:val="16"/>
                <w:szCs w:val="16"/>
              </w:rPr>
              <w:t xml:space="preserve">1.31 (3.1)</w:t>
            </w:r>
          </w:p>
        </w:tc>
        <w:tc>
          <w:tcPr>
            <w:tcW w:type="dxa" w:w="1610"/>
            <w:tcBorders/>
          </w:tcPr>
          <w:p>
            <w:pPr>
              <w:keepNext/>
              <w:spacing w:before="10" w:after="10" w:line="240" w:lineRule="auto"/>
              <w:jc w:val="left"/>
            </w:pPr>
            <w:r>
              <w:rPr>
                <w:rFonts w:asciiTheme="minorHAnsi" w:hAnsiTheme="minorHAnsi" w:cstheme="minorHAnsi"/>
                <w:sz w:val="16"/>
                <w:szCs w:val="16"/>
              </w:rPr>
              <w:t xml:space="preserve">−0.46 (−1.3)</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Locked all day</w:t>
            </w:r>
          </w:p>
        </w:tc>
        <w:tc>
          <w:tcPr>
            <w:tcW w:type="dxa" w:w="966"/>
            <w:tcBorders/>
          </w:tcPr>
          <w:p>
            <w:pPr>
              <w:keepNext/>
              <w:spacing w:before="10" w:after="10" w:line="240" w:lineRule="auto"/>
              <w:jc w:val="left"/>
            </w:pPr>
            <w:r>
              <w:rPr>
                <w:rFonts w:asciiTheme="minorHAnsi" w:hAnsiTheme="minorHAnsi" w:cstheme="minorHAnsi"/>
                <w:sz w:val="16"/>
                <w:szCs w:val="16"/>
              </w:rPr>
              <w:t xml:space="preserve">522</w:t>
            </w:r>
          </w:p>
        </w:tc>
        <w:tc>
          <w:tcPr>
            <w:tcW w:type="dxa" w:w="1610"/>
            <w:tcBorders/>
          </w:tcPr>
          <w:p>
            <w:pPr>
              <w:keepNext/>
              <w:spacing w:before="10" w:after="10" w:line="240" w:lineRule="auto"/>
              <w:jc w:val="left"/>
            </w:pPr>
            <w:r>
              <w:rPr>
                <w:rFonts w:asciiTheme="minorHAnsi" w:hAnsiTheme="minorHAnsi" w:cstheme="minorHAnsi"/>
                <w:sz w:val="16"/>
                <w:szCs w:val="16"/>
              </w:rPr>
              <w:t xml:space="preserve">2.91 (3.0)</w:t>
            </w:r>
          </w:p>
        </w:tc>
        <w:tc>
          <w:tcPr>
            <w:tcW w:type="dxa" w:w="1610"/>
            <w:tcBorders/>
          </w:tcPr>
          <w:p>
            <w:pPr>
              <w:keepNext/>
              <w:spacing w:before="10" w:after="10" w:line="240" w:lineRule="auto"/>
              <w:jc w:val="left"/>
            </w:pPr>
            <w:r>
              <w:rPr>
                <w:rFonts w:asciiTheme="minorHAnsi" w:hAnsiTheme="minorHAnsi" w:cstheme="minorHAnsi"/>
                <w:sz w:val="16"/>
                <w:szCs w:val="16"/>
              </w:rPr>
              <w:t xml:space="preserve">−1.30 (−5.9)</w:t>
            </w:r>
          </w:p>
        </w:tc>
        <w:tc>
          <w:tcPr>
            <w:tcW w:type="dxa" w:w="1825"/>
            <w:tcBorders/>
          </w:tcPr>
          <w:p>
            <w:pPr>
              <w:keepNext/>
              <w:spacing w:before="10" w:after="10" w:line="240" w:lineRule="auto"/>
              <w:jc w:val="left"/>
            </w:pPr>
            <w:r>
              <w:rPr>
                <w:rFonts w:asciiTheme="minorHAnsi" w:hAnsiTheme="minorHAnsi" w:cstheme="minorHAnsi"/>
                <w:sz w:val="16"/>
                <w:szCs w:val="16"/>
              </w:rPr>
              <w:t xml:space="preserve">1.54 (1.4)</w:t>
            </w:r>
          </w:p>
        </w:tc>
        <w:tc>
          <w:tcPr>
            <w:tcW w:type="dxa" w:w="1610"/>
            <w:tcBorders/>
          </w:tcPr>
          <w:p>
            <w:pPr>
              <w:keepNext/>
              <w:spacing w:before="10" w:after="10" w:line="240" w:lineRule="auto"/>
              <w:jc w:val="left"/>
            </w:pPr>
            <w:r>
              <w:rPr>
                <w:rFonts w:asciiTheme="minorHAnsi" w:hAnsiTheme="minorHAnsi" w:cstheme="minorHAnsi"/>
                <w:sz w:val="16"/>
                <w:szCs w:val="16"/>
              </w:rPr>
              <w:t xml:space="preserve">−0.76 (−1.5)</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First half of sample</w:t>
            </w:r>
          </w:p>
        </w:tc>
        <w:tc>
          <w:tcPr>
            <w:tcW w:type="dxa" w:w="966"/>
            <w:tcBorders/>
          </w:tcPr>
          <w:p>
            <w:pPr>
              <w:keepNext/>
              <w:spacing w:before="10" w:after="10" w:line="240" w:lineRule="auto"/>
              <w:jc w:val="left"/>
            </w:pPr>
            <w:r>
              <w:rPr>
                <w:rFonts w:asciiTheme="minorHAnsi" w:hAnsiTheme="minorHAnsi" w:cstheme="minorHAnsi"/>
                <w:sz w:val="16"/>
                <w:szCs w:val="16"/>
              </w:rPr>
              <w:t xml:space="preserve">1,615</w:t>
            </w:r>
          </w:p>
        </w:tc>
        <w:tc>
          <w:tcPr>
            <w:tcW w:type="dxa" w:w="1610"/>
            <w:tcBorders/>
          </w:tcPr>
          <w:p>
            <w:pPr>
              <w:keepNext/>
              <w:spacing w:before="10" w:after="10" w:line="240" w:lineRule="auto"/>
              <w:jc w:val="left"/>
            </w:pPr>
            <w:r>
              <w:rPr>
                <w:rFonts w:asciiTheme="minorHAnsi" w:hAnsiTheme="minorHAnsi" w:cstheme="minorHAnsi"/>
                <w:sz w:val="16"/>
                <w:szCs w:val="16"/>
              </w:rPr>
              <w:t xml:space="preserve">2.24 (5.4)</w:t>
            </w:r>
          </w:p>
        </w:tc>
        <w:tc>
          <w:tcPr>
            <w:tcW w:type="dxa" w:w="1610"/>
            <w:tcBorders/>
          </w:tcPr>
          <w:p>
            <w:pPr>
              <w:keepNext/>
              <w:spacing w:before="10" w:after="10" w:line="240" w:lineRule="auto"/>
              <w:jc w:val="left"/>
            </w:pPr>
            <w:r>
              <w:rPr>
                <w:rFonts w:asciiTheme="minorHAnsi" w:hAnsiTheme="minorHAnsi" w:cstheme="minorHAnsi"/>
                <w:sz w:val="16"/>
                <w:szCs w:val="16"/>
              </w:rPr>
              <w:t xml:space="preserve">−0.77 (−3.3)</w:t>
            </w:r>
          </w:p>
        </w:tc>
        <w:tc>
          <w:tcPr>
            <w:tcW w:type="dxa" w:w="1825"/>
            <w:tcBorders/>
          </w:tcPr>
          <w:p>
            <w:pPr>
              <w:keepNext/>
              <w:spacing w:before="10" w:after="10" w:line="240" w:lineRule="auto"/>
              <w:jc w:val="left"/>
            </w:pPr>
            <w:r>
              <w:rPr>
                <w:rFonts w:asciiTheme="minorHAnsi" w:hAnsiTheme="minorHAnsi" w:cstheme="minorHAnsi"/>
                <w:sz w:val="16"/>
                <w:szCs w:val="16"/>
              </w:rPr>
              <w:t xml:space="preserve">1.42 (2.3)</w:t>
            </w:r>
          </w:p>
        </w:tc>
        <w:tc>
          <w:tcPr>
            <w:tcW w:type="dxa" w:w="1610"/>
            <w:tcBorders/>
          </w:tcPr>
          <w:p>
            <w:pPr>
              <w:keepNext/>
              <w:spacing w:before="10" w:after="10" w:line="240" w:lineRule="auto"/>
              <w:jc w:val="left"/>
            </w:pPr>
            <w:r>
              <w:rPr>
                <w:rFonts w:asciiTheme="minorHAnsi" w:hAnsiTheme="minorHAnsi" w:cstheme="minorHAnsi"/>
                <w:sz w:val="16"/>
                <w:szCs w:val="16"/>
              </w:rPr>
              <w:t xml:space="preserve">−1.13 (−2.9)</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Second half of sample</w:t>
            </w:r>
          </w:p>
        </w:tc>
        <w:tc>
          <w:tcPr>
            <w:tcW w:type="dxa" w:w="966"/>
            <w:tcBorders/>
          </w:tcPr>
          <w:p>
            <w:pPr>
              <w:keepNext/>
              <w:spacing w:before="10" w:after="10" w:line="240" w:lineRule="auto"/>
              <w:jc w:val="left"/>
            </w:pPr>
            <w:r>
              <w:rPr>
                <w:rFonts w:asciiTheme="minorHAnsi" w:hAnsiTheme="minorHAnsi" w:cstheme="minorHAnsi"/>
                <w:sz w:val="16"/>
                <w:szCs w:val="16"/>
              </w:rPr>
              <w:t xml:space="preserve">1,584</w:t>
            </w:r>
          </w:p>
        </w:tc>
        <w:tc>
          <w:tcPr>
            <w:tcW w:type="dxa" w:w="1610"/>
            <w:tcBorders/>
          </w:tcPr>
          <w:p>
            <w:pPr>
              <w:keepNext/>
              <w:spacing w:before="10" w:after="10" w:line="240" w:lineRule="auto"/>
              <w:jc w:val="left"/>
            </w:pPr>
            <w:r>
              <w:rPr>
                <w:rFonts w:asciiTheme="minorHAnsi" w:hAnsiTheme="minorHAnsi" w:cstheme="minorHAnsi"/>
                <w:sz w:val="16"/>
                <w:szCs w:val="16"/>
              </w:rPr>
              <w:t xml:space="preserve">2.25 (13.0)</w:t>
            </w:r>
          </w:p>
        </w:tc>
        <w:tc>
          <w:tcPr>
            <w:tcW w:type="dxa" w:w="1610"/>
            <w:tcBorders/>
          </w:tcPr>
          <w:p>
            <w:pPr>
              <w:keepNext/>
              <w:spacing w:before="10" w:after="10" w:line="240" w:lineRule="auto"/>
              <w:jc w:val="left"/>
            </w:pPr>
            <w:r>
              <w:rPr>
                <w:rFonts w:asciiTheme="minorHAnsi" w:hAnsiTheme="minorHAnsi" w:cstheme="minorHAnsi"/>
                <w:sz w:val="16"/>
                <w:szCs w:val="16"/>
              </w:rPr>
              <w:t xml:space="preserve">−0.29 (−2.5)</w:t>
            </w:r>
          </w:p>
        </w:tc>
        <w:tc>
          <w:tcPr>
            <w:tcW w:type="dxa" w:w="1825"/>
            <w:tcBorders/>
          </w:tcPr>
          <w:p>
            <w:pPr>
              <w:keepNext/>
              <w:spacing w:before="10" w:after="10" w:line="240" w:lineRule="auto"/>
              <w:jc w:val="left"/>
            </w:pPr>
            <w:r>
              <w:rPr>
                <w:rFonts w:asciiTheme="minorHAnsi" w:hAnsiTheme="minorHAnsi" w:cstheme="minorHAnsi"/>
                <w:sz w:val="16"/>
                <w:szCs w:val="16"/>
              </w:rPr>
              <w:t xml:space="preserve">1.91 (11.3)</w:t>
            </w:r>
          </w:p>
        </w:tc>
        <w:tc>
          <w:tcPr>
            <w:tcW w:type="dxa" w:w="1610"/>
            <w:tcBorders/>
          </w:tcPr>
          <w:p>
            <w:pPr>
              <w:keepNext/>
              <w:spacing w:before="10" w:after="10" w:line="240" w:lineRule="auto"/>
              <w:jc w:val="left"/>
            </w:pPr>
            <w:r>
              <w:rPr>
                <w:rFonts w:asciiTheme="minorHAnsi" w:hAnsiTheme="minorHAnsi" w:cstheme="minorHAnsi"/>
                <w:sz w:val="16"/>
                <w:szCs w:val="16"/>
              </w:rPr>
              <w:t xml:space="preserve">−0.36 (−1.2)</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Excluding days with market &lt; −2%</w:t>
            </w:r>
          </w:p>
        </w:tc>
        <w:tc>
          <w:tcPr>
            <w:tcW w:type="dxa" w:w="966"/>
            <w:tcBorders/>
          </w:tcPr>
          <w:p>
            <w:pPr>
              <w:keepNext/>
              <w:spacing w:before="10" w:after="10" w:line="240" w:lineRule="auto"/>
              <w:jc w:val="left"/>
            </w:pPr>
            <w:r>
              <w:rPr>
                <w:rFonts w:asciiTheme="minorHAnsi" w:hAnsiTheme="minorHAnsi" w:cstheme="minorHAnsi"/>
                <w:sz w:val="16"/>
                <w:szCs w:val="16"/>
              </w:rPr>
              <w:t xml:space="preserve">3,125</w:t>
            </w:r>
          </w:p>
        </w:tc>
        <w:tc>
          <w:tcPr>
            <w:tcW w:type="dxa" w:w="1610"/>
            <w:tcBorders/>
          </w:tcPr>
          <w:p>
            <w:pPr>
              <w:keepNext/>
              <w:spacing w:before="10" w:after="10" w:line="240" w:lineRule="auto"/>
              <w:jc w:val="left"/>
            </w:pPr>
            <w:r>
              <w:rPr>
                <w:rFonts w:asciiTheme="minorHAnsi" w:hAnsiTheme="minorHAnsi" w:cstheme="minorHAnsi"/>
                <w:sz w:val="16"/>
                <w:szCs w:val="16"/>
              </w:rPr>
              <w:t xml:space="preserve">2.24 (9.6)</w:t>
            </w:r>
          </w:p>
        </w:tc>
        <w:tc>
          <w:tcPr>
            <w:tcW w:type="dxa" w:w="1610"/>
            <w:tcBorders/>
          </w:tcPr>
          <w:p>
            <w:pPr>
              <w:keepNext/>
              <w:spacing w:before="10" w:after="10" w:line="240" w:lineRule="auto"/>
              <w:jc w:val="left"/>
            </w:pPr>
            <w:r>
              <w:rPr>
                <w:rFonts w:asciiTheme="minorHAnsi" w:hAnsiTheme="minorHAnsi" w:cstheme="minorHAnsi"/>
                <w:sz w:val="16"/>
                <w:szCs w:val="16"/>
              </w:rPr>
              <w:t xml:space="preserve">−0.53 (−3.4)</w:t>
            </w:r>
          </w:p>
        </w:tc>
        <w:tc>
          <w:tcPr>
            <w:tcW w:type="dxa" w:w="1825"/>
            <w:tcBorders/>
          </w:tcPr>
          <w:p>
            <w:pPr>
              <w:keepNext/>
              <w:spacing w:before="10" w:after="10" w:line="240" w:lineRule="auto"/>
              <w:jc w:val="left"/>
            </w:pPr>
            <w:r>
              <w:rPr>
                <w:rFonts w:asciiTheme="minorHAnsi" w:hAnsiTheme="minorHAnsi" w:cstheme="minorHAnsi"/>
                <w:sz w:val="16"/>
                <w:szCs w:val="16"/>
              </w:rPr>
              <w:t xml:space="preserve">1.67 (4.7)</w:t>
            </w:r>
          </w:p>
        </w:tc>
        <w:tc>
          <w:tcPr>
            <w:tcW w:type="dxa" w:w="1610"/>
            <w:tcBorders/>
          </w:tcPr>
          <w:p>
            <w:pPr>
              <w:keepNext/>
              <w:spacing w:before="10" w:after="10" w:line="240" w:lineRule="auto"/>
              <w:jc w:val="left"/>
            </w:pPr>
            <w:r>
              <w:rPr>
                <w:rFonts w:asciiTheme="minorHAnsi" w:hAnsiTheme="minorHAnsi" w:cstheme="minorHAnsi"/>
                <w:sz w:val="16"/>
                <w:szCs w:val="16"/>
              </w:rPr>
              <w:t xml:space="preserve">−0.70 (−2.6)</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Floor closes</w:t>
            </w:r>
          </w:p>
        </w:tc>
        <w:tc>
          <w:tcPr>
            <w:tcW w:type="dxa" w:w="966"/>
            <w:tcBorders/>
          </w:tcPr>
          <w:p>
            <w:pPr>
              <w:keepNext/>
              <w:spacing w:before="10" w:after="10" w:line="240" w:lineRule="auto"/>
            </w:pPr>
          </w:p>
        </w:tc>
        <w:tc>
          <w:tcPr>
            <w:tcW w:type="dxa" w:w="1610"/>
            <w:tcBorders/>
          </w:tcPr>
          <w:p>
            <w:pPr>
              <w:keepNext/>
              <w:spacing w:before="10" w:after="10" w:line="240" w:lineRule="auto"/>
            </w:pPr>
          </w:p>
        </w:tc>
        <w:tc>
          <w:tcPr>
            <w:tcW w:type="dxa" w:w="1610"/>
            <w:tcBorders/>
          </w:tcPr>
          <w:p>
            <w:pPr>
              <w:keepNext/>
              <w:spacing w:before="10" w:after="10" w:line="240" w:lineRule="auto"/>
            </w:pPr>
          </w:p>
        </w:tc>
        <w:tc>
          <w:tcPr>
            <w:tcW w:type="dxa" w:w="1825"/>
            <w:tcBorders/>
          </w:tcPr>
          <w:p>
            <w:pPr>
              <w:keepNext/>
              <w:spacing w:before="10" w:after="10" w:line="240" w:lineRule="auto"/>
            </w:pPr>
          </w:p>
        </w:tc>
        <w:tc>
          <w:tcPr>
            <w:tcW w:type="dxa" w:w="1610"/>
            <w:tcBorders/>
          </w:tcPr>
          <w:p>
            <w:pPr>
              <w:keepNext/>
              <w:spacing w:before="10" w:after="10" w:line="240" w:lineRule="auto"/>
            </w:pP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All, vs market</w:t>
            </w:r>
          </w:p>
        </w:tc>
        <w:tc>
          <w:tcPr>
            <w:tcW w:type="dxa" w:w="966"/>
            <w:tcBorders/>
          </w:tcPr>
          <w:p>
            <w:pPr>
              <w:keepNext/>
              <w:spacing w:before="10" w:after="10" w:line="240" w:lineRule="auto"/>
              <w:jc w:val="left"/>
            </w:pPr>
            <w:r>
              <w:rPr>
                <w:rFonts w:asciiTheme="minorHAnsi" w:hAnsiTheme="minorHAnsi" w:cstheme="minorHAnsi"/>
                <w:sz w:val="16"/>
                <w:szCs w:val="16"/>
              </w:rPr>
              <w:t xml:space="preserve">2,111</w:t>
            </w:r>
          </w:p>
        </w:tc>
        <w:tc>
          <w:tcPr>
            <w:tcW w:type="dxa" w:w="1610"/>
            <w:tcBorders/>
          </w:tcPr>
          <w:p>
            <w:pPr>
              <w:keepNext/>
              <w:spacing w:before="10" w:after="10" w:line="240" w:lineRule="auto"/>
              <w:jc w:val="left"/>
            </w:pPr>
            <w:r>
              <w:rPr>
                <w:rFonts w:asciiTheme="minorHAnsi" w:hAnsiTheme="minorHAnsi" w:cstheme="minorHAnsi"/>
                <w:sz w:val="16"/>
                <w:szCs w:val="16"/>
              </w:rPr>
              <w:t xml:space="preserve">−0.97 (−4.6)</w:t>
            </w:r>
          </w:p>
        </w:tc>
        <w:tc>
          <w:tcPr>
            <w:tcW w:type="dxa" w:w="1610"/>
            <w:tcBorders/>
          </w:tcPr>
          <w:p>
            <w:pPr>
              <w:keepNext/>
              <w:spacing w:before="10" w:after="10" w:line="240" w:lineRule="auto"/>
              <w:jc w:val="left"/>
            </w:pPr>
            <w:r>
              <w:rPr>
                <w:rFonts w:asciiTheme="minorHAnsi" w:hAnsiTheme="minorHAnsi" w:cstheme="minorHAnsi"/>
                <w:sz w:val="16"/>
                <w:szCs w:val="16"/>
              </w:rPr>
              <w:t xml:space="preserve">0.30 (1.4)</w:t>
            </w:r>
          </w:p>
        </w:tc>
        <w:tc>
          <w:tcPr>
            <w:tcW w:type="dxa" w:w="1825"/>
            <w:tcBorders/>
          </w:tcPr>
          <w:p>
            <w:pPr>
              <w:keepNext/>
              <w:spacing w:before="10" w:after="10" w:line="240" w:lineRule="auto"/>
              <w:jc w:val="left"/>
            </w:pPr>
            <w:r>
              <w:rPr>
                <w:rFonts w:asciiTheme="minorHAnsi" w:hAnsiTheme="minorHAnsi" w:cstheme="minorHAnsi"/>
                <w:sz w:val="16"/>
                <w:szCs w:val="16"/>
              </w:rPr>
              <w:t xml:space="preserve">−0.69 (−4.8)</w:t>
            </w:r>
          </w:p>
        </w:tc>
        <w:tc>
          <w:tcPr>
            <w:tcW w:type="dxa" w:w="1610"/>
            <w:tcBorders/>
          </w:tcPr>
          <w:p>
            <w:pPr>
              <w:keepNext/>
              <w:spacing w:before="10" w:after="10" w:line="240" w:lineRule="auto"/>
              <w:jc w:val="left"/>
            </w:pPr>
            <w:r>
              <w:rPr>
                <w:rFonts w:asciiTheme="minorHAnsi" w:hAnsiTheme="minorHAnsi" w:cstheme="minorHAnsi"/>
                <w:sz w:val="16"/>
                <w:szCs w:val="16"/>
              </w:rPr>
              <w:t xml:space="preserve">−0.82 (−1.7)</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All, vs same-date controls</w:t>
            </w:r>
          </w:p>
        </w:tc>
        <w:tc>
          <w:tcPr>
            <w:tcW w:type="dxa" w:w="966"/>
            <w:tcBorders/>
          </w:tcPr>
          <w:p>
            <w:pPr>
              <w:keepNext/>
              <w:spacing w:before="10" w:after="10" w:line="240" w:lineRule="auto"/>
              <w:jc w:val="left"/>
            </w:pPr>
            <w:r>
              <w:rPr>
                <w:rFonts w:asciiTheme="minorHAnsi" w:hAnsiTheme="minorHAnsi" w:cstheme="minorHAnsi"/>
                <w:sz w:val="16"/>
                <w:szCs w:val="16"/>
              </w:rPr>
              <w:t xml:space="preserve">2,047</w:t>
            </w:r>
          </w:p>
        </w:tc>
        <w:tc>
          <w:tcPr>
            <w:tcW w:type="dxa" w:w="1610"/>
            <w:tcBorders/>
          </w:tcPr>
          <w:p>
            <w:pPr>
              <w:keepNext/>
              <w:spacing w:before="10" w:after="10" w:line="240" w:lineRule="auto"/>
              <w:jc w:val="left"/>
            </w:pPr>
            <w:r>
              <w:rPr>
                <w:rFonts w:asciiTheme="minorHAnsi" w:hAnsiTheme="minorHAnsi" w:cstheme="minorHAnsi"/>
                <w:sz w:val="16"/>
                <w:szCs w:val="16"/>
              </w:rPr>
              <w:t xml:space="preserve">−1.75 (−4.0)</w:t>
            </w:r>
          </w:p>
        </w:tc>
        <w:tc>
          <w:tcPr>
            <w:tcW w:type="dxa" w:w="1610"/>
            <w:tcBorders/>
          </w:tcPr>
          <w:p>
            <w:pPr>
              <w:keepNext/>
              <w:spacing w:before="10" w:after="10" w:line="240" w:lineRule="auto"/>
              <w:jc w:val="left"/>
            </w:pPr>
            <w:r>
              <w:rPr>
                <w:rFonts w:asciiTheme="minorHAnsi" w:hAnsiTheme="minorHAnsi" w:cstheme="minorHAnsi"/>
                <w:sz w:val="16"/>
                <w:szCs w:val="16"/>
              </w:rPr>
              <w:t xml:space="preserve">0.14 (0.6)</w:t>
            </w:r>
          </w:p>
        </w:tc>
        <w:tc>
          <w:tcPr>
            <w:tcW w:type="dxa" w:w="1825"/>
            <w:tcBorders/>
          </w:tcPr>
          <w:p>
            <w:pPr>
              <w:keepNext/>
              <w:spacing w:before="10" w:after="10" w:line="240" w:lineRule="auto"/>
              <w:jc w:val="left"/>
            </w:pPr>
            <w:r>
              <w:rPr>
                <w:rFonts w:asciiTheme="minorHAnsi" w:hAnsiTheme="minorHAnsi" w:cstheme="minorHAnsi"/>
                <w:sz w:val="16"/>
                <w:szCs w:val="16"/>
              </w:rPr>
              <w:t xml:space="preserve">−1.65 (−3.4)</w:t>
            </w:r>
          </w:p>
        </w:tc>
        <w:tc>
          <w:tcPr>
            <w:tcW w:type="dxa" w:w="1610"/>
            <w:tcBorders/>
          </w:tcPr>
          <w:p>
            <w:pPr>
              <w:keepNext/>
              <w:spacing w:before="10" w:after="10" w:line="240" w:lineRule="auto"/>
              <w:jc w:val="left"/>
            </w:pPr>
            <w:r>
              <w:rPr>
                <w:rFonts w:asciiTheme="minorHAnsi" w:hAnsiTheme="minorHAnsi" w:cstheme="minorHAnsi"/>
                <w:sz w:val="16"/>
                <w:szCs w:val="16"/>
              </w:rPr>
              <w:t xml:space="preserve">−0.36 (−0.6)</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Exact limit hit</w:t>
            </w:r>
          </w:p>
        </w:tc>
        <w:tc>
          <w:tcPr>
            <w:tcW w:type="dxa" w:w="966"/>
            <w:tcBorders/>
          </w:tcPr>
          <w:p>
            <w:pPr>
              <w:keepNext/>
              <w:spacing w:before="10" w:after="10" w:line="240" w:lineRule="auto"/>
              <w:jc w:val="left"/>
            </w:pPr>
            <w:r>
              <w:rPr>
                <w:rFonts w:asciiTheme="minorHAnsi" w:hAnsiTheme="minorHAnsi" w:cstheme="minorHAnsi"/>
                <w:sz w:val="16"/>
                <w:szCs w:val="16"/>
              </w:rPr>
              <w:t xml:space="preserve">1,025</w:t>
            </w:r>
          </w:p>
        </w:tc>
        <w:tc>
          <w:tcPr>
            <w:tcW w:type="dxa" w:w="1610"/>
            <w:tcBorders/>
          </w:tcPr>
          <w:p>
            <w:pPr>
              <w:keepNext/>
              <w:spacing w:before="10" w:after="10" w:line="240" w:lineRule="auto"/>
              <w:jc w:val="left"/>
            </w:pPr>
            <w:r>
              <w:rPr>
                <w:rFonts w:asciiTheme="minorHAnsi" w:hAnsiTheme="minorHAnsi" w:cstheme="minorHAnsi"/>
                <w:sz w:val="16"/>
                <w:szCs w:val="16"/>
              </w:rPr>
              <w:t xml:space="preserve">−1.30 (−5.1)</w:t>
            </w:r>
          </w:p>
        </w:tc>
        <w:tc>
          <w:tcPr>
            <w:tcW w:type="dxa" w:w="1610"/>
            <w:tcBorders/>
          </w:tcPr>
          <w:p>
            <w:pPr>
              <w:keepNext/>
              <w:spacing w:before="10" w:after="10" w:line="240" w:lineRule="auto"/>
              <w:jc w:val="left"/>
            </w:pPr>
            <w:r>
              <w:rPr>
                <w:rFonts w:asciiTheme="minorHAnsi" w:hAnsiTheme="minorHAnsi" w:cstheme="minorHAnsi"/>
                <w:sz w:val="16"/>
                <w:szCs w:val="16"/>
              </w:rPr>
              <w:t xml:space="preserve">0.41 (1.7)</w:t>
            </w:r>
          </w:p>
        </w:tc>
        <w:tc>
          <w:tcPr>
            <w:tcW w:type="dxa" w:w="1825"/>
            <w:tcBorders/>
          </w:tcPr>
          <w:p>
            <w:pPr>
              <w:keepNext/>
              <w:spacing w:before="10" w:after="10" w:line="240" w:lineRule="auto"/>
              <w:jc w:val="left"/>
            </w:pPr>
            <w:r>
              <w:rPr>
                <w:rFonts w:asciiTheme="minorHAnsi" w:hAnsiTheme="minorHAnsi" w:cstheme="minorHAnsi"/>
                <w:sz w:val="16"/>
                <w:szCs w:val="16"/>
              </w:rPr>
              <w:t xml:space="preserve">−0.93 (−5.7)</w:t>
            </w:r>
          </w:p>
        </w:tc>
        <w:tc>
          <w:tcPr>
            <w:tcW w:type="dxa" w:w="1610"/>
            <w:tcBorders/>
          </w:tcPr>
          <w:p>
            <w:pPr>
              <w:keepNext/>
              <w:spacing w:before="10" w:after="10" w:line="240" w:lineRule="auto"/>
              <w:jc w:val="left"/>
            </w:pPr>
            <w:r>
              <w:rPr>
                <w:rFonts w:asciiTheme="minorHAnsi" w:hAnsiTheme="minorHAnsi" w:cstheme="minorHAnsi"/>
                <w:sz w:val="16"/>
                <w:szCs w:val="16"/>
              </w:rPr>
              <w:t xml:space="preserve">−0.98 (−1.9)</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Near hit</w:t>
            </w:r>
          </w:p>
        </w:tc>
        <w:tc>
          <w:tcPr>
            <w:tcW w:type="dxa" w:w="966"/>
            <w:tcBorders/>
          </w:tcPr>
          <w:p>
            <w:pPr>
              <w:keepNext/>
              <w:spacing w:before="10" w:after="10" w:line="240" w:lineRule="auto"/>
              <w:jc w:val="left"/>
            </w:pPr>
            <w:r>
              <w:rPr>
                <w:rFonts w:asciiTheme="minorHAnsi" w:hAnsiTheme="minorHAnsi" w:cstheme="minorHAnsi"/>
                <w:sz w:val="16"/>
                <w:szCs w:val="16"/>
              </w:rPr>
              <w:t xml:space="preserve">1,086</w:t>
            </w:r>
          </w:p>
        </w:tc>
        <w:tc>
          <w:tcPr>
            <w:tcW w:type="dxa" w:w="1610"/>
            <w:tcBorders/>
          </w:tcPr>
          <w:p>
            <w:pPr>
              <w:keepNext/>
              <w:spacing w:before="10" w:after="10" w:line="240" w:lineRule="auto"/>
              <w:jc w:val="left"/>
            </w:pPr>
            <w:r>
              <w:rPr>
                <w:rFonts w:asciiTheme="minorHAnsi" w:hAnsiTheme="minorHAnsi" w:cstheme="minorHAnsi"/>
                <w:sz w:val="16"/>
                <w:szCs w:val="16"/>
              </w:rPr>
              <w:t xml:space="preserve">−0.66 (−3.7)</w:t>
            </w:r>
          </w:p>
        </w:tc>
        <w:tc>
          <w:tcPr>
            <w:tcW w:type="dxa" w:w="1610"/>
            <w:tcBorders/>
          </w:tcPr>
          <w:p>
            <w:pPr>
              <w:keepNext/>
              <w:spacing w:before="10" w:after="10" w:line="240" w:lineRule="auto"/>
              <w:jc w:val="left"/>
            </w:pPr>
            <w:r>
              <w:rPr>
                <w:rFonts w:asciiTheme="minorHAnsi" w:hAnsiTheme="minorHAnsi" w:cstheme="minorHAnsi"/>
                <w:sz w:val="16"/>
                <w:szCs w:val="16"/>
              </w:rPr>
              <w:t xml:space="preserve">0.20 (0.9)</w:t>
            </w:r>
          </w:p>
        </w:tc>
        <w:tc>
          <w:tcPr>
            <w:tcW w:type="dxa" w:w="1825"/>
            <w:tcBorders/>
          </w:tcPr>
          <w:p>
            <w:pPr>
              <w:keepNext/>
              <w:spacing w:before="10" w:after="10" w:line="240" w:lineRule="auto"/>
              <w:jc w:val="left"/>
            </w:pPr>
            <w:r>
              <w:rPr>
                <w:rFonts w:asciiTheme="minorHAnsi" w:hAnsiTheme="minorHAnsi" w:cstheme="minorHAnsi"/>
                <w:sz w:val="16"/>
                <w:szCs w:val="16"/>
              </w:rPr>
              <w:t xml:space="preserve">−0.47 (−2.9)</w:t>
            </w:r>
          </w:p>
        </w:tc>
        <w:tc>
          <w:tcPr>
            <w:tcW w:type="dxa" w:w="1610"/>
            <w:tcBorders/>
          </w:tcPr>
          <w:p>
            <w:pPr>
              <w:keepNext/>
              <w:spacing w:before="10" w:after="10" w:line="240" w:lineRule="auto"/>
              <w:jc w:val="left"/>
            </w:pPr>
            <w:r>
              <w:rPr>
                <w:rFonts w:asciiTheme="minorHAnsi" w:hAnsiTheme="minorHAnsi" w:cstheme="minorHAnsi"/>
                <w:sz w:val="16"/>
                <w:szCs w:val="16"/>
              </w:rPr>
              <w:t xml:space="preserve">−0.66 (−1.4)</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Locked all day</w:t>
            </w:r>
          </w:p>
        </w:tc>
        <w:tc>
          <w:tcPr>
            <w:tcW w:type="dxa" w:w="966"/>
            <w:tcBorders/>
          </w:tcPr>
          <w:p>
            <w:pPr>
              <w:keepNext/>
              <w:spacing w:before="10" w:after="10" w:line="240" w:lineRule="auto"/>
              <w:jc w:val="left"/>
            </w:pPr>
            <w:r>
              <w:rPr>
                <w:rFonts w:asciiTheme="minorHAnsi" w:hAnsiTheme="minorHAnsi" w:cstheme="minorHAnsi"/>
                <w:sz w:val="16"/>
                <w:szCs w:val="16"/>
              </w:rPr>
              <w:t xml:space="preserve">260</w:t>
            </w:r>
          </w:p>
        </w:tc>
        <w:tc>
          <w:tcPr>
            <w:tcW w:type="dxa" w:w="1610"/>
            <w:tcBorders/>
          </w:tcPr>
          <w:p>
            <w:pPr>
              <w:keepNext/>
              <w:spacing w:before="10" w:after="10" w:line="240" w:lineRule="auto"/>
              <w:jc w:val="left"/>
            </w:pPr>
            <w:r>
              <w:rPr>
                <w:rFonts w:asciiTheme="minorHAnsi" w:hAnsiTheme="minorHAnsi" w:cstheme="minorHAnsi"/>
                <w:sz w:val="16"/>
                <w:szCs w:val="16"/>
              </w:rPr>
              <w:t xml:space="preserve">−2.50 (−4.8)</w:t>
            </w:r>
          </w:p>
        </w:tc>
        <w:tc>
          <w:tcPr>
            <w:tcW w:type="dxa" w:w="1610"/>
            <w:tcBorders/>
          </w:tcPr>
          <w:p>
            <w:pPr>
              <w:keepNext/>
              <w:spacing w:before="10" w:after="10" w:line="240" w:lineRule="auto"/>
              <w:jc w:val="left"/>
            </w:pPr>
            <w:r>
              <w:rPr>
                <w:rFonts w:asciiTheme="minorHAnsi" w:hAnsiTheme="minorHAnsi" w:cstheme="minorHAnsi"/>
                <w:sz w:val="16"/>
                <w:szCs w:val="16"/>
              </w:rPr>
              <w:t xml:space="preserve">1.11 (2.4)</w:t>
            </w:r>
          </w:p>
        </w:tc>
        <w:tc>
          <w:tcPr>
            <w:tcW w:type="dxa" w:w="1825"/>
            <w:tcBorders/>
          </w:tcPr>
          <w:p>
            <w:pPr>
              <w:keepNext/>
              <w:spacing w:before="10" w:after="10" w:line="240" w:lineRule="auto"/>
              <w:jc w:val="left"/>
            </w:pPr>
            <w:r>
              <w:rPr>
                <w:rFonts w:asciiTheme="minorHAnsi" w:hAnsiTheme="minorHAnsi" w:cstheme="minorHAnsi"/>
                <w:sz w:val="16"/>
                <w:szCs w:val="16"/>
              </w:rPr>
              <w:t xml:space="preserve">−1.44 (−3.4)</w:t>
            </w:r>
          </w:p>
        </w:tc>
        <w:tc>
          <w:tcPr>
            <w:tcW w:type="dxa" w:w="1610"/>
            <w:tcBorders/>
          </w:tcPr>
          <w:p>
            <w:pPr>
              <w:keepNext/>
              <w:spacing w:before="10" w:after="10" w:line="240" w:lineRule="auto"/>
              <w:jc w:val="left"/>
            </w:pPr>
            <w:r>
              <w:rPr>
                <w:rFonts w:asciiTheme="minorHAnsi" w:hAnsiTheme="minorHAnsi" w:cstheme="minorHAnsi"/>
                <w:sz w:val="16"/>
                <w:szCs w:val="16"/>
              </w:rPr>
              <w:t xml:space="preserve">−3.91 (−3.0)</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First half of sample</w:t>
            </w:r>
          </w:p>
        </w:tc>
        <w:tc>
          <w:tcPr>
            <w:tcW w:type="dxa" w:w="966"/>
            <w:tcBorders/>
          </w:tcPr>
          <w:p>
            <w:pPr>
              <w:keepNext/>
              <w:spacing w:before="10" w:after="10" w:line="240" w:lineRule="auto"/>
              <w:jc w:val="left"/>
            </w:pPr>
            <w:r>
              <w:rPr>
                <w:rFonts w:asciiTheme="minorHAnsi" w:hAnsiTheme="minorHAnsi" w:cstheme="minorHAnsi"/>
                <w:sz w:val="16"/>
                <w:szCs w:val="16"/>
              </w:rPr>
              <w:t xml:space="preserve">1,059</w:t>
            </w:r>
          </w:p>
        </w:tc>
        <w:tc>
          <w:tcPr>
            <w:tcW w:type="dxa" w:w="1610"/>
            <w:tcBorders/>
          </w:tcPr>
          <w:p>
            <w:pPr>
              <w:keepNext/>
              <w:spacing w:before="10" w:after="10" w:line="240" w:lineRule="auto"/>
              <w:jc w:val="left"/>
            </w:pPr>
            <w:r>
              <w:rPr>
                <w:rFonts w:asciiTheme="minorHAnsi" w:hAnsiTheme="minorHAnsi" w:cstheme="minorHAnsi"/>
                <w:sz w:val="16"/>
                <w:szCs w:val="16"/>
              </w:rPr>
              <w:t xml:space="preserve">−0.55 (−2.4)</w:t>
            </w:r>
          </w:p>
        </w:tc>
        <w:tc>
          <w:tcPr>
            <w:tcW w:type="dxa" w:w="1610"/>
            <w:tcBorders/>
          </w:tcPr>
          <w:p>
            <w:pPr>
              <w:keepNext/>
              <w:spacing w:before="10" w:after="10" w:line="240" w:lineRule="auto"/>
              <w:jc w:val="left"/>
            </w:pPr>
            <w:r>
              <w:rPr>
                <w:rFonts w:asciiTheme="minorHAnsi" w:hAnsiTheme="minorHAnsi" w:cstheme="minorHAnsi"/>
                <w:sz w:val="16"/>
                <w:szCs w:val="16"/>
              </w:rPr>
              <w:t xml:space="preserve">−0.09 (−0.3)</w:t>
            </w:r>
          </w:p>
        </w:tc>
        <w:tc>
          <w:tcPr>
            <w:tcW w:type="dxa" w:w="1825"/>
            <w:tcBorders/>
          </w:tcPr>
          <w:p>
            <w:pPr>
              <w:keepNext/>
              <w:spacing w:before="10" w:after="10" w:line="240" w:lineRule="auto"/>
              <w:jc w:val="left"/>
            </w:pPr>
            <w:r>
              <w:rPr>
                <w:rFonts w:asciiTheme="minorHAnsi" w:hAnsiTheme="minorHAnsi" w:cstheme="minorHAnsi"/>
                <w:sz w:val="16"/>
                <w:szCs w:val="16"/>
              </w:rPr>
              <w:t xml:space="preserve">−0.63 (−2.9)</w:t>
            </w:r>
          </w:p>
        </w:tc>
        <w:tc>
          <w:tcPr>
            <w:tcW w:type="dxa" w:w="1610"/>
            <w:tcBorders/>
          </w:tcPr>
          <w:p>
            <w:pPr>
              <w:keepNext/>
              <w:spacing w:before="10" w:after="10" w:line="240" w:lineRule="auto"/>
              <w:jc w:val="left"/>
            </w:pPr>
            <w:r>
              <w:rPr>
                <w:rFonts w:asciiTheme="minorHAnsi" w:hAnsiTheme="minorHAnsi" w:cstheme="minorHAnsi"/>
                <w:sz w:val="16"/>
                <w:szCs w:val="16"/>
              </w:rPr>
              <w:t xml:space="preserve">−1.69 (−5.1)</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Second half of sample</w:t>
            </w:r>
          </w:p>
        </w:tc>
        <w:tc>
          <w:tcPr>
            <w:tcW w:type="dxa" w:w="966"/>
            <w:tcBorders/>
          </w:tcPr>
          <w:p>
            <w:pPr>
              <w:keepNext/>
              <w:spacing w:before="10" w:after="10" w:line="240" w:lineRule="auto"/>
              <w:jc w:val="left"/>
            </w:pPr>
            <w:r>
              <w:rPr>
                <w:rFonts w:asciiTheme="minorHAnsi" w:hAnsiTheme="minorHAnsi" w:cstheme="minorHAnsi"/>
                <w:sz w:val="16"/>
                <w:szCs w:val="16"/>
              </w:rPr>
              <w:t xml:space="preserve">1,052</w:t>
            </w:r>
          </w:p>
        </w:tc>
        <w:tc>
          <w:tcPr>
            <w:tcW w:type="dxa" w:w="1610"/>
            <w:tcBorders/>
          </w:tcPr>
          <w:p>
            <w:pPr>
              <w:keepNext/>
              <w:spacing w:before="10" w:after="10" w:line="240" w:lineRule="auto"/>
              <w:jc w:val="left"/>
            </w:pPr>
            <w:r>
              <w:rPr>
                <w:rFonts w:asciiTheme="minorHAnsi" w:hAnsiTheme="minorHAnsi" w:cstheme="minorHAnsi"/>
                <w:sz w:val="16"/>
                <w:szCs w:val="16"/>
              </w:rPr>
              <w:t xml:space="preserve">−1.40 (−6.5)</w:t>
            </w:r>
          </w:p>
        </w:tc>
        <w:tc>
          <w:tcPr>
            <w:tcW w:type="dxa" w:w="1610"/>
            <w:tcBorders/>
          </w:tcPr>
          <w:p>
            <w:pPr>
              <w:keepNext/>
              <w:spacing w:before="10" w:after="10" w:line="240" w:lineRule="auto"/>
              <w:jc w:val="left"/>
            </w:pPr>
            <w:r>
              <w:rPr>
                <w:rFonts w:asciiTheme="minorHAnsi" w:hAnsiTheme="minorHAnsi" w:cstheme="minorHAnsi"/>
                <w:sz w:val="16"/>
                <w:szCs w:val="16"/>
              </w:rPr>
              <w:t xml:space="preserve">0.70 (4.9)</w:t>
            </w:r>
          </w:p>
        </w:tc>
        <w:tc>
          <w:tcPr>
            <w:tcW w:type="dxa" w:w="1825"/>
            <w:tcBorders/>
          </w:tcPr>
          <w:p>
            <w:pPr>
              <w:keepNext/>
              <w:spacing w:before="10" w:after="10" w:line="240" w:lineRule="auto"/>
              <w:jc w:val="left"/>
            </w:pPr>
            <w:r>
              <w:rPr>
                <w:rFonts w:asciiTheme="minorHAnsi" w:hAnsiTheme="minorHAnsi" w:cstheme="minorHAnsi"/>
                <w:sz w:val="16"/>
                <w:szCs w:val="16"/>
              </w:rPr>
              <w:t xml:space="preserve">−0.75 (−4.3)</w:t>
            </w:r>
          </w:p>
        </w:tc>
        <w:tc>
          <w:tcPr>
            <w:tcW w:type="dxa" w:w="1610"/>
            <w:tcBorders/>
          </w:tcPr>
          <w:p>
            <w:pPr>
              <w:keepNext/>
              <w:spacing w:before="10" w:after="10" w:line="240" w:lineRule="auto"/>
              <w:jc w:val="left"/>
            </w:pPr>
            <w:r>
              <w:rPr>
                <w:rFonts w:asciiTheme="minorHAnsi" w:hAnsiTheme="minorHAnsi" w:cstheme="minorHAnsi"/>
                <w:sz w:val="16"/>
                <w:szCs w:val="16"/>
              </w:rPr>
              <w:t xml:space="preserve">0.07 (0.1)</w:t>
            </w:r>
          </w:p>
        </w:tc>
      </w:tr>
      <w:tr>
        <w:trPr>
          <w:cantSplit/>
        </w:trPr>
        <w:tc>
          <w:tcPr>
            <w:tcW w:type="dxa" w:w="2576"/>
            <w:tcBorders>
              <w:bottom w:val="single" w:sz="8" w:space="0" w:color="000000"/>
            </w:tcBorders>
          </w:tcPr>
          <w:p>
            <w:pPr>
              <w:spacing w:before="10" w:after="10" w:line="240" w:lineRule="auto"/>
              <w:jc w:val="left"/>
            </w:pPr>
            <w:r>
              <w:rPr>
                <w:rFonts w:asciiTheme="minorHAnsi" w:hAnsiTheme="minorHAnsi" w:cstheme="minorHAnsi"/>
                <w:sz w:val="16"/>
                <w:szCs w:val="16"/>
              </w:rPr>
              <w:t xml:space="preserve">Excluding days with market &lt; −2%</w:t>
            </w:r>
          </w:p>
        </w:tc>
        <w:tc>
          <w:tcPr>
            <w:tcW w:type="dxa" w:w="966"/>
            <w:tcBorders>
              <w:bottom w:val="single" w:sz="8" w:space="0" w:color="000000"/>
            </w:tcBorders>
          </w:tcPr>
          <w:p>
            <w:pPr>
              <w:spacing w:before="10" w:after="10" w:line="240" w:lineRule="auto"/>
              <w:jc w:val="left"/>
            </w:pPr>
            <w:r>
              <w:rPr>
                <w:rFonts w:asciiTheme="minorHAnsi" w:hAnsiTheme="minorHAnsi" w:cstheme="minorHAnsi"/>
                <w:sz w:val="16"/>
                <w:szCs w:val="16"/>
              </w:rPr>
              <w:t xml:space="preserve">740</w:t>
            </w:r>
          </w:p>
        </w:tc>
        <w:tc>
          <w:tcPr>
            <w:tcW w:type="dxa" w:w="1610"/>
            <w:tcBorders>
              <w:bottom w:val="single" w:sz="8" w:space="0" w:color="000000"/>
            </w:tcBorders>
          </w:tcPr>
          <w:p>
            <w:pPr>
              <w:spacing w:before="10" w:after="10" w:line="240" w:lineRule="auto"/>
              <w:jc w:val="left"/>
            </w:pPr>
            <w:r>
              <w:rPr>
                <w:rFonts w:asciiTheme="minorHAnsi" w:hAnsiTheme="minorHAnsi" w:cstheme="minorHAnsi"/>
                <w:sz w:val="16"/>
                <w:szCs w:val="16"/>
              </w:rPr>
              <w:t xml:space="preserve">−1.83 (−8.7)</w:t>
            </w:r>
          </w:p>
        </w:tc>
        <w:tc>
          <w:tcPr>
            <w:tcW w:type="dxa" w:w="1610"/>
            <w:tcBorders>
              <w:bottom w:val="single" w:sz="8" w:space="0" w:color="000000"/>
            </w:tcBorders>
          </w:tcPr>
          <w:p>
            <w:pPr>
              <w:spacing w:before="10" w:after="10" w:line="240" w:lineRule="auto"/>
              <w:jc w:val="left"/>
            </w:pPr>
            <w:r>
              <w:rPr>
                <w:rFonts w:asciiTheme="minorHAnsi" w:hAnsiTheme="minorHAnsi" w:cstheme="minorHAnsi"/>
                <w:sz w:val="16"/>
                <w:szCs w:val="16"/>
              </w:rPr>
              <w:t xml:space="preserve">0.90 (5.3)</w:t>
            </w:r>
          </w:p>
        </w:tc>
        <w:tc>
          <w:tcPr>
            <w:tcW w:type="dxa" w:w="1825"/>
            <w:tcBorders>
              <w:bottom w:val="single" w:sz="8" w:space="0" w:color="000000"/>
            </w:tcBorders>
          </w:tcPr>
          <w:p>
            <w:pPr>
              <w:spacing w:before="10" w:after="10" w:line="240" w:lineRule="auto"/>
              <w:jc w:val="left"/>
            </w:pPr>
            <w:r>
              <w:rPr>
                <w:rFonts w:asciiTheme="minorHAnsi" w:hAnsiTheme="minorHAnsi" w:cstheme="minorHAnsi"/>
                <w:sz w:val="16"/>
                <w:szCs w:val="16"/>
              </w:rPr>
              <w:t xml:space="preserve">−0.99 (−4.5)</w:t>
            </w:r>
          </w:p>
        </w:tc>
        <w:tc>
          <w:tcPr>
            <w:tcW w:type="dxa" w:w="1610"/>
            <w:tcBorders>
              <w:bottom w:val="single" w:sz="8" w:space="0" w:color="000000"/>
            </w:tcBorders>
          </w:tcPr>
          <w:p>
            <w:pPr>
              <w:spacing w:before="10" w:after="10" w:line="240" w:lineRule="auto"/>
              <w:jc w:val="left"/>
            </w:pPr>
            <w:r>
              <w:rPr>
                <w:rFonts w:asciiTheme="minorHAnsi" w:hAnsiTheme="minorHAnsi" w:cstheme="minorHAnsi"/>
                <w:sz w:val="16"/>
                <w:szCs w:val="16"/>
              </w:rPr>
              <w:t xml:space="preserve">−0.81 (−1.7)</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Percent; two-way-clustered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in parentheses. Benchmarks are the volume-weighted market (weights lagged to day</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 or same-date controls in the same liquidity tercile. Crash days have a market return below −2%. Components compound, so they need not sum.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3</w:t>
      </w:r>
      <w:r>
        <w:rPr>
          <w:rFonts w:asciiTheme="minorHAnsi" w:eastAsia="Georgia" w:hAnsiTheme="minorHAnsi" w:cstheme="minorHAnsi"/>
          <w:color w:val="000000"/>
          <w:sz w:val="18"/>
          <w:szCs w:val="18"/>
          <w:bdr w:val="nil"/>
          <w:lang w:val="hr-HR" w:eastAsia="es-MX"/>
        </w:rPr>
        <w:t xml:space="preserve"> Limit closes versus near-limit moves</w:t>
      </w:r>
    </w:p>
    <w:tbl>
      <w:tblPr>
        <w:tblW w:type="pct" w:w="5000"/>
        <w:jc w:val="center"/>
        <w:tblLayout w:type="fixed"/>
      </w:tblPr>
      <w:tblGrid>
        <w:gridCol w:w="2588"/>
        <w:gridCol w:w="1522"/>
        <w:gridCol w:w="1522"/>
        <w:gridCol w:w="1725"/>
        <w:gridCol w:w="1522"/>
        <w:gridCol w:w="1319"/>
      </w:tblGrid>
      <w:tr>
        <w:trPr>
          <w:cantSplit/>
          <w:tblHeader w:val="true"/>
        </w:trPr>
        <w:tc>
          <w:tcPr>
            <w:tcW w:type="dxa" w:w="2588"/>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Contrast</w:t>
            </w:r>
          </w:p>
        </w:tc>
        <w:tc>
          <w:tcPr>
            <w:tcW w:type="dxa" w:w="152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Overnight gap</w:t>
            </w:r>
          </w:p>
        </w:tc>
        <w:tc>
          <w:tcPr>
            <w:tcW w:type="dxa" w:w="152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Intraday</w:t>
            </w:r>
          </w:p>
        </w:tc>
        <w:tc>
          <w:tcPr>
            <w:tcW w:type="dxa" w:w="1725"/>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Close-to-close</w:t>
            </w:r>
          </w:p>
        </w:tc>
        <w:tc>
          <w:tcPr>
            <w:tcW w:type="dxa" w:w="152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Open to day</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319"/>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Comparison stock-days</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Ceiling vs 5–6.5% rises</w:t>
            </w:r>
          </w:p>
        </w:tc>
        <w:tc>
          <w:tcPr>
            <w:tcW w:type="dxa" w:w="1522"/>
            <w:tcBorders/>
          </w:tcPr>
          <w:p>
            <w:pPr>
              <w:keepNext/>
              <w:spacing w:before="10" w:after="10" w:line="240" w:lineRule="auto"/>
              <w:jc w:val="left"/>
            </w:pPr>
            <w:r>
              <w:rPr>
                <w:rFonts w:asciiTheme="minorHAnsi" w:hAnsiTheme="minorHAnsi" w:cstheme="minorHAnsi"/>
                <w:sz w:val="16"/>
                <w:szCs w:val="16"/>
              </w:rPr>
              <w:t xml:space="preserve">2.66 (14.0)</w:t>
            </w:r>
          </w:p>
        </w:tc>
        <w:tc>
          <w:tcPr>
            <w:tcW w:type="dxa" w:w="1522"/>
            <w:tcBorders/>
          </w:tcPr>
          <w:p>
            <w:pPr>
              <w:keepNext/>
              <w:spacing w:before="10" w:after="10" w:line="240" w:lineRule="auto"/>
              <w:jc w:val="left"/>
            </w:pPr>
            <w:r>
              <w:rPr>
                <w:rFonts w:asciiTheme="minorHAnsi" w:hAnsiTheme="minorHAnsi" w:cstheme="minorHAnsi"/>
                <w:sz w:val="16"/>
                <w:szCs w:val="16"/>
              </w:rPr>
              <w:t xml:space="preserve">−0.31 (−2.1)</w:t>
            </w:r>
          </w:p>
        </w:tc>
        <w:tc>
          <w:tcPr>
            <w:tcW w:type="dxa" w:w="1725"/>
            <w:tcBorders/>
          </w:tcPr>
          <w:p>
            <w:pPr>
              <w:keepNext/>
              <w:spacing w:before="10" w:after="10" w:line="240" w:lineRule="auto"/>
              <w:jc w:val="left"/>
            </w:pPr>
            <w:r>
              <w:rPr>
                <w:rFonts w:asciiTheme="minorHAnsi" w:hAnsiTheme="minorHAnsi" w:cstheme="minorHAnsi"/>
                <w:sz w:val="16"/>
                <w:szCs w:val="16"/>
              </w:rPr>
              <w:t xml:space="preserve">2.32 (7.6)</w:t>
            </w:r>
          </w:p>
        </w:tc>
        <w:tc>
          <w:tcPr>
            <w:tcW w:type="dxa" w:w="1522"/>
            <w:tcBorders/>
          </w:tcPr>
          <w:p>
            <w:pPr>
              <w:keepNext/>
              <w:spacing w:before="10" w:after="10" w:line="240" w:lineRule="auto"/>
              <w:jc w:val="left"/>
            </w:pPr>
            <w:r>
              <w:rPr>
                <w:rFonts w:asciiTheme="minorHAnsi" w:hAnsiTheme="minorHAnsi" w:cstheme="minorHAnsi"/>
                <w:sz w:val="16"/>
                <w:szCs w:val="16"/>
              </w:rPr>
              <w:t xml:space="preserve">−0.02 (−0.1)</w:t>
            </w:r>
          </w:p>
        </w:tc>
        <w:tc>
          <w:tcPr>
            <w:tcW w:type="dxa" w:w="1319"/>
            <w:tcBorders/>
          </w:tcPr>
          <w:p>
            <w:pPr>
              <w:keepNext/>
              <w:spacing w:before="10" w:after="10" w:line="240" w:lineRule="auto"/>
              <w:jc w:val="left"/>
            </w:pPr>
            <w:r>
              <w:rPr>
                <w:rFonts w:asciiTheme="minorHAnsi" w:hAnsiTheme="minorHAnsi" w:cstheme="minorHAnsi"/>
                <w:sz w:val="16"/>
                <w:szCs w:val="16"/>
              </w:rPr>
              <w:t xml:space="preserve">1,751</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same, comparison closes at its high</w:t>
            </w:r>
          </w:p>
        </w:tc>
        <w:tc>
          <w:tcPr>
            <w:tcW w:type="dxa" w:w="1522"/>
            <w:tcBorders/>
          </w:tcPr>
          <w:p>
            <w:pPr>
              <w:keepNext/>
              <w:spacing w:before="10" w:after="10" w:line="240" w:lineRule="auto"/>
              <w:jc w:val="left"/>
            </w:pPr>
            <w:r>
              <w:rPr>
                <w:rFonts w:asciiTheme="minorHAnsi" w:hAnsiTheme="minorHAnsi" w:cstheme="minorHAnsi"/>
                <w:sz w:val="16"/>
                <w:szCs w:val="16"/>
              </w:rPr>
              <w:t xml:space="preserve">3.14 (14.5)</w:t>
            </w:r>
          </w:p>
        </w:tc>
        <w:tc>
          <w:tcPr>
            <w:tcW w:type="dxa" w:w="1522"/>
            <w:tcBorders/>
          </w:tcPr>
          <w:p>
            <w:pPr>
              <w:keepNext/>
              <w:spacing w:before="10" w:after="10" w:line="240" w:lineRule="auto"/>
              <w:jc w:val="left"/>
            </w:pPr>
            <w:r>
              <w:rPr>
                <w:rFonts w:asciiTheme="minorHAnsi" w:hAnsiTheme="minorHAnsi" w:cstheme="minorHAnsi"/>
                <w:sz w:val="16"/>
                <w:szCs w:val="16"/>
              </w:rPr>
              <w:t xml:space="preserve">−0.66 (−3.4)</w:t>
            </w:r>
          </w:p>
        </w:tc>
        <w:tc>
          <w:tcPr>
            <w:tcW w:type="dxa" w:w="1725"/>
            <w:tcBorders/>
          </w:tcPr>
          <w:p>
            <w:pPr>
              <w:keepNext/>
              <w:spacing w:before="10" w:after="10" w:line="240" w:lineRule="auto"/>
              <w:jc w:val="left"/>
            </w:pPr>
            <w:r>
              <w:rPr>
                <w:rFonts w:asciiTheme="minorHAnsi" w:hAnsiTheme="minorHAnsi" w:cstheme="minorHAnsi"/>
                <w:sz w:val="16"/>
                <w:szCs w:val="16"/>
              </w:rPr>
              <w:t xml:space="preserve">2.47 (7.2)</w:t>
            </w:r>
          </w:p>
        </w:tc>
        <w:tc>
          <w:tcPr>
            <w:tcW w:type="dxa" w:w="1522"/>
            <w:tcBorders/>
          </w:tcPr>
          <w:p>
            <w:pPr>
              <w:keepNext/>
              <w:spacing w:before="10" w:after="10" w:line="240" w:lineRule="auto"/>
              <w:jc w:val="left"/>
            </w:pPr>
            <w:r>
              <w:rPr>
                <w:rFonts w:asciiTheme="minorHAnsi" w:hAnsiTheme="minorHAnsi" w:cstheme="minorHAnsi"/>
                <w:sz w:val="16"/>
                <w:szCs w:val="16"/>
              </w:rPr>
              <w:t xml:space="preserve">−0.49 (−1.5)</w:t>
            </w:r>
          </w:p>
        </w:tc>
        <w:tc>
          <w:tcPr>
            <w:tcW w:type="dxa" w:w="1319"/>
            <w:tcBorders/>
          </w:tcPr>
          <w:p>
            <w:pPr>
              <w:keepNext/>
              <w:spacing w:before="10" w:after="10" w:line="240" w:lineRule="auto"/>
              <w:jc w:val="left"/>
            </w:pPr>
            <w:r>
              <w:rPr>
                <w:rFonts w:asciiTheme="minorHAnsi" w:hAnsiTheme="minorHAnsi" w:cstheme="minorHAnsi"/>
                <w:sz w:val="16"/>
                <w:szCs w:val="16"/>
              </w:rPr>
              <w:t xml:space="preserve">679</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Ceiling vs 3–5% rises</w:t>
            </w:r>
          </w:p>
        </w:tc>
        <w:tc>
          <w:tcPr>
            <w:tcW w:type="dxa" w:w="1522"/>
            <w:tcBorders/>
          </w:tcPr>
          <w:p>
            <w:pPr>
              <w:keepNext/>
              <w:spacing w:before="10" w:after="10" w:line="240" w:lineRule="auto"/>
              <w:jc w:val="left"/>
            </w:pPr>
            <w:r>
              <w:rPr>
                <w:rFonts w:asciiTheme="minorHAnsi" w:hAnsiTheme="minorHAnsi" w:cstheme="minorHAnsi"/>
                <w:sz w:val="16"/>
                <w:szCs w:val="16"/>
              </w:rPr>
              <w:t xml:space="preserve">2.40 (11.6)</w:t>
            </w:r>
          </w:p>
        </w:tc>
        <w:tc>
          <w:tcPr>
            <w:tcW w:type="dxa" w:w="1522"/>
            <w:tcBorders/>
          </w:tcPr>
          <w:p>
            <w:pPr>
              <w:keepNext/>
              <w:spacing w:before="10" w:after="10" w:line="240" w:lineRule="auto"/>
              <w:jc w:val="left"/>
            </w:pPr>
            <w:r>
              <w:rPr>
                <w:rFonts w:asciiTheme="minorHAnsi" w:hAnsiTheme="minorHAnsi" w:cstheme="minorHAnsi"/>
                <w:sz w:val="16"/>
                <w:szCs w:val="16"/>
              </w:rPr>
              <w:t xml:space="preserve">−0.32 (−2.2)</w:t>
            </w:r>
          </w:p>
        </w:tc>
        <w:tc>
          <w:tcPr>
            <w:tcW w:type="dxa" w:w="1725"/>
            <w:tcBorders/>
          </w:tcPr>
          <w:p>
            <w:pPr>
              <w:keepNext/>
              <w:spacing w:before="10" w:after="10" w:line="240" w:lineRule="auto"/>
              <w:jc w:val="left"/>
            </w:pPr>
            <w:r>
              <w:rPr>
                <w:rFonts w:asciiTheme="minorHAnsi" w:hAnsiTheme="minorHAnsi" w:cstheme="minorHAnsi"/>
                <w:sz w:val="16"/>
                <w:szCs w:val="16"/>
              </w:rPr>
              <w:t xml:space="preserve">2.05 (6.1)</w:t>
            </w:r>
          </w:p>
        </w:tc>
        <w:tc>
          <w:tcPr>
            <w:tcW w:type="dxa" w:w="1522"/>
            <w:tcBorders/>
          </w:tcPr>
          <w:p>
            <w:pPr>
              <w:keepNext/>
              <w:spacing w:before="10" w:after="10" w:line="240" w:lineRule="auto"/>
              <w:jc w:val="left"/>
            </w:pPr>
            <w:r>
              <w:rPr>
                <w:rFonts w:asciiTheme="minorHAnsi" w:hAnsiTheme="minorHAnsi" w:cstheme="minorHAnsi"/>
                <w:sz w:val="16"/>
                <w:szCs w:val="16"/>
              </w:rPr>
              <w:t xml:space="preserve">−0.45 (−2.2)</w:t>
            </w:r>
          </w:p>
        </w:tc>
        <w:tc>
          <w:tcPr>
            <w:tcW w:type="dxa" w:w="1319"/>
            <w:tcBorders/>
          </w:tcPr>
          <w:p>
            <w:pPr>
              <w:keepNext/>
              <w:spacing w:before="10" w:after="10" w:line="240" w:lineRule="auto"/>
              <w:jc w:val="left"/>
            </w:pPr>
            <w:r>
              <w:rPr>
                <w:rFonts w:asciiTheme="minorHAnsi" w:hAnsiTheme="minorHAnsi" w:cstheme="minorHAnsi"/>
                <w:sz w:val="16"/>
                <w:szCs w:val="16"/>
              </w:rPr>
              <w:t xml:space="preserve">5,932</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same, comparison closes at its high</w:t>
            </w:r>
          </w:p>
        </w:tc>
        <w:tc>
          <w:tcPr>
            <w:tcW w:type="dxa" w:w="1522"/>
            <w:tcBorders/>
          </w:tcPr>
          <w:p>
            <w:pPr>
              <w:keepNext/>
              <w:spacing w:before="10" w:after="10" w:line="240" w:lineRule="auto"/>
              <w:jc w:val="left"/>
            </w:pPr>
            <w:r>
              <w:rPr>
                <w:rFonts w:asciiTheme="minorHAnsi" w:hAnsiTheme="minorHAnsi" w:cstheme="minorHAnsi"/>
                <w:sz w:val="16"/>
                <w:szCs w:val="16"/>
              </w:rPr>
              <w:t xml:space="preserve">2.81 (13.1)</w:t>
            </w:r>
          </w:p>
        </w:tc>
        <w:tc>
          <w:tcPr>
            <w:tcW w:type="dxa" w:w="1522"/>
            <w:tcBorders/>
          </w:tcPr>
          <w:p>
            <w:pPr>
              <w:keepNext/>
              <w:spacing w:before="10" w:after="10" w:line="240" w:lineRule="auto"/>
              <w:jc w:val="left"/>
            </w:pPr>
            <w:r>
              <w:rPr>
                <w:rFonts w:asciiTheme="minorHAnsi" w:hAnsiTheme="minorHAnsi" w:cstheme="minorHAnsi"/>
                <w:sz w:val="16"/>
                <w:szCs w:val="16"/>
              </w:rPr>
              <w:t xml:space="preserve">−0.61 (−3.8)</w:t>
            </w:r>
          </w:p>
        </w:tc>
        <w:tc>
          <w:tcPr>
            <w:tcW w:type="dxa" w:w="1725"/>
            <w:tcBorders/>
          </w:tcPr>
          <w:p>
            <w:pPr>
              <w:keepNext/>
              <w:spacing w:before="10" w:after="10" w:line="240" w:lineRule="auto"/>
              <w:jc w:val="left"/>
            </w:pPr>
            <w:r>
              <w:rPr>
                <w:rFonts w:asciiTheme="minorHAnsi" w:hAnsiTheme="minorHAnsi" w:cstheme="minorHAnsi"/>
                <w:sz w:val="16"/>
                <w:szCs w:val="16"/>
              </w:rPr>
              <w:t xml:space="preserve">2.17 (6.4)</w:t>
            </w:r>
          </w:p>
        </w:tc>
        <w:tc>
          <w:tcPr>
            <w:tcW w:type="dxa" w:w="1522"/>
            <w:tcBorders/>
          </w:tcPr>
          <w:p>
            <w:pPr>
              <w:keepNext/>
              <w:spacing w:before="10" w:after="10" w:line="240" w:lineRule="auto"/>
              <w:jc w:val="left"/>
            </w:pPr>
            <w:r>
              <w:rPr>
                <w:rFonts w:asciiTheme="minorHAnsi" w:hAnsiTheme="minorHAnsi" w:cstheme="minorHAnsi"/>
                <w:sz w:val="16"/>
                <w:szCs w:val="16"/>
              </w:rPr>
              <w:t xml:space="preserve">−0.64 (−2.7)</w:t>
            </w:r>
          </w:p>
        </w:tc>
        <w:tc>
          <w:tcPr>
            <w:tcW w:type="dxa" w:w="1319"/>
            <w:tcBorders/>
          </w:tcPr>
          <w:p>
            <w:pPr>
              <w:keepNext/>
              <w:spacing w:before="10" w:after="10" w:line="240" w:lineRule="auto"/>
              <w:jc w:val="left"/>
            </w:pPr>
            <w:r>
              <w:rPr>
                <w:rFonts w:asciiTheme="minorHAnsi" w:hAnsiTheme="minorHAnsi" w:cstheme="minorHAnsi"/>
                <w:sz w:val="16"/>
                <w:szCs w:val="16"/>
              </w:rPr>
              <w:t xml:space="preserve">1,795</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Floor vs 5–6.5% falls</w:t>
            </w:r>
          </w:p>
        </w:tc>
        <w:tc>
          <w:tcPr>
            <w:tcW w:type="dxa" w:w="1522"/>
            <w:tcBorders/>
          </w:tcPr>
          <w:p>
            <w:pPr>
              <w:keepNext/>
              <w:spacing w:before="10" w:after="10" w:line="240" w:lineRule="auto"/>
              <w:jc w:val="left"/>
            </w:pPr>
            <w:r>
              <w:rPr>
                <w:rFonts w:asciiTheme="minorHAnsi" w:hAnsiTheme="minorHAnsi" w:cstheme="minorHAnsi"/>
                <w:sz w:val="16"/>
                <w:szCs w:val="16"/>
              </w:rPr>
              <w:t xml:space="preserve">−1.59 (−9.7)</w:t>
            </w:r>
          </w:p>
        </w:tc>
        <w:tc>
          <w:tcPr>
            <w:tcW w:type="dxa" w:w="1522"/>
            <w:tcBorders/>
          </w:tcPr>
          <w:p>
            <w:pPr>
              <w:keepNext/>
              <w:spacing w:before="10" w:after="10" w:line="240" w:lineRule="auto"/>
              <w:jc w:val="left"/>
            </w:pPr>
            <w:r>
              <w:rPr>
                <w:rFonts w:asciiTheme="minorHAnsi" w:hAnsiTheme="minorHAnsi" w:cstheme="minorHAnsi"/>
                <w:sz w:val="16"/>
                <w:szCs w:val="16"/>
              </w:rPr>
              <w:t xml:space="preserve">−0.07 (−0.3)</w:t>
            </w:r>
          </w:p>
        </w:tc>
        <w:tc>
          <w:tcPr>
            <w:tcW w:type="dxa" w:w="1725"/>
            <w:tcBorders/>
          </w:tcPr>
          <w:p>
            <w:pPr>
              <w:keepNext/>
              <w:spacing w:before="10" w:after="10" w:line="240" w:lineRule="auto"/>
              <w:jc w:val="left"/>
            </w:pPr>
            <w:r>
              <w:rPr>
                <w:rFonts w:asciiTheme="minorHAnsi" w:hAnsiTheme="minorHAnsi" w:cstheme="minorHAnsi"/>
                <w:sz w:val="16"/>
                <w:szCs w:val="16"/>
              </w:rPr>
              <w:t xml:space="preserve">−1.66 (−11.6)</w:t>
            </w:r>
          </w:p>
        </w:tc>
        <w:tc>
          <w:tcPr>
            <w:tcW w:type="dxa" w:w="1522"/>
            <w:tcBorders/>
          </w:tcPr>
          <w:p>
            <w:pPr>
              <w:keepNext/>
              <w:spacing w:before="10" w:after="10" w:line="240" w:lineRule="auto"/>
              <w:jc w:val="left"/>
            </w:pPr>
            <w:r>
              <w:rPr>
                <w:rFonts w:asciiTheme="minorHAnsi" w:hAnsiTheme="minorHAnsi" w:cstheme="minorHAnsi"/>
                <w:sz w:val="16"/>
                <w:szCs w:val="16"/>
              </w:rPr>
              <w:t xml:space="preserve">−1.01 (−2.6)</w:t>
            </w:r>
          </w:p>
        </w:tc>
        <w:tc>
          <w:tcPr>
            <w:tcW w:type="dxa" w:w="1319"/>
            <w:tcBorders/>
          </w:tcPr>
          <w:p>
            <w:pPr>
              <w:keepNext/>
              <w:spacing w:before="10" w:after="10" w:line="240" w:lineRule="auto"/>
              <w:jc w:val="left"/>
            </w:pPr>
            <w:r>
              <w:rPr>
                <w:rFonts w:asciiTheme="minorHAnsi" w:hAnsiTheme="minorHAnsi" w:cstheme="minorHAnsi"/>
                <w:sz w:val="16"/>
                <w:szCs w:val="16"/>
              </w:rPr>
              <w:t xml:space="preserve">1,522</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same, comparison closes at its low</w:t>
            </w:r>
          </w:p>
        </w:tc>
        <w:tc>
          <w:tcPr>
            <w:tcW w:type="dxa" w:w="1522"/>
            <w:tcBorders/>
          </w:tcPr>
          <w:p>
            <w:pPr>
              <w:keepNext/>
              <w:spacing w:before="10" w:after="10" w:line="240" w:lineRule="auto"/>
              <w:jc w:val="left"/>
            </w:pPr>
            <w:r>
              <w:rPr>
                <w:rFonts w:asciiTheme="minorHAnsi" w:hAnsiTheme="minorHAnsi" w:cstheme="minorHAnsi"/>
                <w:sz w:val="16"/>
                <w:szCs w:val="16"/>
              </w:rPr>
              <w:t xml:space="preserve">−1.81 (−8.7)</w:t>
            </w:r>
          </w:p>
        </w:tc>
        <w:tc>
          <w:tcPr>
            <w:tcW w:type="dxa" w:w="1522"/>
            <w:tcBorders/>
          </w:tcPr>
          <w:p>
            <w:pPr>
              <w:keepNext/>
              <w:spacing w:before="10" w:after="10" w:line="240" w:lineRule="auto"/>
              <w:jc w:val="left"/>
            </w:pPr>
            <w:r>
              <w:rPr>
                <w:rFonts w:asciiTheme="minorHAnsi" w:hAnsiTheme="minorHAnsi" w:cstheme="minorHAnsi"/>
                <w:sz w:val="16"/>
                <w:szCs w:val="16"/>
              </w:rPr>
              <w:t xml:space="preserve">−0.13 (−0.6)</w:t>
            </w:r>
          </w:p>
        </w:tc>
        <w:tc>
          <w:tcPr>
            <w:tcW w:type="dxa" w:w="1725"/>
            <w:tcBorders/>
          </w:tcPr>
          <w:p>
            <w:pPr>
              <w:keepNext/>
              <w:spacing w:before="10" w:after="10" w:line="240" w:lineRule="auto"/>
              <w:jc w:val="left"/>
            </w:pPr>
            <w:r>
              <w:rPr>
                <w:rFonts w:asciiTheme="minorHAnsi" w:hAnsiTheme="minorHAnsi" w:cstheme="minorHAnsi"/>
                <w:sz w:val="16"/>
                <w:szCs w:val="16"/>
              </w:rPr>
              <w:t xml:space="preserve">−1.95 (−10.7)</w:t>
            </w:r>
          </w:p>
        </w:tc>
        <w:tc>
          <w:tcPr>
            <w:tcW w:type="dxa" w:w="1522"/>
            <w:tcBorders/>
          </w:tcPr>
          <w:p>
            <w:pPr>
              <w:keepNext/>
              <w:spacing w:before="10" w:after="10" w:line="240" w:lineRule="auto"/>
              <w:jc w:val="left"/>
            </w:pPr>
            <w:r>
              <w:rPr>
                <w:rFonts w:asciiTheme="minorHAnsi" w:hAnsiTheme="minorHAnsi" w:cstheme="minorHAnsi"/>
                <w:sz w:val="16"/>
                <w:szCs w:val="16"/>
              </w:rPr>
              <w:t xml:space="preserve">−1.23 (−2.8)</w:t>
            </w:r>
          </w:p>
        </w:tc>
        <w:tc>
          <w:tcPr>
            <w:tcW w:type="dxa" w:w="1319"/>
            <w:tcBorders/>
          </w:tcPr>
          <w:p>
            <w:pPr>
              <w:keepNext/>
              <w:spacing w:before="10" w:after="10" w:line="240" w:lineRule="auto"/>
              <w:jc w:val="left"/>
            </w:pPr>
            <w:r>
              <w:rPr>
                <w:rFonts w:asciiTheme="minorHAnsi" w:hAnsiTheme="minorHAnsi" w:cstheme="minorHAnsi"/>
                <w:sz w:val="16"/>
                <w:szCs w:val="16"/>
              </w:rPr>
              <w:t xml:space="preserve">722</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Floor vs 3–5% falls</w:t>
            </w:r>
          </w:p>
        </w:tc>
        <w:tc>
          <w:tcPr>
            <w:tcW w:type="dxa" w:w="1522"/>
            <w:tcBorders/>
          </w:tcPr>
          <w:p>
            <w:pPr>
              <w:keepNext/>
              <w:spacing w:before="10" w:after="10" w:line="240" w:lineRule="auto"/>
              <w:jc w:val="left"/>
            </w:pPr>
            <w:r>
              <w:rPr>
                <w:rFonts w:asciiTheme="minorHAnsi" w:hAnsiTheme="minorHAnsi" w:cstheme="minorHAnsi"/>
                <w:sz w:val="16"/>
                <w:szCs w:val="16"/>
              </w:rPr>
              <w:t xml:space="preserve">−1.14 (−6.4)</w:t>
            </w:r>
          </w:p>
        </w:tc>
        <w:tc>
          <w:tcPr>
            <w:tcW w:type="dxa" w:w="1522"/>
            <w:tcBorders/>
          </w:tcPr>
          <w:p>
            <w:pPr>
              <w:keepNext/>
              <w:spacing w:before="10" w:after="10" w:line="240" w:lineRule="auto"/>
              <w:jc w:val="left"/>
            </w:pPr>
            <w:r>
              <w:rPr>
                <w:rFonts w:asciiTheme="minorHAnsi" w:hAnsiTheme="minorHAnsi" w:cstheme="minorHAnsi"/>
                <w:sz w:val="16"/>
                <w:szCs w:val="16"/>
              </w:rPr>
              <w:t xml:space="preserve">0.14 (0.6)</w:t>
            </w:r>
          </w:p>
        </w:tc>
        <w:tc>
          <w:tcPr>
            <w:tcW w:type="dxa" w:w="1725"/>
            <w:tcBorders/>
          </w:tcPr>
          <w:p>
            <w:pPr>
              <w:keepNext/>
              <w:spacing w:before="10" w:after="10" w:line="240" w:lineRule="auto"/>
              <w:jc w:val="left"/>
            </w:pPr>
            <w:r>
              <w:rPr>
                <w:rFonts w:asciiTheme="minorHAnsi" w:hAnsiTheme="minorHAnsi" w:cstheme="minorHAnsi"/>
                <w:sz w:val="16"/>
                <w:szCs w:val="16"/>
              </w:rPr>
              <w:t xml:space="preserve">−1.01 (−7.5)</w:t>
            </w:r>
          </w:p>
        </w:tc>
        <w:tc>
          <w:tcPr>
            <w:tcW w:type="dxa" w:w="1522"/>
            <w:tcBorders/>
          </w:tcPr>
          <w:p>
            <w:pPr>
              <w:keepNext/>
              <w:spacing w:before="10" w:after="10" w:line="240" w:lineRule="auto"/>
              <w:jc w:val="left"/>
            </w:pPr>
            <w:r>
              <w:rPr>
                <w:rFonts w:asciiTheme="minorHAnsi" w:hAnsiTheme="minorHAnsi" w:cstheme="minorHAnsi"/>
                <w:sz w:val="16"/>
                <w:szCs w:val="16"/>
              </w:rPr>
              <w:t xml:space="preserve">−0.90 (−2.2)</w:t>
            </w:r>
          </w:p>
        </w:tc>
        <w:tc>
          <w:tcPr>
            <w:tcW w:type="dxa" w:w="1319"/>
            <w:tcBorders/>
          </w:tcPr>
          <w:p>
            <w:pPr>
              <w:keepNext/>
              <w:spacing w:before="10" w:after="10" w:line="240" w:lineRule="auto"/>
              <w:jc w:val="left"/>
            </w:pPr>
            <w:r>
              <w:rPr>
                <w:rFonts w:asciiTheme="minorHAnsi" w:hAnsiTheme="minorHAnsi" w:cstheme="minorHAnsi"/>
                <w:sz w:val="16"/>
                <w:szCs w:val="16"/>
              </w:rPr>
              <w:t xml:space="preserve">5,237</w:t>
            </w:r>
          </w:p>
        </w:tc>
      </w:tr>
      <w:tr>
        <w:trPr>
          <w:cantSplit/>
        </w:trPr>
        <w:tc>
          <w:tcPr>
            <w:tcW w:type="dxa" w:w="2588"/>
            <w:tcBorders>
              <w:bottom w:val="single" w:sz="8" w:space="0" w:color="000000"/>
            </w:tcBorders>
          </w:tcPr>
          <w:p>
            <w:pPr>
              <w:spacing w:before="10" w:after="10" w:line="240" w:lineRule="auto"/>
              <w:jc w:val="left"/>
            </w:pPr>
            <w:r>
              <w:rPr>
                <w:rFonts w:asciiTheme="minorHAnsi" w:hAnsiTheme="minorHAnsi" w:cstheme="minorHAnsi"/>
                <w:sz w:val="16"/>
                <w:szCs w:val="16"/>
              </w:rPr>
              <w:t xml:space="preserve">same, comparison closes at its low</w:t>
            </w:r>
          </w:p>
        </w:tc>
        <w:tc>
          <w:tcPr>
            <w:tcW w:type="dxa" w:w="1522"/>
            <w:tcBorders>
              <w:bottom w:val="single" w:sz="8" w:space="0" w:color="000000"/>
            </w:tcBorders>
          </w:tcPr>
          <w:p>
            <w:pPr>
              <w:spacing w:before="10" w:after="10" w:line="240" w:lineRule="auto"/>
              <w:jc w:val="left"/>
            </w:pPr>
            <w:r>
              <w:rPr>
                <w:rFonts w:asciiTheme="minorHAnsi" w:hAnsiTheme="minorHAnsi" w:cstheme="minorHAnsi"/>
                <w:sz w:val="16"/>
                <w:szCs w:val="16"/>
              </w:rPr>
              <w:t xml:space="preserve">−1.35 (−7.4)</w:t>
            </w:r>
          </w:p>
        </w:tc>
        <w:tc>
          <w:tcPr>
            <w:tcW w:type="dxa" w:w="1522"/>
            <w:tcBorders>
              <w:bottom w:val="single" w:sz="8" w:space="0" w:color="000000"/>
            </w:tcBorders>
          </w:tcPr>
          <w:p>
            <w:pPr>
              <w:spacing w:before="10" w:after="10" w:line="240" w:lineRule="auto"/>
              <w:jc w:val="left"/>
            </w:pPr>
            <w:r>
              <w:rPr>
                <w:rFonts w:asciiTheme="minorHAnsi" w:hAnsiTheme="minorHAnsi" w:cstheme="minorHAnsi"/>
                <w:sz w:val="16"/>
                <w:szCs w:val="16"/>
              </w:rPr>
              <w:t xml:space="preserve">0.18 (0.8)</w:t>
            </w:r>
          </w:p>
        </w:tc>
        <w:tc>
          <w:tcPr>
            <w:tcW w:type="dxa" w:w="1725"/>
            <w:tcBorders>
              <w:bottom w:val="single" w:sz="8" w:space="0" w:color="000000"/>
            </w:tcBorders>
          </w:tcPr>
          <w:p>
            <w:pPr>
              <w:spacing w:before="10" w:after="10" w:line="240" w:lineRule="auto"/>
              <w:jc w:val="left"/>
            </w:pPr>
            <w:r>
              <w:rPr>
                <w:rFonts w:asciiTheme="minorHAnsi" w:hAnsiTheme="minorHAnsi" w:cstheme="minorHAnsi"/>
                <w:sz w:val="16"/>
                <w:szCs w:val="16"/>
              </w:rPr>
              <w:t xml:space="preserve">−1.19 (−8.0)</w:t>
            </w:r>
          </w:p>
        </w:tc>
        <w:tc>
          <w:tcPr>
            <w:tcW w:type="dxa" w:w="1522"/>
            <w:tcBorders>
              <w:bottom w:val="single" w:sz="8" w:space="0" w:color="000000"/>
            </w:tcBorders>
          </w:tcPr>
          <w:p>
            <w:pPr>
              <w:spacing w:before="10" w:after="10" w:line="240" w:lineRule="auto"/>
              <w:jc w:val="left"/>
            </w:pPr>
            <w:r>
              <w:rPr>
                <w:rFonts w:asciiTheme="minorHAnsi" w:hAnsiTheme="minorHAnsi" w:cstheme="minorHAnsi"/>
                <w:sz w:val="16"/>
                <w:szCs w:val="16"/>
              </w:rPr>
              <w:t xml:space="preserve">−1.06 (−2.5)</w:t>
            </w:r>
          </w:p>
        </w:tc>
        <w:tc>
          <w:tcPr>
            <w:tcW w:type="dxa" w:w="1319"/>
            <w:tcBorders>
              <w:bottom w:val="single" w:sz="8" w:space="0" w:color="000000"/>
            </w:tcBorders>
          </w:tcPr>
          <w:p>
            <w:pPr>
              <w:spacing w:before="10" w:after="10" w:line="240" w:lineRule="auto"/>
              <w:jc w:val="left"/>
            </w:pPr>
            <w:r>
              <w:rPr>
                <w:rFonts w:asciiTheme="minorHAnsi" w:hAnsiTheme="minorHAnsi" w:cstheme="minorHAnsi"/>
                <w:sz w:val="16"/>
                <w:szCs w:val="16"/>
              </w:rPr>
              <w:t xml:space="preserve">2,228</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Differences in percentage points from same-direction moves of 3–5% or 5–6.5% that did not close at the limit; market-adjusted returns; date-clustered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in parentheses.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4</w:t>
      </w:r>
      <w:r>
        <w:rPr>
          <w:rFonts w:asciiTheme="minorHAnsi" w:eastAsia="Georgia" w:hAnsiTheme="minorHAnsi" w:cstheme="minorHAnsi"/>
          <w:color w:val="000000"/>
          <w:sz w:val="18"/>
          <w:szCs w:val="18"/>
          <w:bdr w:val="nil"/>
          <w:lang w:val="hr-HR" w:eastAsia="es-MX"/>
        </w:rPr>
        <w:t xml:space="preserve"> Returns before and after the KRX platform change of May 5, 2025</w:t>
      </w:r>
    </w:p>
    <w:tbl>
      <w:tblPr>
        <w:tblW w:type="pct" w:w="5000"/>
        <w:jc w:val="center"/>
        <w:tblLayout w:type="fixed"/>
      </w:tblPr>
      <w:tblGrid>
        <w:gridCol w:w="1243"/>
        <w:gridCol w:w="2114"/>
        <w:gridCol w:w="1865"/>
        <w:gridCol w:w="1865"/>
        <w:gridCol w:w="1865"/>
        <w:gridCol w:w="1243"/>
      </w:tblGrid>
      <w:tr>
        <w:trPr>
          <w:cantSplit/>
          <w:tblHeader w:val="true"/>
        </w:trPr>
        <w:tc>
          <w:tcPr>
            <w:tcW w:type="dxa" w:w="1243"/>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Event</w:t>
            </w:r>
          </w:p>
        </w:tc>
        <w:tc>
          <w:tcPr>
            <w:tcW w:type="dxa" w:w="2114"/>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Outcome</w:t>
            </w:r>
          </w:p>
        </w:tc>
        <w:tc>
          <w:tcPr>
            <w:tcW w:type="dxa" w:w="1865"/>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Before the change</w:t>
            </w:r>
          </w:p>
        </w:tc>
        <w:tc>
          <w:tcPr>
            <w:tcW w:type="dxa" w:w="1865"/>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After the change</w:t>
            </w:r>
          </w:p>
        </w:tc>
        <w:tc>
          <w:tcPr>
            <w:tcW w:type="dxa" w:w="1865"/>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Difference</w:t>
            </w:r>
          </w:p>
        </w:tc>
        <w:tc>
          <w:tcPr>
            <w:tcW w:type="dxa" w:w="1243"/>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Events (before / after)</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Ceiling</w:t>
            </w:r>
          </w:p>
        </w:tc>
        <w:tc>
          <w:tcPr>
            <w:tcW w:type="dxa" w:w="2114"/>
            <w:tcBorders/>
          </w:tcPr>
          <w:p>
            <w:pPr>
              <w:keepNext/>
              <w:spacing w:before="10" w:after="10" w:line="240" w:lineRule="auto"/>
              <w:jc w:val="left"/>
            </w:pPr>
            <w:r>
              <w:rPr>
                <w:rFonts w:asciiTheme="minorHAnsi" w:hAnsiTheme="minorHAnsi" w:cstheme="minorHAnsi"/>
                <w:sz w:val="16"/>
                <w:szCs w:val="16"/>
              </w:rPr>
              <w:t xml:space="preserve">Overnight gap</w:t>
            </w:r>
          </w:p>
        </w:tc>
        <w:tc>
          <w:tcPr>
            <w:tcW w:type="dxa" w:w="1865"/>
            <w:tcBorders/>
          </w:tcPr>
          <w:p>
            <w:pPr>
              <w:keepNext/>
              <w:spacing w:before="10" w:after="10" w:line="240" w:lineRule="auto"/>
              <w:jc w:val="left"/>
            </w:pPr>
            <w:r>
              <w:rPr>
                <w:rFonts w:asciiTheme="minorHAnsi" w:hAnsiTheme="minorHAnsi" w:cstheme="minorHAnsi"/>
                <w:sz w:val="16"/>
                <w:szCs w:val="16"/>
              </w:rPr>
              <w:t xml:space="preserve">1.65 (3.2)</w:t>
            </w:r>
          </w:p>
        </w:tc>
        <w:tc>
          <w:tcPr>
            <w:tcW w:type="dxa" w:w="1865"/>
            <w:tcBorders/>
          </w:tcPr>
          <w:p>
            <w:pPr>
              <w:keepNext/>
              <w:spacing w:before="10" w:after="10" w:line="240" w:lineRule="auto"/>
              <w:jc w:val="left"/>
            </w:pPr>
            <w:r>
              <w:rPr>
                <w:rFonts w:asciiTheme="minorHAnsi" w:hAnsiTheme="minorHAnsi" w:cstheme="minorHAnsi"/>
                <w:sz w:val="16"/>
                <w:szCs w:val="16"/>
              </w:rPr>
              <w:t xml:space="preserve">2.49 (17.9)</w:t>
            </w:r>
          </w:p>
        </w:tc>
        <w:tc>
          <w:tcPr>
            <w:tcW w:type="dxa" w:w="1865"/>
            <w:tcBorders/>
          </w:tcPr>
          <w:p>
            <w:pPr>
              <w:keepNext/>
              <w:spacing w:before="10" w:after="10" w:line="240" w:lineRule="auto"/>
              <w:jc w:val="left"/>
            </w:pPr>
            <w:r>
              <w:rPr>
                <w:rFonts w:asciiTheme="minorHAnsi" w:hAnsiTheme="minorHAnsi" w:cstheme="minorHAnsi"/>
                <w:sz w:val="16"/>
                <w:szCs w:val="16"/>
              </w:rPr>
              <w:t xml:space="preserve">0.85 (1.6)</w:t>
            </w:r>
          </w:p>
        </w:tc>
        <w:tc>
          <w:tcPr>
            <w:tcW w:type="dxa" w:w="1243"/>
            <w:tcBorders/>
          </w:tcPr>
          <w:p>
            <w:pPr>
              <w:keepNext/>
              <w:spacing w:before="10" w:after="10" w:line="240" w:lineRule="auto"/>
              <w:jc w:val="left"/>
            </w:pPr>
            <w:r>
              <w:rPr>
                <w:rFonts w:asciiTheme="minorHAnsi" w:hAnsiTheme="minorHAnsi" w:cstheme="minorHAnsi"/>
                <w:sz w:val="16"/>
                <w:szCs w:val="16"/>
              </w:rPr>
              <w:t xml:space="preserve">936 / 2,263</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Ceiling</w:t>
            </w:r>
          </w:p>
        </w:tc>
        <w:tc>
          <w:tcPr>
            <w:tcW w:type="dxa" w:w="2114"/>
            <w:tcBorders/>
          </w:tcPr>
          <w:p>
            <w:pPr>
              <w:keepNext/>
              <w:spacing w:before="10" w:after="10" w:line="240" w:lineRule="auto"/>
              <w:jc w:val="left"/>
            </w:pPr>
            <w:r>
              <w:rPr>
                <w:rFonts w:asciiTheme="minorHAnsi" w:hAnsiTheme="minorHAnsi" w:cstheme="minorHAnsi"/>
                <w:sz w:val="16"/>
                <w:szCs w:val="16"/>
              </w:rPr>
              <w:t xml:space="preserve">Intraday</w:t>
            </w:r>
          </w:p>
        </w:tc>
        <w:tc>
          <w:tcPr>
            <w:tcW w:type="dxa" w:w="1865"/>
            <w:tcBorders/>
          </w:tcPr>
          <w:p>
            <w:pPr>
              <w:keepNext/>
              <w:spacing w:before="10" w:after="10" w:line="240" w:lineRule="auto"/>
              <w:jc w:val="left"/>
            </w:pPr>
            <w:r>
              <w:rPr>
                <w:rFonts w:asciiTheme="minorHAnsi" w:hAnsiTheme="minorHAnsi" w:cstheme="minorHAnsi"/>
                <w:sz w:val="16"/>
                <w:szCs w:val="16"/>
              </w:rPr>
              <w:t xml:space="preserve">−0.77 (−2.0)</w:t>
            </w:r>
          </w:p>
        </w:tc>
        <w:tc>
          <w:tcPr>
            <w:tcW w:type="dxa" w:w="1865"/>
            <w:tcBorders/>
          </w:tcPr>
          <w:p>
            <w:pPr>
              <w:keepNext/>
              <w:spacing w:before="10" w:after="10" w:line="240" w:lineRule="auto"/>
              <w:jc w:val="left"/>
            </w:pPr>
            <w:r>
              <w:rPr>
                <w:rFonts w:asciiTheme="minorHAnsi" w:hAnsiTheme="minorHAnsi" w:cstheme="minorHAnsi"/>
                <w:sz w:val="16"/>
                <w:szCs w:val="16"/>
              </w:rPr>
              <w:t xml:space="preserve">−0.44 (−4.3)</w:t>
            </w:r>
          </w:p>
        </w:tc>
        <w:tc>
          <w:tcPr>
            <w:tcW w:type="dxa" w:w="1865"/>
            <w:tcBorders/>
          </w:tcPr>
          <w:p>
            <w:pPr>
              <w:keepNext/>
              <w:spacing w:before="10" w:after="10" w:line="240" w:lineRule="auto"/>
              <w:jc w:val="left"/>
            </w:pPr>
            <w:r>
              <w:rPr>
                <w:rFonts w:asciiTheme="minorHAnsi" w:hAnsiTheme="minorHAnsi" w:cstheme="minorHAnsi"/>
                <w:sz w:val="16"/>
                <w:szCs w:val="16"/>
              </w:rPr>
              <w:t xml:space="preserve">0.34 (0.8)</w:t>
            </w:r>
          </w:p>
        </w:tc>
        <w:tc>
          <w:tcPr>
            <w:tcW w:type="dxa" w:w="1243"/>
            <w:tcBorders/>
          </w:tcPr>
          <w:p>
            <w:pPr>
              <w:keepNext/>
              <w:spacing w:before="10" w:after="10" w:line="240" w:lineRule="auto"/>
              <w:jc w:val="left"/>
            </w:pPr>
            <w:r>
              <w:rPr>
                <w:rFonts w:asciiTheme="minorHAnsi" w:hAnsiTheme="minorHAnsi" w:cstheme="minorHAnsi"/>
                <w:sz w:val="16"/>
                <w:szCs w:val="16"/>
              </w:rPr>
              <w:t xml:space="preserve">936 / 2,263</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Ceiling</w:t>
            </w:r>
          </w:p>
        </w:tc>
        <w:tc>
          <w:tcPr>
            <w:tcW w:type="dxa" w:w="2114"/>
            <w:tcBorders/>
          </w:tcPr>
          <w:p>
            <w:pPr>
              <w:keepNext/>
              <w:spacing w:before="10" w:after="10" w:line="240" w:lineRule="auto"/>
              <w:jc w:val="left"/>
            </w:pPr>
            <w:r>
              <w:rPr>
                <w:rFonts w:asciiTheme="minorHAnsi" w:hAnsiTheme="minorHAnsi" w:cstheme="minorHAnsi"/>
                <w:sz w:val="16"/>
                <w:szCs w:val="16"/>
              </w:rPr>
              <w:t xml:space="preserve">Close-to-close</w:t>
            </w:r>
          </w:p>
        </w:tc>
        <w:tc>
          <w:tcPr>
            <w:tcW w:type="dxa" w:w="1865"/>
            <w:tcBorders/>
          </w:tcPr>
          <w:p>
            <w:pPr>
              <w:keepNext/>
              <w:spacing w:before="10" w:after="10" w:line="240" w:lineRule="auto"/>
              <w:jc w:val="left"/>
            </w:pPr>
            <w:r>
              <w:rPr>
                <w:rFonts w:asciiTheme="minorHAnsi" w:hAnsiTheme="minorHAnsi" w:cstheme="minorHAnsi"/>
                <w:sz w:val="16"/>
                <w:szCs w:val="16"/>
              </w:rPr>
              <w:t xml:space="preserve">0.83 (1.0)</w:t>
            </w:r>
          </w:p>
        </w:tc>
        <w:tc>
          <w:tcPr>
            <w:tcW w:type="dxa" w:w="1865"/>
            <w:tcBorders/>
          </w:tcPr>
          <w:p>
            <w:pPr>
              <w:keepNext/>
              <w:spacing w:before="10" w:after="10" w:line="240" w:lineRule="auto"/>
              <w:jc w:val="left"/>
            </w:pPr>
            <w:r>
              <w:rPr>
                <w:rFonts w:asciiTheme="minorHAnsi" w:hAnsiTheme="minorHAnsi" w:cstheme="minorHAnsi"/>
                <w:sz w:val="16"/>
                <w:szCs w:val="16"/>
              </w:rPr>
              <w:t xml:space="preserve">2.01 (14.6)</w:t>
            </w:r>
          </w:p>
        </w:tc>
        <w:tc>
          <w:tcPr>
            <w:tcW w:type="dxa" w:w="1865"/>
            <w:tcBorders/>
          </w:tcPr>
          <w:p>
            <w:pPr>
              <w:keepNext/>
              <w:spacing w:before="10" w:after="10" w:line="240" w:lineRule="auto"/>
              <w:jc w:val="left"/>
            </w:pPr>
            <w:r>
              <w:rPr>
                <w:rFonts w:asciiTheme="minorHAnsi" w:hAnsiTheme="minorHAnsi" w:cstheme="minorHAnsi"/>
                <w:sz w:val="16"/>
                <w:szCs w:val="16"/>
              </w:rPr>
              <w:t xml:space="preserve">1.18 (1.3)</w:t>
            </w:r>
          </w:p>
        </w:tc>
        <w:tc>
          <w:tcPr>
            <w:tcW w:type="dxa" w:w="1243"/>
            <w:tcBorders/>
          </w:tcPr>
          <w:p>
            <w:pPr>
              <w:keepNext/>
              <w:spacing w:before="10" w:after="10" w:line="240" w:lineRule="auto"/>
              <w:jc w:val="left"/>
            </w:pPr>
            <w:r>
              <w:rPr>
                <w:rFonts w:asciiTheme="minorHAnsi" w:hAnsiTheme="minorHAnsi" w:cstheme="minorHAnsi"/>
                <w:sz w:val="16"/>
                <w:szCs w:val="16"/>
              </w:rPr>
              <w:t xml:space="preserve">936 / 2,263</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Ceiling</w:t>
            </w:r>
          </w:p>
        </w:tc>
        <w:tc>
          <w:tcPr>
            <w:tcW w:type="dxa" w:w="2114"/>
            <w:tcBorders/>
          </w:tcPr>
          <w:p>
            <w:pPr>
              <w:keepNext/>
              <w:spacing w:before="10" w:after="10" w:line="240" w:lineRule="auto"/>
              <w:jc w:val="left"/>
            </w:pPr>
            <w:r>
              <w:rPr>
                <w:rFonts w:asciiTheme="minorHAnsi" w:hAnsiTheme="minorHAnsi" w:cstheme="minorHAnsi"/>
                <w:sz w:val="16"/>
                <w:szCs w:val="16"/>
              </w:rPr>
              <w:t xml:space="preserve">Open to day</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865"/>
            <w:tcBorders/>
          </w:tcPr>
          <w:p>
            <w:pPr>
              <w:keepNext/>
              <w:spacing w:before="10" w:after="10" w:line="240" w:lineRule="auto"/>
              <w:jc w:val="left"/>
            </w:pPr>
            <w:r>
              <w:rPr>
                <w:rFonts w:asciiTheme="minorHAnsi" w:hAnsiTheme="minorHAnsi" w:cstheme="minorHAnsi"/>
                <w:sz w:val="16"/>
                <w:szCs w:val="16"/>
              </w:rPr>
              <w:t xml:space="preserve">−0.71 (−1.3)</w:t>
            </w:r>
          </w:p>
        </w:tc>
        <w:tc>
          <w:tcPr>
            <w:tcW w:type="dxa" w:w="1865"/>
            <w:tcBorders/>
          </w:tcPr>
          <w:p>
            <w:pPr>
              <w:keepNext/>
              <w:spacing w:before="10" w:after="10" w:line="240" w:lineRule="auto"/>
              <w:jc w:val="left"/>
            </w:pPr>
            <w:r>
              <w:rPr>
                <w:rFonts w:asciiTheme="minorHAnsi" w:hAnsiTheme="minorHAnsi" w:cstheme="minorHAnsi"/>
                <w:sz w:val="16"/>
                <w:szCs w:val="16"/>
              </w:rPr>
              <w:t xml:space="preserve">−0.77 (−2.5)</w:t>
            </w:r>
          </w:p>
        </w:tc>
        <w:tc>
          <w:tcPr>
            <w:tcW w:type="dxa" w:w="1865"/>
            <w:tcBorders/>
          </w:tcPr>
          <w:p>
            <w:pPr>
              <w:keepNext/>
              <w:spacing w:before="10" w:after="10" w:line="240" w:lineRule="auto"/>
              <w:jc w:val="left"/>
            </w:pPr>
            <w:r>
              <w:rPr>
                <w:rFonts w:asciiTheme="minorHAnsi" w:hAnsiTheme="minorHAnsi" w:cstheme="minorHAnsi"/>
                <w:sz w:val="16"/>
                <w:szCs w:val="16"/>
              </w:rPr>
              <w:t xml:space="preserve">−0.06 (−0.1)</w:t>
            </w:r>
          </w:p>
        </w:tc>
        <w:tc>
          <w:tcPr>
            <w:tcW w:type="dxa" w:w="1243"/>
            <w:tcBorders/>
          </w:tcPr>
          <w:p>
            <w:pPr>
              <w:keepNext/>
              <w:spacing w:before="10" w:after="10" w:line="240" w:lineRule="auto"/>
              <w:jc w:val="left"/>
            </w:pPr>
            <w:r>
              <w:rPr>
                <w:rFonts w:asciiTheme="minorHAnsi" w:hAnsiTheme="minorHAnsi" w:cstheme="minorHAnsi"/>
                <w:sz w:val="16"/>
                <w:szCs w:val="16"/>
              </w:rPr>
              <w:t xml:space="preserve">936 / 2,257</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Floor</w:t>
            </w:r>
          </w:p>
        </w:tc>
        <w:tc>
          <w:tcPr>
            <w:tcW w:type="dxa" w:w="2114"/>
            <w:tcBorders/>
          </w:tcPr>
          <w:p>
            <w:pPr>
              <w:keepNext/>
              <w:spacing w:before="10" w:after="10" w:line="240" w:lineRule="auto"/>
              <w:jc w:val="left"/>
            </w:pPr>
            <w:r>
              <w:rPr>
                <w:rFonts w:asciiTheme="minorHAnsi" w:hAnsiTheme="minorHAnsi" w:cstheme="minorHAnsi"/>
                <w:sz w:val="16"/>
                <w:szCs w:val="16"/>
              </w:rPr>
              <w:t xml:space="preserve">Overnight gap</w:t>
            </w:r>
          </w:p>
        </w:tc>
        <w:tc>
          <w:tcPr>
            <w:tcW w:type="dxa" w:w="1865"/>
            <w:tcBorders/>
          </w:tcPr>
          <w:p>
            <w:pPr>
              <w:keepNext/>
              <w:spacing w:before="10" w:after="10" w:line="240" w:lineRule="auto"/>
              <w:jc w:val="left"/>
            </w:pPr>
            <w:r>
              <w:rPr>
                <w:rFonts w:asciiTheme="minorHAnsi" w:hAnsiTheme="minorHAnsi" w:cstheme="minorHAnsi"/>
                <w:sz w:val="16"/>
                <w:szCs w:val="16"/>
              </w:rPr>
              <w:t xml:space="preserve">−0.42 (−1.9)</w:t>
            </w:r>
          </w:p>
        </w:tc>
        <w:tc>
          <w:tcPr>
            <w:tcW w:type="dxa" w:w="1865"/>
            <w:tcBorders/>
          </w:tcPr>
          <w:p>
            <w:pPr>
              <w:keepNext/>
              <w:spacing w:before="10" w:after="10" w:line="240" w:lineRule="auto"/>
              <w:jc w:val="left"/>
            </w:pPr>
            <w:r>
              <w:rPr>
                <w:rFonts w:asciiTheme="minorHAnsi" w:hAnsiTheme="minorHAnsi" w:cstheme="minorHAnsi"/>
                <w:sz w:val="16"/>
                <w:szCs w:val="16"/>
              </w:rPr>
              <w:t xml:space="preserve">−1.37 (−7.0)</w:t>
            </w:r>
          </w:p>
        </w:tc>
        <w:tc>
          <w:tcPr>
            <w:tcW w:type="dxa" w:w="1865"/>
            <w:tcBorders/>
          </w:tcPr>
          <w:p>
            <w:pPr>
              <w:keepNext/>
              <w:spacing w:before="10" w:after="10" w:line="240" w:lineRule="auto"/>
              <w:jc w:val="left"/>
            </w:pPr>
            <w:r>
              <w:rPr>
                <w:rFonts w:asciiTheme="minorHAnsi" w:hAnsiTheme="minorHAnsi" w:cstheme="minorHAnsi"/>
                <w:sz w:val="16"/>
                <w:szCs w:val="16"/>
              </w:rPr>
              <w:t xml:space="preserve">−0.95 (−3.2)</w:t>
            </w:r>
          </w:p>
        </w:tc>
        <w:tc>
          <w:tcPr>
            <w:tcW w:type="dxa" w:w="1243"/>
            <w:tcBorders/>
          </w:tcPr>
          <w:p>
            <w:pPr>
              <w:keepNext/>
              <w:spacing w:before="10" w:after="10" w:line="240" w:lineRule="auto"/>
              <w:jc w:val="left"/>
            </w:pPr>
            <w:r>
              <w:rPr>
                <w:rFonts w:asciiTheme="minorHAnsi" w:hAnsiTheme="minorHAnsi" w:cstheme="minorHAnsi"/>
                <w:sz w:val="16"/>
                <w:szCs w:val="16"/>
              </w:rPr>
              <w:t xml:space="preserve">891 / 1,220</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Floor</w:t>
            </w:r>
          </w:p>
        </w:tc>
        <w:tc>
          <w:tcPr>
            <w:tcW w:type="dxa" w:w="2114"/>
            <w:tcBorders/>
          </w:tcPr>
          <w:p>
            <w:pPr>
              <w:keepNext/>
              <w:spacing w:before="10" w:after="10" w:line="240" w:lineRule="auto"/>
              <w:jc w:val="left"/>
            </w:pPr>
            <w:r>
              <w:rPr>
                <w:rFonts w:asciiTheme="minorHAnsi" w:hAnsiTheme="minorHAnsi" w:cstheme="minorHAnsi"/>
                <w:sz w:val="16"/>
                <w:szCs w:val="16"/>
              </w:rPr>
              <w:t xml:space="preserve">Intraday</w:t>
            </w:r>
          </w:p>
        </w:tc>
        <w:tc>
          <w:tcPr>
            <w:tcW w:type="dxa" w:w="1865"/>
            <w:tcBorders/>
          </w:tcPr>
          <w:p>
            <w:pPr>
              <w:keepNext/>
              <w:spacing w:before="10" w:after="10" w:line="240" w:lineRule="auto"/>
              <w:jc w:val="left"/>
            </w:pPr>
            <w:r>
              <w:rPr>
                <w:rFonts w:asciiTheme="minorHAnsi" w:hAnsiTheme="minorHAnsi" w:cstheme="minorHAnsi"/>
                <w:sz w:val="16"/>
                <w:szCs w:val="16"/>
              </w:rPr>
              <w:t xml:space="preserve">−0.15 (−0.4)</w:t>
            </w:r>
          </w:p>
        </w:tc>
        <w:tc>
          <w:tcPr>
            <w:tcW w:type="dxa" w:w="1865"/>
            <w:tcBorders/>
          </w:tcPr>
          <w:p>
            <w:pPr>
              <w:keepNext/>
              <w:spacing w:before="10" w:after="10" w:line="240" w:lineRule="auto"/>
              <w:jc w:val="left"/>
            </w:pPr>
            <w:r>
              <w:rPr>
                <w:rFonts w:asciiTheme="minorHAnsi" w:hAnsiTheme="minorHAnsi" w:cstheme="minorHAnsi"/>
                <w:sz w:val="16"/>
                <w:szCs w:val="16"/>
              </w:rPr>
              <w:t xml:space="preserve">0.64 (4.6)</w:t>
            </w:r>
          </w:p>
        </w:tc>
        <w:tc>
          <w:tcPr>
            <w:tcW w:type="dxa" w:w="1865"/>
            <w:tcBorders/>
          </w:tcPr>
          <w:p>
            <w:pPr>
              <w:keepNext/>
              <w:spacing w:before="10" w:after="10" w:line="240" w:lineRule="auto"/>
              <w:jc w:val="left"/>
            </w:pPr>
            <w:r>
              <w:rPr>
                <w:rFonts w:asciiTheme="minorHAnsi" w:hAnsiTheme="minorHAnsi" w:cstheme="minorHAnsi"/>
                <w:sz w:val="16"/>
                <w:szCs w:val="16"/>
              </w:rPr>
              <w:t xml:space="preserve">0.79 (2.0)</w:t>
            </w:r>
          </w:p>
        </w:tc>
        <w:tc>
          <w:tcPr>
            <w:tcW w:type="dxa" w:w="1243"/>
            <w:tcBorders/>
          </w:tcPr>
          <w:p>
            <w:pPr>
              <w:keepNext/>
              <w:spacing w:before="10" w:after="10" w:line="240" w:lineRule="auto"/>
              <w:jc w:val="left"/>
            </w:pPr>
            <w:r>
              <w:rPr>
                <w:rFonts w:asciiTheme="minorHAnsi" w:hAnsiTheme="minorHAnsi" w:cstheme="minorHAnsi"/>
                <w:sz w:val="16"/>
                <w:szCs w:val="16"/>
              </w:rPr>
              <w:t xml:space="preserve">891 / 1,220</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Floor</w:t>
            </w:r>
          </w:p>
        </w:tc>
        <w:tc>
          <w:tcPr>
            <w:tcW w:type="dxa" w:w="2114"/>
            <w:tcBorders/>
          </w:tcPr>
          <w:p>
            <w:pPr>
              <w:keepNext/>
              <w:spacing w:before="10" w:after="10" w:line="240" w:lineRule="auto"/>
              <w:jc w:val="left"/>
            </w:pPr>
            <w:r>
              <w:rPr>
                <w:rFonts w:asciiTheme="minorHAnsi" w:hAnsiTheme="minorHAnsi" w:cstheme="minorHAnsi"/>
                <w:sz w:val="16"/>
                <w:szCs w:val="16"/>
              </w:rPr>
              <w:t xml:space="preserve">Close-to-close</w:t>
            </w:r>
          </w:p>
        </w:tc>
        <w:tc>
          <w:tcPr>
            <w:tcW w:type="dxa" w:w="1865"/>
            <w:tcBorders/>
          </w:tcPr>
          <w:p>
            <w:pPr>
              <w:keepNext/>
              <w:spacing w:before="10" w:after="10" w:line="240" w:lineRule="auto"/>
              <w:jc w:val="left"/>
            </w:pPr>
            <w:r>
              <w:rPr>
                <w:rFonts w:asciiTheme="minorHAnsi" w:hAnsiTheme="minorHAnsi" w:cstheme="minorHAnsi"/>
                <w:sz w:val="16"/>
                <w:szCs w:val="16"/>
              </w:rPr>
              <w:t xml:space="preserve">−0.57 (−2.3)</w:t>
            </w:r>
          </w:p>
        </w:tc>
        <w:tc>
          <w:tcPr>
            <w:tcW w:type="dxa" w:w="1865"/>
            <w:tcBorders/>
          </w:tcPr>
          <w:p>
            <w:pPr>
              <w:keepNext/>
              <w:spacing w:before="10" w:after="10" w:line="240" w:lineRule="auto"/>
              <w:jc w:val="left"/>
            </w:pPr>
            <w:r>
              <w:rPr>
                <w:rFonts w:asciiTheme="minorHAnsi" w:hAnsiTheme="minorHAnsi" w:cstheme="minorHAnsi"/>
                <w:sz w:val="16"/>
                <w:szCs w:val="16"/>
              </w:rPr>
              <w:t xml:space="preserve">−0.78 (−5.0)</w:t>
            </w:r>
          </w:p>
        </w:tc>
        <w:tc>
          <w:tcPr>
            <w:tcW w:type="dxa" w:w="1865"/>
            <w:tcBorders/>
          </w:tcPr>
          <w:p>
            <w:pPr>
              <w:keepNext/>
              <w:spacing w:before="10" w:after="10" w:line="240" w:lineRule="auto"/>
              <w:jc w:val="left"/>
            </w:pPr>
            <w:r>
              <w:rPr>
                <w:rFonts w:asciiTheme="minorHAnsi" w:hAnsiTheme="minorHAnsi" w:cstheme="minorHAnsi"/>
                <w:sz w:val="16"/>
                <w:szCs w:val="16"/>
              </w:rPr>
              <w:t xml:space="preserve">−0.21 (−0.7)</w:t>
            </w:r>
          </w:p>
        </w:tc>
        <w:tc>
          <w:tcPr>
            <w:tcW w:type="dxa" w:w="1243"/>
            <w:tcBorders/>
          </w:tcPr>
          <w:p>
            <w:pPr>
              <w:keepNext/>
              <w:spacing w:before="10" w:after="10" w:line="240" w:lineRule="auto"/>
              <w:jc w:val="left"/>
            </w:pPr>
            <w:r>
              <w:rPr>
                <w:rFonts w:asciiTheme="minorHAnsi" w:hAnsiTheme="minorHAnsi" w:cstheme="minorHAnsi"/>
                <w:sz w:val="16"/>
                <w:szCs w:val="16"/>
              </w:rPr>
              <w:t xml:space="preserve">891 / 1,220</w:t>
            </w:r>
          </w:p>
        </w:tc>
      </w:tr>
      <w:tr>
        <w:trPr>
          <w:cantSplit/>
        </w:trPr>
        <w:tc>
          <w:tcPr>
            <w:tcW w:type="dxa" w:w="1243"/>
            <w:tcBorders>
              <w:bottom w:val="single" w:sz="8" w:space="0" w:color="000000"/>
            </w:tcBorders>
          </w:tcPr>
          <w:p>
            <w:pPr>
              <w:spacing w:before="10" w:after="10" w:line="240" w:lineRule="auto"/>
              <w:jc w:val="left"/>
            </w:pPr>
            <w:r>
              <w:rPr>
                <w:rFonts w:asciiTheme="minorHAnsi" w:hAnsiTheme="minorHAnsi" w:cstheme="minorHAnsi"/>
                <w:sz w:val="16"/>
                <w:szCs w:val="16"/>
              </w:rPr>
              <w:t xml:space="preserve">Floor</w:t>
            </w:r>
          </w:p>
        </w:tc>
        <w:tc>
          <w:tcPr>
            <w:tcW w:type="dxa" w:w="2114"/>
            <w:tcBorders>
              <w:bottom w:val="single" w:sz="8" w:space="0" w:color="000000"/>
            </w:tcBorders>
          </w:tcPr>
          <w:p>
            <w:pPr>
              <w:spacing w:before="10" w:after="10" w:line="240" w:lineRule="auto"/>
              <w:jc w:val="left"/>
            </w:pPr>
            <w:r>
              <w:rPr>
                <w:rFonts w:asciiTheme="minorHAnsi" w:hAnsiTheme="minorHAnsi" w:cstheme="minorHAnsi"/>
                <w:sz w:val="16"/>
                <w:szCs w:val="16"/>
              </w:rPr>
              <w:t xml:space="preserve">Open to day</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865"/>
            <w:tcBorders>
              <w:bottom w:val="single" w:sz="8" w:space="0" w:color="000000"/>
            </w:tcBorders>
          </w:tcPr>
          <w:p>
            <w:pPr>
              <w:spacing w:before="10" w:after="10" w:line="240" w:lineRule="auto"/>
              <w:jc w:val="left"/>
            </w:pPr>
            <w:r>
              <w:rPr>
                <w:rFonts w:asciiTheme="minorHAnsi" w:hAnsiTheme="minorHAnsi" w:cstheme="minorHAnsi"/>
                <w:sz w:val="16"/>
                <w:szCs w:val="16"/>
              </w:rPr>
              <w:t xml:space="preserve">−1.73 (−4.7)</w:t>
            </w:r>
          </w:p>
        </w:tc>
        <w:tc>
          <w:tcPr>
            <w:tcW w:type="dxa" w:w="1865"/>
            <w:tcBorders>
              <w:bottom w:val="single" w:sz="8" w:space="0" w:color="000000"/>
            </w:tcBorders>
          </w:tcPr>
          <w:p>
            <w:pPr>
              <w:spacing w:before="10" w:after="10" w:line="240" w:lineRule="auto"/>
              <w:jc w:val="left"/>
            </w:pPr>
            <w:r>
              <w:rPr>
                <w:rFonts w:asciiTheme="minorHAnsi" w:hAnsiTheme="minorHAnsi" w:cstheme="minorHAnsi"/>
                <w:sz w:val="16"/>
                <w:szCs w:val="16"/>
              </w:rPr>
              <w:t xml:space="preserve">−0.15 (−0.3)</w:t>
            </w:r>
          </w:p>
        </w:tc>
        <w:tc>
          <w:tcPr>
            <w:tcW w:type="dxa" w:w="1865"/>
            <w:tcBorders>
              <w:bottom w:val="single" w:sz="8" w:space="0" w:color="000000"/>
            </w:tcBorders>
          </w:tcPr>
          <w:p>
            <w:pPr>
              <w:spacing w:before="10" w:after="10" w:line="240" w:lineRule="auto"/>
              <w:jc w:val="left"/>
            </w:pPr>
            <w:r>
              <w:rPr>
                <w:rFonts w:asciiTheme="minorHAnsi" w:hAnsiTheme="minorHAnsi" w:cstheme="minorHAnsi"/>
                <w:sz w:val="16"/>
                <w:szCs w:val="16"/>
              </w:rPr>
              <w:t xml:space="preserve">1.58 (2.5)</w:t>
            </w:r>
          </w:p>
        </w:tc>
        <w:tc>
          <w:tcPr>
            <w:tcW w:type="dxa" w:w="1243"/>
            <w:tcBorders>
              <w:bottom w:val="single" w:sz="8" w:space="0" w:color="000000"/>
            </w:tcBorders>
          </w:tcPr>
          <w:p>
            <w:pPr>
              <w:spacing w:before="10" w:after="10" w:line="240" w:lineRule="auto"/>
              <w:jc w:val="left"/>
            </w:pPr>
            <w:r>
              <w:rPr>
                <w:rFonts w:asciiTheme="minorHAnsi" w:hAnsiTheme="minorHAnsi" w:cstheme="minorHAnsi"/>
                <w:sz w:val="16"/>
                <w:szCs w:val="16"/>
              </w:rPr>
              <w:t xml:space="preserve">891 / 1,217</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Percent; two-way-clustered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in parentheses. Periods are split by the date of the opening that defines the gap; the difference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 treats the periods as independent.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5</w:t>
      </w:r>
      <w:r>
        <w:rPr>
          <w:rFonts w:asciiTheme="minorHAnsi" w:eastAsia="Georgia" w:hAnsiTheme="minorHAnsi" w:cstheme="minorHAnsi"/>
          <w:color w:val="000000"/>
          <w:sz w:val="18"/>
          <w:szCs w:val="18"/>
          <w:bdr w:val="nil"/>
          <w:lang w:val="hr-HR" w:eastAsia="es-MX"/>
        </w:rPr>
        <w:t xml:space="preserve"> Events and overnight gaps by calendar quarter</w:t>
      </w:r>
    </w:p>
    <w:tbl>
      <w:tblPr>
        <w:tblW w:type="pct" w:w="5000"/>
        <w:jc w:val="center"/>
        <w:tblLayout w:type="fixed"/>
      </w:tblPr>
      <w:tblGrid>
        <w:gridCol w:w="1758"/>
        <w:gridCol w:w="1758"/>
        <w:gridCol w:w="2462"/>
        <w:gridCol w:w="1582"/>
        <w:gridCol w:w="2637"/>
      </w:tblGrid>
      <w:tr>
        <w:trPr>
          <w:cantSplit/>
          <w:tblHeader w:val="true"/>
        </w:trPr>
        <w:tc>
          <w:tcPr>
            <w:tcW w:type="dxa" w:w="1758"/>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Quarter</w:t>
            </w:r>
          </w:p>
        </w:tc>
        <w:tc>
          <w:tcPr>
            <w:tcW w:type="dxa" w:w="1758"/>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Ceiling events</w:t>
            </w:r>
          </w:p>
        </w:tc>
        <w:tc>
          <w:tcPr>
            <w:tcW w:type="dxa" w:w="246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Ceiling gap</w:t>
            </w:r>
          </w:p>
        </w:tc>
        <w:tc>
          <w:tcPr>
            <w:tcW w:type="dxa" w:w="158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Floor events</w:t>
            </w:r>
          </w:p>
        </w:tc>
        <w:tc>
          <w:tcPr>
            <w:tcW w:type="dxa" w:w="2637"/>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Floor gap</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2024-Q4</w:t>
            </w:r>
          </w:p>
        </w:tc>
        <w:tc>
          <w:tcPr>
            <w:tcW w:type="dxa" w:w="1758"/>
            <w:tcBorders/>
          </w:tcPr>
          <w:p>
            <w:pPr>
              <w:keepNext/>
              <w:spacing w:before="10" w:after="10" w:line="240" w:lineRule="auto"/>
              <w:jc w:val="left"/>
            </w:pPr>
            <w:r>
              <w:rPr>
                <w:rFonts w:asciiTheme="minorHAnsi" w:hAnsiTheme="minorHAnsi" w:cstheme="minorHAnsi"/>
                <w:sz w:val="16"/>
                <w:szCs w:val="16"/>
              </w:rPr>
              <w:t xml:space="preserve">177</w:t>
            </w:r>
          </w:p>
        </w:tc>
        <w:tc>
          <w:tcPr>
            <w:tcW w:type="dxa" w:w="2462"/>
            <w:tcBorders/>
          </w:tcPr>
          <w:p>
            <w:pPr>
              <w:keepNext/>
              <w:spacing w:before="10" w:after="10" w:line="240" w:lineRule="auto"/>
              <w:jc w:val="left"/>
            </w:pPr>
            <w:r>
              <w:rPr>
                <w:rFonts w:asciiTheme="minorHAnsi" w:hAnsiTheme="minorHAnsi" w:cstheme="minorHAnsi"/>
                <w:sz w:val="16"/>
                <w:szCs w:val="16"/>
              </w:rPr>
              <w:t xml:space="preserve">2.16 (5.6)</w:t>
            </w:r>
          </w:p>
        </w:tc>
        <w:tc>
          <w:tcPr>
            <w:tcW w:type="dxa" w:w="1582"/>
            <w:tcBorders/>
          </w:tcPr>
          <w:p>
            <w:pPr>
              <w:keepNext/>
              <w:spacing w:before="10" w:after="10" w:line="240" w:lineRule="auto"/>
              <w:jc w:val="left"/>
            </w:pPr>
            <w:r>
              <w:rPr>
                <w:rFonts w:asciiTheme="minorHAnsi" w:hAnsiTheme="minorHAnsi" w:cstheme="minorHAnsi"/>
                <w:sz w:val="16"/>
                <w:szCs w:val="16"/>
              </w:rPr>
              <w:t xml:space="preserve">48</w:t>
            </w:r>
          </w:p>
        </w:tc>
        <w:tc>
          <w:tcPr>
            <w:tcW w:type="dxa" w:w="2637"/>
            <w:tcBorders/>
          </w:tcPr>
          <w:p>
            <w:pPr>
              <w:keepNext/>
              <w:spacing w:before="10" w:after="10" w:line="240" w:lineRule="auto"/>
              <w:jc w:val="left"/>
            </w:pPr>
            <w:r>
              <w:rPr>
                <w:rFonts w:asciiTheme="minorHAnsi" w:hAnsiTheme="minorHAnsi" w:cstheme="minorHAnsi"/>
                <w:sz w:val="16"/>
                <w:szCs w:val="16"/>
              </w:rPr>
              <w:t xml:space="preserve">−1.50 (−2.5)</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2025-Q1</w:t>
            </w:r>
          </w:p>
        </w:tc>
        <w:tc>
          <w:tcPr>
            <w:tcW w:type="dxa" w:w="1758"/>
            <w:tcBorders/>
          </w:tcPr>
          <w:p>
            <w:pPr>
              <w:keepNext/>
              <w:spacing w:before="10" w:after="10" w:line="240" w:lineRule="auto"/>
              <w:jc w:val="left"/>
            </w:pPr>
            <w:r>
              <w:rPr>
                <w:rFonts w:asciiTheme="minorHAnsi" w:hAnsiTheme="minorHAnsi" w:cstheme="minorHAnsi"/>
                <w:sz w:val="16"/>
                <w:szCs w:val="16"/>
              </w:rPr>
              <w:t xml:space="preserve">295</w:t>
            </w:r>
          </w:p>
        </w:tc>
        <w:tc>
          <w:tcPr>
            <w:tcW w:type="dxa" w:w="2462"/>
            <w:tcBorders/>
          </w:tcPr>
          <w:p>
            <w:pPr>
              <w:keepNext/>
              <w:spacing w:before="10" w:after="10" w:line="240" w:lineRule="auto"/>
              <w:jc w:val="left"/>
            </w:pPr>
            <w:r>
              <w:rPr>
                <w:rFonts w:asciiTheme="minorHAnsi" w:hAnsiTheme="minorHAnsi" w:cstheme="minorHAnsi"/>
                <w:sz w:val="16"/>
                <w:szCs w:val="16"/>
              </w:rPr>
              <w:t xml:space="preserve">2.78 (9.1)</w:t>
            </w:r>
          </w:p>
        </w:tc>
        <w:tc>
          <w:tcPr>
            <w:tcW w:type="dxa" w:w="1582"/>
            <w:tcBorders/>
          </w:tcPr>
          <w:p>
            <w:pPr>
              <w:keepNext/>
              <w:spacing w:before="10" w:after="10" w:line="240" w:lineRule="auto"/>
              <w:jc w:val="left"/>
            </w:pPr>
            <w:r>
              <w:rPr>
                <w:rFonts w:asciiTheme="minorHAnsi" w:hAnsiTheme="minorHAnsi" w:cstheme="minorHAnsi"/>
                <w:sz w:val="16"/>
                <w:szCs w:val="16"/>
              </w:rPr>
              <w:t xml:space="preserve">79</w:t>
            </w:r>
          </w:p>
        </w:tc>
        <w:tc>
          <w:tcPr>
            <w:tcW w:type="dxa" w:w="2637"/>
            <w:tcBorders/>
          </w:tcPr>
          <w:p>
            <w:pPr>
              <w:keepNext/>
              <w:spacing w:before="10" w:after="10" w:line="240" w:lineRule="auto"/>
              <w:jc w:val="left"/>
            </w:pPr>
            <w:r>
              <w:rPr>
                <w:rFonts w:asciiTheme="minorHAnsi" w:hAnsiTheme="minorHAnsi" w:cstheme="minorHAnsi"/>
                <w:sz w:val="16"/>
                <w:szCs w:val="16"/>
              </w:rPr>
              <w:t xml:space="preserve">−1.70 (−3.9)</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2025-Q2</w:t>
            </w:r>
          </w:p>
        </w:tc>
        <w:tc>
          <w:tcPr>
            <w:tcW w:type="dxa" w:w="1758"/>
            <w:tcBorders/>
          </w:tcPr>
          <w:p>
            <w:pPr>
              <w:keepNext/>
              <w:spacing w:before="10" w:after="10" w:line="240" w:lineRule="auto"/>
              <w:jc w:val="left"/>
            </w:pPr>
            <w:r>
              <w:rPr>
                <w:rFonts w:asciiTheme="minorHAnsi" w:hAnsiTheme="minorHAnsi" w:cstheme="minorHAnsi"/>
                <w:sz w:val="16"/>
                <w:szCs w:val="16"/>
              </w:rPr>
              <w:t xml:space="preserve">686</w:t>
            </w:r>
          </w:p>
        </w:tc>
        <w:tc>
          <w:tcPr>
            <w:tcW w:type="dxa" w:w="2462"/>
            <w:tcBorders/>
          </w:tcPr>
          <w:p>
            <w:pPr>
              <w:keepNext/>
              <w:spacing w:before="10" w:after="10" w:line="240" w:lineRule="auto"/>
              <w:jc w:val="left"/>
            </w:pPr>
            <w:r>
              <w:rPr>
                <w:rFonts w:asciiTheme="minorHAnsi" w:hAnsiTheme="minorHAnsi" w:cstheme="minorHAnsi"/>
                <w:sz w:val="16"/>
                <w:szCs w:val="16"/>
              </w:rPr>
              <w:t xml:space="preserve">1.33 (2.5)</w:t>
            </w:r>
          </w:p>
        </w:tc>
        <w:tc>
          <w:tcPr>
            <w:tcW w:type="dxa" w:w="1582"/>
            <w:tcBorders/>
          </w:tcPr>
          <w:p>
            <w:pPr>
              <w:keepNext/>
              <w:spacing w:before="10" w:after="10" w:line="240" w:lineRule="auto"/>
              <w:jc w:val="left"/>
            </w:pPr>
            <w:r>
              <w:rPr>
                <w:rFonts w:asciiTheme="minorHAnsi" w:hAnsiTheme="minorHAnsi" w:cstheme="minorHAnsi"/>
                <w:sz w:val="16"/>
                <w:szCs w:val="16"/>
              </w:rPr>
              <w:t xml:space="preserve">802</w:t>
            </w:r>
          </w:p>
        </w:tc>
        <w:tc>
          <w:tcPr>
            <w:tcW w:type="dxa" w:w="2637"/>
            <w:tcBorders/>
          </w:tcPr>
          <w:p>
            <w:pPr>
              <w:keepNext/>
              <w:spacing w:before="10" w:after="10" w:line="240" w:lineRule="auto"/>
              <w:jc w:val="left"/>
            </w:pPr>
            <w:r>
              <w:rPr>
                <w:rFonts w:asciiTheme="minorHAnsi" w:hAnsiTheme="minorHAnsi" w:cstheme="minorHAnsi"/>
                <w:sz w:val="16"/>
                <w:szCs w:val="16"/>
              </w:rPr>
              <w:t xml:space="preserve">−0.34 (−1.5)</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2025-Q3</w:t>
            </w:r>
          </w:p>
        </w:tc>
        <w:tc>
          <w:tcPr>
            <w:tcW w:type="dxa" w:w="1758"/>
            <w:tcBorders/>
          </w:tcPr>
          <w:p>
            <w:pPr>
              <w:keepNext/>
              <w:spacing w:before="10" w:after="10" w:line="240" w:lineRule="auto"/>
              <w:jc w:val="left"/>
            </w:pPr>
            <w:r>
              <w:rPr>
                <w:rFonts w:asciiTheme="minorHAnsi" w:hAnsiTheme="minorHAnsi" w:cstheme="minorHAnsi"/>
                <w:sz w:val="16"/>
                <w:szCs w:val="16"/>
              </w:rPr>
              <w:t xml:space="preserve">624</w:t>
            </w:r>
          </w:p>
        </w:tc>
        <w:tc>
          <w:tcPr>
            <w:tcW w:type="dxa" w:w="2462"/>
            <w:tcBorders/>
          </w:tcPr>
          <w:p>
            <w:pPr>
              <w:keepNext/>
              <w:spacing w:before="10" w:after="10" w:line="240" w:lineRule="auto"/>
              <w:jc w:val="left"/>
            </w:pPr>
            <w:r>
              <w:rPr>
                <w:rFonts w:asciiTheme="minorHAnsi" w:hAnsiTheme="minorHAnsi" w:cstheme="minorHAnsi"/>
                <w:sz w:val="16"/>
                <w:szCs w:val="16"/>
              </w:rPr>
              <w:t xml:space="preserve">2.99 (16.8)</w:t>
            </w:r>
          </w:p>
        </w:tc>
        <w:tc>
          <w:tcPr>
            <w:tcW w:type="dxa" w:w="1582"/>
            <w:tcBorders/>
          </w:tcPr>
          <w:p>
            <w:pPr>
              <w:keepNext/>
              <w:spacing w:before="10" w:after="10" w:line="240" w:lineRule="auto"/>
              <w:jc w:val="left"/>
            </w:pPr>
            <w:r>
              <w:rPr>
                <w:rFonts w:asciiTheme="minorHAnsi" w:hAnsiTheme="minorHAnsi" w:cstheme="minorHAnsi"/>
                <w:sz w:val="16"/>
                <w:szCs w:val="16"/>
              </w:rPr>
              <w:t xml:space="preserve">195</w:t>
            </w:r>
          </w:p>
        </w:tc>
        <w:tc>
          <w:tcPr>
            <w:tcW w:type="dxa" w:w="2637"/>
            <w:tcBorders/>
          </w:tcPr>
          <w:p>
            <w:pPr>
              <w:keepNext/>
              <w:spacing w:before="10" w:after="10" w:line="240" w:lineRule="auto"/>
              <w:jc w:val="left"/>
            </w:pPr>
            <w:r>
              <w:rPr>
                <w:rFonts w:asciiTheme="minorHAnsi" w:hAnsiTheme="minorHAnsi" w:cstheme="minorHAnsi"/>
                <w:sz w:val="16"/>
                <w:szCs w:val="16"/>
              </w:rPr>
              <w:t xml:space="preserve">−0.86 (−4.1)</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2025-Q4</w:t>
            </w:r>
          </w:p>
        </w:tc>
        <w:tc>
          <w:tcPr>
            <w:tcW w:type="dxa" w:w="1758"/>
            <w:tcBorders/>
          </w:tcPr>
          <w:p>
            <w:pPr>
              <w:keepNext/>
              <w:spacing w:before="10" w:after="10" w:line="240" w:lineRule="auto"/>
              <w:jc w:val="left"/>
            </w:pPr>
            <w:r>
              <w:rPr>
                <w:rFonts w:asciiTheme="minorHAnsi" w:hAnsiTheme="minorHAnsi" w:cstheme="minorHAnsi"/>
                <w:sz w:val="16"/>
                <w:szCs w:val="16"/>
              </w:rPr>
              <w:t xml:space="preserve">426</w:t>
            </w:r>
          </w:p>
        </w:tc>
        <w:tc>
          <w:tcPr>
            <w:tcW w:type="dxa" w:w="2462"/>
            <w:tcBorders/>
          </w:tcPr>
          <w:p>
            <w:pPr>
              <w:keepNext/>
              <w:spacing w:before="10" w:after="10" w:line="240" w:lineRule="auto"/>
              <w:jc w:val="left"/>
            </w:pPr>
            <w:r>
              <w:rPr>
                <w:rFonts w:asciiTheme="minorHAnsi" w:hAnsiTheme="minorHAnsi" w:cstheme="minorHAnsi"/>
                <w:sz w:val="16"/>
                <w:szCs w:val="16"/>
              </w:rPr>
              <w:t xml:space="preserve">2.64 (7.4)</w:t>
            </w:r>
          </w:p>
        </w:tc>
        <w:tc>
          <w:tcPr>
            <w:tcW w:type="dxa" w:w="1582"/>
            <w:tcBorders/>
          </w:tcPr>
          <w:p>
            <w:pPr>
              <w:keepNext/>
              <w:spacing w:before="10" w:after="10" w:line="240" w:lineRule="auto"/>
              <w:jc w:val="left"/>
            </w:pPr>
            <w:r>
              <w:rPr>
                <w:rFonts w:asciiTheme="minorHAnsi" w:hAnsiTheme="minorHAnsi" w:cstheme="minorHAnsi"/>
                <w:sz w:val="16"/>
                <w:szCs w:val="16"/>
              </w:rPr>
              <w:t xml:space="preserve">280</w:t>
            </w:r>
          </w:p>
        </w:tc>
        <w:tc>
          <w:tcPr>
            <w:tcW w:type="dxa" w:w="2637"/>
            <w:tcBorders/>
          </w:tcPr>
          <w:p>
            <w:pPr>
              <w:keepNext/>
              <w:spacing w:before="10" w:after="10" w:line="240" w:lineRule="auto"/>
              <w:jc w:val="left"/>
            </w:pPr>
            <w:r>
              <w:rPr>
                <w:rFonts w:asciiTheme="minorHAnsi" w:hAnsiTheme="minorHAnsi" w:cstheme="minorHAnsi"/>
                <w:sz w:val="16"/>
                <w:szCs w:val="16"/>
              </w:rPr>
              <w:t xml:space="preserve">−1.39 (−2.4)</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2026-Q1</w:t>
            </w:r>
          </w:p>
        </w:tc>
        <w:tc>
          <w:tcPr>
            <w:tcW w:type="dxa" w:w="1758"/>
            <w:tcBorders/>
          </w:tcPr>
          <w:p>
            <w:pPr>
              <w:keepNext/>
              <w:spacing w:before="10" w:after="10" w:line="240" w:lineRule="auto"/>
              <w:jc w:val="left"/>
            </w:pPr>
            <w:r>
              <w:rPr>
                <w:rFonts w:asciiTheme="minorHAnsi" w:hAnsiTheme="minorHAnsi" w:cstheme="minorHAnsi"/>
                <w:sz w:val="16"/>
                <w:szCs w:val="16"/>
              </w:rPr>
              <w:t xml:space="preserve">455</w:t>
            </w:r>
          </w:p>
        </w:tc>
        <w:tc>
          <w:tcPr>
            <w:tcW w:type="dxa" w:w="2462"/>
            <w:tcBorders/>
          </w:tcPr>
          <w:p>
            <w:pPr>
              <w:keepNext/>
              <w:spacing w:before="10" w:after="10" w:line="240" w:lineRule="auto"/>
              <w:jc w:val="left"/>
            </w:pPr>
            <w:r>
              <w:rPr>
                <w:rFonts w:asciiTheme="minorHAnsi" w:hAnsiTheme="minorHAnsi" w:cstheme="minorHAnsi"/>
                <w:sz w:val="16"/>
                <w:szCs w:val="16"/>
              </w:rPr>
              <w:t xml:space="preserve">2.35 (10.4)</w:t>
            </w:r>
          </w:p>
        </w:tc>
        <w:tc>
          <w:tcPr>
            <w:tcW w:type="dxa" w:w="1582"/>
            <w:tcBorders/>
          </w:tcPr>
          <w:p>
            <w:pPr>
              <w:keepNext/>
              <w:spacing w:before="10" w:after="10" w:line="240" w:lineRule="auto"/>
              <w:jc w:val="left"/>
            </w:pPr>
            <w:r>
              <w:rPr>
                <w:rFonts w:asciiTheme="minorHAnsi" w:hAnsiTheme="minorHAnsi" w:cstheme="minorHAnsi"/>
                <w:sz w:val="16"/>
                <w:szCs w:val="16"/>
              </w:rPr>
              <w:t xml:space="preserve">433</w:t>
            </w:r>
          </w:p>
        </w:tc>
        <w:tc>
          <w:tcPr>
            <w:tcW w:type="dxa" w:w="2637"/>
            <w:tcBorders/>
          </w:tcPr>
          <w:p>
            <w:pPr>
              <w:keepNext/>
              <w:spacing w:before="10" w:after="10" w:line="240" w:lineRule="auto"/>
              <w:jc w:val="left"/>
            </w:pPr>
            <w:r>
              <w:rPr>
                <w:rFonts w:asciiTheme="minorHAnsi" w:hAnsiTheme="minorHAnsi" w:cstheme="minorHAnsi"/>
                <w:sz w:val="16"/>
                <w:szCs w:val="16"/>
              </w:rPr>
              <w:t xml:space="preserve">−1.39 (−7.8)</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2026-Q2</w:t>
            </w:r>
          </w:p>
        </w:tc>
        <w:tc>
          <w:tcPr>
            <w:tcW w:type="dxa" w:w="1758"/>
            <w:tcBorders/>
          </w:tcPr>
          <w:p>
            <w:pPr>
              <w:keepNext/>
              <w:spacing w:before="10" w:after="10" w:line="240" w:lineRule="auto"/>
              <w:jc w:val="left"/>
            </w:pPr>
            <w:r>
              <w:rPr>
                <w:rFonts w:asciiTheme="minorHAnsi" w:hAnsiTheme="minorHAnsi" w:cstheme="minorHAnsi"/>
                <w:sz w:val="16"/>
                <w:szCs w:val="16"/>
              </w:rPr>
              <w:t xml:space="preserve">297</w:t>
            </w:r>
          </w:p>
        </w:tc>
        <w:tc>
          <w:tcPr>
            <w:tcW w:type="dxa" w:w="2462"/>
            <w:tcBorders/>
          </w:tcPr>
          <w:p>
            <w:pPr>
              <w:keepNext/>
              <w:spacing w:before="10" w:after="10" w:line="240" w:lineRule="auto"/>
              <w:jc w:val="left"/>
            </w:pPr>
            <w:r>
              <w:rPr>
                <w:rFonts w:asciiTheme="minorHAnsi" w:hAnsiTheme="minorHAnsi" w:cstheme="minorHAnsi"/>
                <w:sz w:val="16"/>
                <w:szCs w:val="16"/>
              </w:rPr>
              <w:t xml:space="preserve">2.08 (7.0)</w:t>
            </w:r>
          </w:p>
        </w:tc>
        <w:tc>
          <w:tcPr>
            <w:tcW w:type="dxa" w:w="1582"/>
            <w:tcBorders/>
          </w:tcPr>
          <w:p>
            <w:pPr>
              <w:keepNext/>
              <w:spacing w:before="10" w:after="10" w:line="240" w:lineRule="auto"/>
              <w:jc w:val="left"/>
            </w:pPr>
            <w:r>
              <w:rPr>
                <w:rFonts w:asciiTheme="minorHAnsi" w:hAnsiTheme="minorHAnsi" w:cstheme="minorHAnsi"/>
                <w:sz w:val="16"/>
                <w:szCs w:val="16"/>
              </w:rPr>
              <w:t xml:space="preserve">99</w:t>
            </w:r>
          </w:p>
        </w:tc>
        <w:tc>
          <w:tcPr>
            <w:tcW w:type="dxa" w:w="2637"/>
            <w:tcBorders/>
          </w:tcPr>
          <w:p>
            <w:pPr>
              <w:keepNext/>
              <w:spacing w:before="10" w:after="10" w:line="240" w:lineRule="auto"/>
              <w:jc w:val="left"/>
            </w:pPr>
            <w:r>
              <w:rPr>
                <w:rFonts w:asciiTheme="minorHAnsi" w:hAnsiTheme="minorHAnsi" w:cstheme="minorHAnsi"/>
                <w:sz w:val="16"/>
                <w:szCs w:val="16"/>
              </w:rPr>
              <w:t xml:space="preserve">−1.46 (−3.3)</w:t>
            </w:r>
          </w:p>
        </w:tc>
      </w:tr>
      <w:tr>
        <w:trPr>
          <w:cantSplit/>
        </w:trPr>
        <w:tc>
          <w:tcPr>
            <w:tcW w:type="dxa" w:w="1758"/>
            <w:tcBorders>
              <w:bottom w:val="single" w:sz="8" w:space="0" w:color="000000"/>
            </w:tcBorders>
          </w:tcPr>
          <w:p>
            <w:pPr>
              <w:spacing w:before="10" w:after="10" w:line="240" w:lineRule="auto"/>
              <w:jc w:val="left"/>
            </w:pPr>
            <w:r>
              <w:rPr>
                <w:rFonts w:asciiTheme="minorHAnsi" w:hAnsiTheme="minorHAnsi" w:cstheme="minorHAnsi"/>
                <w:sz w:val="16"/>
                <w:szCs w:val="16"/>
              </w:rPr>
              <w:t xml:space="preserve">2026-Q3</w:t>
            </w:r>
          </w:p>
        </w:tc>
        <w:tc>
          <w:tcPr>
            <w:tcW w:type="dxa" w:w="1758"/>
            <w:tcBorders>
              <w:bottom w:val="single" w:sz="8" w:space="0" w:color="000000"/>
            </w:tcBorders>
          </w:tcPr>
          <w:p>
            <w:pPr>
              <w:spacing w:before="10" w:after="10" w:line="240" w:lineRule="auto"/>
              <w:jc w:val="left"/>
            </w:pPr>
            <w:r>
              <w:rPr>
                <w:rFonts w:asciiTheme="minorHAnsi" w:hAnsiTheme="minorHAnsi" w:cstheme="minorHAnsi"/>
                <w:sz w:val="16"/>
                <w:szCs w:val="16"/>
              </w:rPr>
              <w:t xml:space="preserve">239</w:t>
            </w:r>
          </w:p>
        </w:tc>
        <w:tc>
          <w:tcPr>
            <w:tcW w:type="dxa" w:w="2462"/>
            <w:tcBorders>
              <w:bottom w:val="single" w:sz="8" w:space="0" w:color="000000"/>
            </w:tcBorders>
          </w:tcPr>
          <w:p>
            <w:pPr>
              <w:spacing w:before="10" w:after="10" w:line="240" w:lineRule="auto"/>
              <w:jc w:val="left"/>
            </w:pPr>
            <w:r>
              <w:rPr>
                <w:rFonts w:asciiTheme="minorHAnsi" w:hAnsiTheme="minorHAnsi" w:cstheme="minorHAnsi"/>
                <w:sz w:val="16"/>
                <w:szCs w:val="16"/>
              </w:rPr>
              <w:t xml:space="preserve">1.61 (5.4)</w:t>
            </w:r>
          </w:p>
        </w:tc>
        <w:tc>
          <w:tcPr>
            <w:tcW w:type="dxa" w:w="1582"/>
            <w:tcBorders>
              <w:bottom w:val="single" w:sz="8" w:space="0" w:color="000000"/>
            </w:tcBorders>
          </w:tcPr>
          <w:p>
            <w:pPr>
              <w:spacing w:before="10" w:after="10" w:line="240" w:lineRule="auto"/>
              <w:jc w:val="left"/>
            </w:pPr>
            <w:r>
              <w:rPr>
                <w:rFonts w:asciiTheme="minorHAnsi" w:hAnsiTheme="minorHAnsi" w:cstheme="minorHAnsi"/>
                <w:sz w:val="16"/>
                <w:szCs w:val="16"/>
              </w:rPr>
              <w:t xml:space="preserve">175</w:t>
            </w:r>
          </w:p>
        </w:tc>
        <w:tc>
          <w:tcPr>
            <w:tcW w:type="dxa" w:w="2637"/>
            <w:tcBorders>
              <w:bottom w:val="single" w:sz="8" w:space="0" w:color="000000"/>
            </w:tcBorders>
          </w:tcPr>
          <w:p>
            <w:pPr>
              <w:spacing w:before="10" w:after="10" w:line="240" w:lineRule="auto"/>
              <w:jc w:val="left"/>
            </w:pPr>
            <w:r>
              <w:rPr>
                <w:rFonts w:asciiTheme="minorHAnsi" w:hAnsiTheme="minorHAnsi" w:cstheme="minorHAnsi"/>
                <w:sz w:val="16"/>
                <w:szCs w:val="16"/>
              </w:rPr>
              <w:t xml:space="preserve">−1.55 (−2.8)</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Market-adjusted gaps in percent; two-way-clustered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in parentheses. Counts are events with a day-</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+1 open. The first and last quarters are partial; the KRX change falls in 2025-Q2.</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6</w:t>
      </w:r>
      <w:r>
        <w:rPr>
          <w:rFonts w:asciiTheme="minorHAnsi" w:eastAsia="Georgia" w:hAnsiTheme="minorHAnsi" w:cstheme="minorHAnsi"/>
          <w:color w:val="000000"/>
          <w:sz w:val="18"/>
          <w:szCs w:val="18"/>
          <w:bdr w:val="nil"/>
          <w:lang w:val="hr-HR" w:eastAsia="es-MX"/>
        </w:rPr>
        <w:t xml:space="preserve"> Comparison with earlier studies</w:t>
      </w:r>
    </w:p>
    <w:tbl>
      <w:tblPr>
        <w:tblW w:type="pct" w:w="5000"/>
        <w:jc w:val="center"/>
        <w:tblLayout w:type="fixed"/>
      </w:tblPr>
      <w:tblGrid>
        <w:gridCol w:w="2562"/>
        <w:gridCol w:w="1607"/>
        <w:gridCol w:w="3014"/>
        <w:gridCol w:w="3014"/>
      </w:tblGrid>
      <w:tr>
        <w:trPr>
          <w:cantSplit/>
          <w:tblHeader w:val="true"/>
        </w:trPr>
        <w:tc>
          <w:tcPr>
            <w:tcW w:type="dxa" w:w="256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Study</w:t>
            </w:r>
          </w:p>
        </w:tc>
        <w:tc>
          <w:tcPr>
            <w:tcW w:type="dxa" w:w="1607"/>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Setting</w:t>
            </w:r>
          </w:p>
        </w:tc>
        <w:tc>
          <w:tcPr>
            <w:tcW w:type="dxa" w:w="3014"/>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Reported finding</w:t>
            </w:r>
          </w:p>
        </w:tc>
        <w:tc>
          <w:tcPr>
            <w:tcW w:type="dxa" w:w="3014"/>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Relation to our result</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Kim and Rhee (1997)</w:t>
            </w:r>
          </w:p>
        </w:tc>
        <w:tc>
          <w:tcPr>
            <w:tcW w:type="dxa" w:w="1607"/>
            <w:tcBorders/>
          </w:tcPr>
          <w:p>
            <w:pPr>
              <w:keepNext/>
              <w:spacing w:before="10" w:after="10" w:line="240" w:lineRule="auto"/>
              <w:jc w:val="left"/>
            </w:pPr>
            <w:r>
              <w:rPr>
                <w:rFonts w:asciiTheme="minorHAnsi" w:hAnsiTheme="minorHAnsi" w:cstheme="minorHAnsi"/>
                <w:sz w:val="16"/>
                <w:szCs w:val="16"/>
              </w:rPr>
              <w:t xml:space="preserve">Tokyo; limit hits</w:t>
            </w:r>
          </w:p>
        </w:tc>
        <w:tc>
          <w:tcPr>
            <w:tcW w:type="dxa" w:w="3014"/>
            <w:tcBorders/>
          </w:tcPr>
          <w:p>
            <w:pPr>
              <w:keepNext/>
              <w:spacing w:before="10" w:after="10" w:line="240" w:lineRule="auto"/>
              <w:jc w:val="left"/>
            </w:pPr>
            <w:r>
              <w:rPr>
                <w:rFonts w:asciiTheme="minorHAnsi" w:hAnsiTheme="minorHAnsi" w:cstheme="minorHAnsi"/>
                <w:sz w:val="16"/>
                <w:szCs w:val="16"/>
              </w:rPr>
              <w:t xml:space="preserve">Volatility spillover, delayed price discovery, and trading interference</w:t>
            </w:r>
          </w:p>
        </w:tc>
        <w:tc>
          <w:tcPr>
            <w:tcW w:type="dxa" w:w="3014"/>
            <w:tcBorders/>
          </w:tcPr>
          <w:p>
            <w:pPr>
              <w:keepNext/>
              <w:spacing w:before="10" w:after="10" w:line="240" w:lineRule="auto"/>
              <w:jc w:val="left"/>
            </w:pPr>
            <w:r>
              <w:rPr>
                <w:rFonts w:asciiTheme="minorHAnsi" w:hAnsiTheme="minorHAnsi" w:cstheme="minorHAnsi"/>
                <w:sz w:val="16"/>
                <w:szCs w:val="16"/>
              </w:rPr>
              <w:t xml:space="preserve">Ceiling next-day return consistent with delayed price discovery; spillover and interference not tested</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Berkman and Lee (2002)</w:t>
            </w:r>
          </w:p>
        </w:tc>
        <w:tc>
          <w:tcPr>
            <w:tcW w:type="dxa" w:w="1607"/>
            <w:tcBorders/>
          </w:tcPr>
          <w:p>
            <w:pPr>
              <w:keepNext/>
              <w:spacing w:before="10" w:after="10" w:line="240" w:lineRule="auto"/>
              <w:jc w:val="left"/>
            </w:pPr>
            <w:r>
              <w:rPr>
                <w:rFonts w:asciiTheme="minorHAnsi" w:hAnsiTheme="minorHAnsi" w:cstheme="minorHAnsi"/>
                <w:sz w:val="16"/>
                <w:szCs w:val="16"/>
              </w:rPr>
              <w:t xml:space="preserve">Korea; limit revision</w:t>
            </w:r>
          </w:p>
        </w:tc>
        <w:tc>
          <w:tcPr>
            <w:tcW w:type="dxa" w:w="3014"/>
            <w:tcBorders/>
          </w:tcPr>
          <w:p>
            <w:pPr>
              <w:keepNext/>
              <w:spacing w:before="10" w:after="10" w:line="240" w:lineRule="auto"/>
              <w:jc w:val="left"/>
            </w:pPr>
            <w:r>
              <w:rPr>
                <w:rFonts w:asciiTheme="minorHAnsi" w:hAnsiTheme="minorHAnsi" w:cstheme="minorHAnsi"/>
                <w:sz w:val="16"/>
                <w:szCs w:val="16"/>
              </w:rPr>
              <w:t xml:space="preserve">Volatility and trading activity around the revision</w:t>
            </w:r>
          </w:p>
        </w:tc>
        <w:tc>
          <w:tcPr>
            <w:tcW w:type="dxa" w:w="3014"/>
            <w:tcBorders/>
          </w:tcPr>
          <w:p>
            <w:pPr>
              <w:keepNext/>
              <w:spacing w:before="10" w:after="10" w:line="240" w:lineRule="auto"/>
              <w:jc w:val="left"/>
            </w:pPr>
            <w:r>
              <w:rPr>
                <w:rFonts w:asciiTheme="minorHAnsi" w:hAnsiTheme="minorHAnsi" w:cstheme="minorHAnsi"/>
                <w:sz w:val="16"/>
                <w:szCs w:val="16"/>
              </w:rPr>
              <w:t xml:space="preserve">Different question</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Huang et al. (2001)</w:t>
            </w:r>
          </w:p>
        </w:tc>
        <w:tc>
          <w:tcPr>
            <w:tcW w:type="dxa" w:w="1607"/>
            <w:tcBorders/>
          </w:tcPr>
          <w:p>
            <w:pPr>
              <w:keepNext/>
              <w:spacing w:before="10" w:after="10" w:line="240" w:lineRule="auto"/>
              <w:jc w:val="left"/>
            </w:pPr>
            <w:r>
              <w:rPr>
                <w:rFonts w:asciiTheme="minorHAnsi" w:hAnsiTheme="minorHAnsi" w:cstheme="minorHAnsi"/>
                <w:sz w:val="16"/>
                <w:szCs w:val="16"/>
              </w:rPr>
              <w:t xml:space="preserve">Taiwan; limit hits</w:t>
            </w:r>
          </w:p>
        </w:tc>
        <w:tc>
          <w:tcPr>
            <w:tcW w:type="dxa" w:w="3014"/>
            <w:tcBorders/>
          </w:tcPr>
          <w:p>
            <w:pPr>
              <w:keepNext/>
              <w:spacing w:before="10" w:after="10" w:line="240" w:lineRule="auto"/>
              <w:jc w:val="left"/>
            </w:pPr>
            <w:r>
              <w:rPr>
                <w:rFonts w:asciiTheme="minorHAnsi" w:hAnsiTheme="minorHAnsi" w:cstheme="minorHAnsi"/>
                <w:sz w:val="16"/>
                <w:szCs w:val="16"/>
              </w:rPr>
              <w:t xml:space="preserve">Overnight overreaction after limit hits corrected the next day</w:t>
            </w:r>
          </w:p>
        </w:tc>
        <w:tc>
          <w:tcPr>
            <w:tcW w:type="dxa" w:w="3014"/>
            <w:tcBorders/>
          </w:tcPr>
          <w:p>
            <w:pPr>
              <w:keepNext/>
              <w:spacing w:before="10" w:after="10" w:line="240" w:lineRule="auto"/>
              <w:jc w:val="left"/>
            </w:pPr>
            <w:r>
              <w:rPr>
                <w:rFonts w:asciiTheme="minorHAnsi" w:hAnsiTheme="minorHAnsi" w:cstheme="minorHAnsi"/>
                <w:sz w:val="16"/>
                <w:szCs w:val="16"/>
              </w:rPr>
              <w:t xml:space="preserve">Same timing: positive gap, partial intraday reversal</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Cho et al. (2003)</w:t>
            </w:r>
          </w:p>
        </w:tc>
        <w:tc>
          <w:tcPr>
            <w:tcW w:type="dxa" w:w="1607"/>
            <w:tcBorders/>
          </w:tcPr>
          <w:p>
            <w:pPr>
              <w:keepNext/>
              <w:spacing w:before="10" w:after="10" w:line="240" w:lineRule="auto"/>
              <w:jc w:val="left"/>
            </w:pPr>
            <w:r>
              <w:rPr>
                <w:rFonts w:asciiTheme="minorHAnsi" w:hAnsiTheme="minorHAnsi" w:cstheme="minorHAnsi"/>
                <w:sz w:val="16"/>
                <w:szCs w:val="16"/>
              </w:rPr>
              <w:t xml:space="preserve">Taiwan; five-minute data</w:t>
            </w:r>
          </w:p>
        </w:tc>
        <w:tc>
          <w:tcPr>
            <w:tcW w:type="dxa" w:w="3014"/>
            <w:tcBorders/>
          </w:tcPr>
          <w:p>
            <w:pPr>
              <w:keepNext/>
              <w:spacing w:before="10" w:after="10" w:line="240" w:lineRule="auto"/>
              <w:jc w:val="left"/>
            </w:pPr>
            <w:r>
              <w:rPr>
                <w:rFonts w:asciiTheme="minorHAnsi" w:hAnsiTheme="minorHAnsi" w:cstheme="minorHAnsi"/>
                <w:sz w:val="16"/>
                <w:szCs w:val="16"/>
              </w:rPr>
              <w:t xml:space="preserve">Prices accelerate toward the upper limit</w:t>
            </w:r>
          </w:p>
        </w:tc>
        <w:tc>
          <w:tcPr>
            <w:tcW w:type="dxa" w:w="3014"/>
            <w:tcBorders/>
          </w:tcPr>
          <w:p>
            <w:pPr>
              <w:keepNext/>
              <w:spacing w:before="10" w:after="10" w:line="240" w:lineRule="auto"/>
              <w:jc w:val="left"/>
            </w:pPr>
            <w:r>
              <w:rPr>
                <w:rFonts w:asciiTheme="minorHAnsi" w:hAnsiTheme="minorHAnsi" w:cstheme="minorHAnsi"/>
                <w:sz w:val="16"/>
                <w:szCs w:val="16"/>
              </w:rPr>
              <w:t xml:space="preserve">Not tested; no intraday prices</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Chen et al. (2019)</w:t>
            </w:r>
          </w:p>
        </w:tc>
        <w:tc>
          <w:tcPr>
            <w:tcW w:type="dxa" w:w="1607"/>
            <w:tcBorders/>
          </w:tcPr>
          <w:p>
            <w:pPr>
              <w:keepNext/>
              <w:spacing w:before="10" w:after="10" w:line="240" w:lineRule="auto"/>
              <w:jc w:val="left"/>
            </w:pPr>
            <w:r>
              <w:rPr>
                <w:rFonts w:asciiTheme="minorHAnsi" w:hAnsiTheme="minorHAnsi" w:cstheme="minorHAnsi"/>
                <w:sz w:val="16"/>
                <w:szCs w:val="16"/>
              </w:rPr>
              <w:t xml:space="preserve">Shenzhen; accounts</w:t>
            </w:r>
          </w:p>
        </w:tc>
        <w:tc>
          <w:tcPr>
            <w:tcW w:type="dxa" w:w="3014"/>
            <w:tcBorders/>
          </w:tcPr>
          <w:p>
            <w:pPr>
              <w:keepNext/>
              <w:spacing w:before="10" w:after="10" w:line="240" w:lineRule="auto"/>
              <w:jc w:val="left"/>
            </w:pPr>
            <w:r>
              <w:rPr>
                <w:rFonts w:asciiTheme="minorHAnsi" w:hAnsiTheme="minorHAnsi" w:cstheme="minorHAnsi"/>
                <w:sz w:val="16"/>
                <w:szCs w:val="16"/>
              </w:rPr>
              <w:t xml:space="preserve">Large investors buy on the limit day and sell the next; their net buying predicts long-run reversal</w:t>
            </w:r>
          </w:p>
        </w:tc>
        <w:tc>
          <w:tcPr>
            <w:tcW w:type="dxa" w:w="3014"/>
            <w:tcBorders/>
          </w:tcPr>
          <w:p>
            <w:pPr>
              <w:keepNext/>
              <w:spacing w:before="10" w:after="10" w:line="240" w:lineRule="auto"/>
              <w:jc w:val="left"/>
            </w:pPr>
            <w:r>
              <w:rPr>
                <w:rFonts w:asciiTheme="minorHAnsi" w:hAnsiTheme="minorHAnsi" w:cstheme="minorHAnsi"/>
                <w:sz w:val="16"/>
                <w:szCs w:val="16"/>
              </w:rPr>
              <w:t xml:space="preserve">Consistent with our intraday reversal; no account identities</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Qi (2023)</w:t>
            </w:r>
          </w:p>
        </w:tc>
        <w:tc>
          <w:tcPr>
            <w:tcW w:type="dxa" w:w="1607"/>
            <w:tcBorders/>
          </w:tcPr>
          <w:p>
            <w:pPr>
              <w:keepNext/>
              <w:spacing w:before="10" w:after="10" w:line="240" w:lineRule="auto"/>
              <w:jc w:val="left"/>
            </w:pPr>
            <w:r>
              <w:rPr>
                <w:rFonts w:asciiTheme="minorHAnsi" w:hAnsiTheme="minorHAnsi" w:cstheme="minorHAnsi"/>
                <w:sz w:val="16"/>
                <w:szCs w:val="16"/>
              </w:rPr>
              <w:t xml:space="preserve">ChiNext; band 10% to 20%</w:t>
            </w:r>
          </w:p>
        </w:tc>
        <w:tc>
          <w:tcPr>
            <w:tcW w:type="dxa" w:w="3014"/>
            <w:tcBorders/>
          </w:tcPr>
          <w:p>
            <w:pPr>
              <w:keepNext/>
              <w:spacing w:before="10" w:after="10" w:line="240" w:lineRule="auto"/>
              <w:jc w:val="left"/>
            </w:pPr>
            <w:r>
              <w:rPr>
                <w:rFonts w:asciiTheme="minorHAnsi" w:hAnsiTheme="minorHAnsi" w:cstheme="minorHAnsi"/>
                <w:sz w:val="16"/>
                <w:szCs w:val="16"/>
              </w:rPr>
              <w:t xml:space="preserve">Delayed price discovery, spillover, and interference, stronger at the lower limit; no magnet effect</w:t>
            </w:r>
          </w:p>
        </w:tc>
        <w:tc>
          <w:tcPr>
            <w:tcW w:type="dxa" w:w="3014"/>
            <w:tcBorders/>
          </w:tcPr>
          <w:p>
            <w:pPr>
              <w:keepNext/>
              <w:spacing w:before="10" w:after="10" w:line="240" w:lineRule="auto"/>
              <w:jc w:val="left"/>
            </w:pPr>
            <w:r>
              <w:rPr>
                <w:rFonts w:asciiTheme="minorHAnsi" w:hAnsiTheme="minorHAnsi" w:cstheme="minorHAnsi"/>
                <w:sz w:val="16"/>
                <w:szCs w:val="16"/>
              </w:rPr>
              <w:t xml:space="preserve">Different outcome (market quality); here both limit closes carry a next-day return, the floor effect depending on the benchmark</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Lin et al. (2023); Zeng et al. (2024)</w:t>
            </w:r>
          </w:p>
        </w:tc>
        <w:tc>
          <w:tcPr>
            <w:tcW w:type="dxa" w:w="1607"/>
            <w:tcBorders/>
          </w:tcPr>
          <w:p>
            <w:pPr>
              <w:keepNext/>
              <w:spacing w:before="10" w:after="10" w:line="240" w:lineRule="auto"/>
              <w:jc w:val="left"/>
            </w:pPr>
            <w:r>
              <w:rPr>
                <w:rFonts w:asciiTheme="minorHAnsi" w:hAnsiTheme="minorHAnsi" w:cstheme="minorHAnsi"/>
                <w:sz w:val="16"/>
                <w:szCs w:val="16"/>
              </w:rPr>
              <w:t xml:space="preserve">China; cross-section</w:t>
            </w:r>
          </w:p>
        </w:tc>
        <w:tc>
          <w:tcPr>
            <w:tcW w:type="dxa" w:w="3014"/>
            <w:tcBorders/>
          </w:tcPr>
          <w:p>
            <w:pPr>
              <w:keepNext/>
              <w:spacing w:before="10" w:after="10" w:line="240" w:lineRule="auto"/>
              <w:jc w:val="left"/>
            </w:pPr>
            <w:r>
              <w:rPr>
                <w:rFonts w:asciiTheme="minorHAnsi" w:hAnsiTheme="minorHAnsi" w:cstheme="minorHAnsi"/>
                <w:sz w:val="16"/>
                <w:szCs w:val="16"/>
              </w:rPr>
              <w:t xml:space="preserve">Large limit exposure or frequent upper-limit hits predict lower returns</w:t>
            </w:r>
          </w:p>
        </w:tc>
        <w:tc>
          <w:tcPr>
            <w:tcW w:type="dxa" w:w="3014"/>
            <w:tcBorders/>
          </w:tcPr>
          <w:p>
            <w:pPr>
              <w:keepNext/>
              <w:spacing w:before="10" w:after="10" w:line="240" w:lineRule="auto"/>
              <w:jc w:val="left"/>
            </w:pPr>
            <w:r>
              <w:rPr>
                <w:rFonts w:asciiTheme="minorHAnsi" w:hAnsiTheme="minorHAnsi" w:cstheme="minorHAnsi"/>
                <w:sz w:val="16"/>
                <w:szCs w:val="16"/>
              </w:rPr>
              <w:t xml:space="preserve">Different horizon; a one-day gain can coexist with later reversal, which we do not measure</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Berkman et al. (2012)</w:t>
            </w:r>
          </w:p>
        </w:tc>
        <w:tc>
          <w:tcPr>
            <w:tcW w:type="dxa" w:w="1607"/>
            <w:tcBorders/>
          </w:tcPr>
          <w:p>
            <w:pPr>
              <w:keepNext/>
              <w:spacing w:before="10" w:after="10" w:line="240" w:lineRule="auto"/>
              <w:jc w:val="left"/>
            </w:pPr>
            <w:r>
              <w:rPr>
                <w:rFonts w:asciiTheme="minorHAnsi" w:hAnsiTheme="minorHAnsi" w:cstheme="minorHAnsi"/>
                <w:sz w:val="16"/>
                <w:szCs w:val="16"/>
              </w:rPr>
              <w:t xml:space="preserve">U.S.; intraday data</w:t>
            </w:r>
          </w:p>
        </w:tc>
        <w:tc>
          <w:tcPr>
            <w:tcW w:type="dxa" w:w="3014"/>
            <w:tcBorders/>
          </w:tcPr>
          <w:p>
            <w:pPr>
              <w:keepNext/>
              <w:spacing w:before="10" w:after="10" w:line="240" w:lineRule="auto"/>
              <w:jc w:val="left"/>
            </w:pPr>
            <w:r>
              <w:rPr>
                <w:rFonts w:asciiTheme="minorHAnsi" w:hAnsiTheme="minorHAnsi" w:cstheme="minorHAnsi"/>
                <w:sz w:val="16"/>
                <w:szCs w:val="16"/>
              </w:rPr>
              <w:t xml:space="preserve">Overnight gains, intraday reversals, concentrated in high-attention stocks</w:t>
            </w:r>
          </w:p>
        </w:tc>
        <w:tc>
          <w:tcPr>
            <w:tcW w:type="dxa" w:w="3014"/>
            <w:tcBorders/>
          </w:tcPr>
          <w:p>
            <w:pPr>
              <w:keepNext/>
              <w:spacing w:before="10" w:after="10" w:line="240" w:lineRule="auto"/>
              <w:jc w:val="left"/>
            </w:pPr>
            <w:r>
              <w:rPr>
                <w:rFonts w:asciiTheme="minorHAnsi" w:hAnsiTheme="minorHAnsi" w:cstheme="minorHAnsi"/>
                <w:sz w:val="16"/>
                <w:szCs w:val="16"/>
              </w:rPr>
              <w:t xml:space="preserve">Same signs; the gap also rises with volume and prior return</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Lou et al. (2019)</w:t>
            </w:r>
          </w:p>
        </w:tc>
        <w:tc>
          <w:tcPr>
            <w:tcW w:type="dxa" w:w="1607"/>
            <w:tcBorders/>
          </w:tcPr>
          <w:p>
            <w:pPr>
              <w:keepNext/>
              <w:spacing w:before="10" w:after="10" w:line="240" w:lineRule="auto"/>
              <w:jc w:val="left"/>
            </w:pPr>
            <w:r>
              <w:rPr>
                <w:rFonts w:asciiTheme="minorHAnsi" w:hAnsiTheme="minorHAnsi" w:cstheme="minorHAnsi"/>
                <w:sz w:val="16"/>
                <w:szCs w:val="16"/>
              </w:rPr>
              <w:t xml:space="preserve">U.S.; stock returns</w:t>
            </w:r>
          </w:p>
        </w:tc>
        <w:tc>
          <w:tcPr>
            <w:tcW w:type="dxa" w:w="3014"/>
            <w:tcBorders/>
          </w:tcPr>
          <w:p>
            <w:pPr>
              <w:keepNext/>
              <w:spacing w:before="10" w:after="10" w:line="240" w:lineRule="auto"/>
              <w:jc w:val="left"/>
            </w:pPr>
            <w:r>
              <w:rPr>
                <w:rFonts w:asciiTheme="minorHAnsi" w:hAnsiTheme="minorHAnsi" w:cstheme="minorHAnsi"/>
                <w:sz w:val="16"/>
                <w:szCs w:val="16"/>
              </w:rPr>
              <w:t xml:space="preserve">Overnight and intraday continuation, offsetting cross-period reversal</w:t>
            </w:r>
          </w:p>
        </w:tc>
        <w:tc>
          <w:tcPr>
            <w:tcW w:type="dxa" w:w="3014"/>
            <w:tcBorders/>
          </w:tcPr>
          <w:p>
            <w:pPr>
              <w:keepNext/>
              <w:spacing w:before="10" w:after="10" w:line="240" w:lineRule="auto"/>
              <w:jc w:val="left"/>
            </w:pPr>
            <w:r>
              <w:rPr>
                <w:rFonts w:asciiTheme="minorHAnsi" w:hAnsiTheme="minorHAnsi" w:cstheme="minorHAnsi"/>
                <w:sz w:val="16"/>
                <w:szCs w:val="16"/>
              </w:rPr>
              <w:t xml:space="preserve">Gap-then-reversal has the sign of that cross-period reversal at one day</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Qiao and Dam (2020)</w:t>
            </w:r>
          </w:p>
        </w:tc>
        <w:tc>
          <w:tcPr>
            <w:tcW w:type="dxa" w:w="1607"/>
            <w:tcBorders/>
          </w:tcPr>
          <w:p>
            <w:pPr>
              <w:keepNext/>
              <w:spacing w:before="10" w:after="10" w:line="240" w:lineRule="auto"/>
              <w:jc w:val="left"/>
            </w:pPr>
            <w:r>
              <w:rPr>
                <w:rFonts w:asciiTheme="minorHAnsi" w:hAnsiTheme="minorHAnsi" w:cstheme="minorHAnsi"/>
                <w:sz w:val="16"/>
                <w:szCs w:val="16"/>
              </w:rPr>
              <w:t xml:space="preserve">China A-shares</w:t>
            </w:r>
          </w:p>
        </w:tc>
        <w:tc>
          <w:tcPr>
            <w:tcW w:type="dxa" w:w="3014"/>
            <w:tcBorders/>
          </w:tcPr>
          <w:p>
            <w:pPr>
              <w:keepNext/>
              <w:spacing w:before="10" w:after="10" w:line="240" w:lineRule="auto"/>
              <w:jc w:val="left"/>
            </w:pPr>
            <w:r>
              <w:rPr>
                <w:rFonts w:asciiTheme="minorHAnsi" w:hAnsiTheme="minorHAnsi" w:cstheme="minorHAnsi"/>
                <w:sz w:val="16"/>
                <w:szCs w:val="16"/>
              </w:rPr>
              <w:t xml:space="preserve">Negative average overnight return; T+1 rule lowers opening prices</w:t>
            </w:r>
          </w:p>
        </w:tc>
        <w:tc>
          <w:tcPr>
            <w:tcW w:type="dxa" w:w="3014"/>
            <w:tcBorders/>
          </w:tcPr>
          <w:p>
            <w:pPr>
              <w:keepNext/>
              <w:spacing w:before="10" w:after="10" w:line="240" w:lineRule="auto"/>
              <w:jc w:val="left"/>
            </w:pPr>
            <w:r>
              <w:rPr>
                <w:rFonts w:asciiTheme="minorHAnsi" w:hAnsiTheme="minorHAnsi" w:cstheme="minorHAnsi"/>
                <w:sz w:val="16"/>
                <w:szCs w:val="16"/>
              </w:rPr>
              <w:t xml:space="preserve">Opposite sign: positive overnight return after ceiling closes</w:t>
            </w:r>
          </w:p>
        </w:tc>
      </w:tr>
      <w:tr>
        <w:trPr>
          <w:cantSplit/>
        </w:trPr>
        <w:tc>
          <w:tcPr>
            <w:tcW w:type="dxa" w:w="2562"/>
            <w:tcBorders>
              <w:bottom w:val="single" w:sz="8" w:space="0" w:color="000000"/>
            </w:tcBorders>
          </w:tcPr>
          <w:p>
            <w:pPr>
              <w:spacing w:before="10" w:after="10" w:line="240" w:lineRule="auto"/>
              <w:jc w:val="left"/>
            </w:pPr>
            <w:r>
              <w:rPr>
                <w:rFonts w:asciiTheme="minorHAnsi" w:hAnsiTheme="minorHAnsi" w:cstheme="minorHAnsi"/>
                <w:sz w:val="16"/>
                <w:szCs w:val="16"/>
              </w:rPr>
              <w:t xml:space="preserve">Hou et al. (2020); Harvey et al. (2016)</w:t>
            </w:r>
          </w:p>
        </w:tc>
        <w:tc>
          <w:tcPr>
            <w:tcW w:type="dxa" w:w="1607"/>
            <w:tcBorders>
              <w:bottom w:val="single" w:sz="8" w:space="0" w:color="000000"/>
            </w:tcBorders>
          </w:tcPr>
          <w:p>
            <w:pPr>
              <w:spacing w:before="10" w:after="10" w:line="240" w:lineRule="auto"/>
              <w:jc w:val="left"/>
            </w:pPr>
            <w:r>
              <w:rPr>
                <w:rFonts w:asciiTheme="minorHAnsi" w:hAnsiTheme="minorHAnsi" w:cstheme="minorHAnsi"/>
                <w:sz w:val="16"/>
                <w:szCs w:val="16"/>
              </w:rPr>
              <w:t xml:space="preserve">U.S.; anomalies</w:t>
            </w:r>
          </w:p>
        </w:tc>
        <w:tc>
          <w:tcPr>
            <w:tcW w:type="dxa" w:w="3014"/>
            <w:tcBorders>
              <w:bottom w:val="single" w:sz="8" w:space="0" w:color="000000"/>
            </w:tcBorders>
          </w:tcPr>
          <w:p>
            <w:pPr>
              <w:spacing w:before="10" w:after="10" w:line="240" w:lineRule="auto"/>
              <w:jc w:val="left"/>
            </w:pPr>
            <w:r>
              <w:rPr>
                <w:rFonts w:asciiTheme="minorHAnsi" w:hAnsiTheme="minorHAnsi" w:cstheme="minorHAnsi"/>
                <w:sz w:val="16"/>
                <w:szCs w:val="16"/>
              </w:rPr>
              <w:t xml:space="preserve">With microcaps mitigated, 65% of 452 anomalies fail the 1.96 hurdle; a new factor needs</w:t>
            </w:r>
            <w:r>
              <w:rPr>
                <w:rFonts w:asciiTheme="minorHAnsi" w:hAnsiTheme="minorHAnsi" w:cstheme="minorHAnsi"/>
                <w:sz w:val="16"/>
                <w:szCs w:val="16"/>
              </w:rPr>
              <w:t xml:space="preserve"> </w:t>
            </w:r>
            <w:r>
              <w:rPr>
                <w:rFonts w:asciiTheme="minorHAnsi" w:hAnsiTheme="minorHAnsi" w:cstheme="minorHAnsi"/>
                <w:i/>
                <w:iCs/>
                <w:sz w:val="16"/>
                <w:szCs w:val="16"/>
              </w:rPr>
              <w:t xml:space="preserve">t</w:t>
            </w:r>
            <w:r>
              <w:rPr>
                <w:rFonts w:asciiTheme="minorHAnsi" w:hAnsiTheme="minorHAnsi" w:cstheme="minorHAnsi"/>
                <w:sz w:val="16"/>
                <w:szCs w:val="16"/>
              </w:rPr>
              <w:t xml:space="preserve"> </w:t>
            </w:r>
            <w:r>
              <w:rPr>
                <w:rFonts w:asciiTheme="minorHAnsi" w:hAnsiTheme="minorHAnsi" w:cstheme="minorHAnsi"/>
                <w:sz w:val="16"/>
                <w:szCs w:val="16"/>
              </w:rPr>
              <w:t xml:space="preserve">above 3.0</w:t>
            </w:r>
          </w:p>
        </w:tc>
        <w:tc>
          <w:tcPr>
            <w:tcW w:type="dxa" w:w="3014"/>
            <w:tcBorders>
              <w:bottom w:val="single" w:sz="8" w:space="0" w:color="000000"/>
            </w:tcBorders>
          </w:tcPr>
          <w:p>
            <w:pPr>
              <w:spacing w:before="10" w:after="10" w:line="240" w:lineRule="auto"/>
              <w:jc w:val="left"/>
            </w:pPr>
            <w:r>
              <w:rPr>
                <w:rFonts w:asciiTheme="minorHAnsi" w:hAnsiTheme="minorHAnsi" w:cstheme="minorHAnsi"/>
                <w:sz w:val="16"/>
                <w:szCs w:val="16"/>
              </w:rPr>
              <w:t xml:space="preserve">None of our 22 characteristics reaches 1.96 in the full sample</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Main published finding of each study, compared with ours by sign, timing, and mechanism.</w:t>
      </w:r>
    </w:p>
    <w:sectPr w:rsidR="006F2D9E" w:rsidRPr="006F2D9E" w:rsidSect="001E3F3A">
      <w:type w:val="continuous"/>
      <w:pgSz w:w="11906" w:h="16838"/>
      <w:pgMar w:top="1418" w:right="849" w:bottom="1418" w:left="851" w:header="709" w:footer="709" w:gutter="0"/>
      <w:lnNumType w:countBy="1" w:restart="continuous"/>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93B8A" w14:textId="77777777" w:rsidR="00570226" w:rsidRDefault="00570226" w:rsidP="00201BED">
      <w:pPr>
        <w:spacing w:after="0" w:line="240" w:lineRule="auto"/>
      </w:pPr>
      <w:r>
        <w:separator/>
      </w:r>
    </w:p>
  </w:endnote>
  <w:endnote w:type="continuationSeparator" w:id="0">
    <w:p w14:paraId="53D39E30" w14:textId="77777777" w:rsidR="00570226" w:rsidRDefault="00570226" w:rsidP="00201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RSKHIL+WarnockPro-Regular">
    <w:altName w:val="Times New Roman"/>
    <w:panose1 w:val="020B0604020202020204"/>
    <w:charset w:val="00"/>
    <w:family w:val="roman"/>
    <w:notTrueType/>
    <w:pitch w:val="default"/>
    <w:sig w:usb0="00000003" w:usb1="00000000" w:usb2="00000000" w:usb3="00000000" w:csb0="00000001" w:csb1="00000000"/>
  </w:font>
  <w:font w:name="DejaVu Sans">
    <w:panose1 w:val="020B0604020202020204"/>
    <w:charset w:val="00"/>
    <w:family w:val="swiss"/>
    <w:pitch w:val="variable"/>
    <w:sig w:usb0="E7000EFF" w:usb1="5200F5FF" w:usb2="0A242021" w:usb3="00000000" w:csb0="000001BF" w:csb1="00000000"/>
  </w:font>
  <w:font w:name="TimesNewRomanPSMT">
    <w:altName w:val="Times New Roman"/>
    <w:panose1 w:val="020B0604020202020204"/>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2"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Neue">
    <w:altName w:val="Arial"/>
    <w:panose1 w:val="02000503000000020004"/>
    <w:charset w:val="00"/>
    <w:family w:val="auto"/>
    <w:pitch w:val="variable"/>
    <w:sig w:usb0="E50002FF" w:usb1="500079DB" w:usb2="0000001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5B43" w14:textId="4DA9117E" w:rsidR="005705D6" w:rsidRDefault="006E7F0C" w:rsidP="0040758B">
    <w:pPr>
      <w:pStyle w:val="Rodap"/>
      <w:tabs>
        <w:tab w:val="clear" w:pos="4252"/>
        <w:tab w:val="clear" w:pos="8504"/>
        <w:tab w:val="left" w:pos="6969"/>
      </w:tabs>
    </w:pPr>
    <w:r w:rsidRPr="00047AD1">
      <w:rPr>
        <w:noProof/>
        <w:color w:val="0070C0"/>
        <w:sz w:val="20"/>
        <w:lang w:eastAsia="pt-BR"/>
      </w:rPr>
      <w:drawing>
        <wp:anchor distT="0" distB="0" distL="114300" distR="114300" simplePos="0" relativeHeight="251711488" behindDoc="1" locked="0" layoutInCell="1" allowOverlap="1" wp14:anchorId="6A10E517" wp14:editId="127DFA18">
          <wp:simplePos x="0" y="0"/>
          <wp:positionH relativeFrom="column">
            <wp:posOffset>6233491</wp:posOffset>
          </wp:positionH>
          <wp:positionV relativeFrom="paragraph">
            <wp:posOffset>-195580</wp:posOffset>
          </wp:positionV>
          <wp:extent cx="193040" cy="187325"/>
          <wp:effectExtent l="0" t="0" r="0" b="3175"/>
          <wp:wrapNone/>
          <wp:docPr id="1442428094" name="Imagem 1442428094">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ite705g3Mini\Desktop\malque logo.png"/>
                  <pic:cNvPicPr>
                    <a:picLocks noChangeAspect="1" noChangeArrowheads="1"/>
                  </pic:cNvPicPr>
                </pic:nvPicPr>
                <pic:blipFill>
                  <a:blip r:embed="rId2"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93040" cy="187325"/>
                  </a:xfrm>
                  <a:prstGeom prst="rect">
                    <a:avLst/>
                  </a:prstGeom>
                  <a:noFill/>
                  <a:ln>
                    <a:noFill/>
                  </a:ln>
                </pic:spPr>
              </pic:pic>
            </a:graphicData>
          </a:graphic>
        </wp:anchor>
      </w:drawing>
    </w:r>
    <w:r w:rsidR="005705D6">
      <w:rPr>
        <w:noProof/>
        <w:lang w:eastAsia="pt-BR"/>
      </w:rPr>
      <mc:AlternateContent>
        <mc:Choice Requires="wps">
          <w:drawing>
            <wp:anchor distT="0" distB="0" distL="114300" distR="114300" simplePos="0" relativeHeight="251707392" behindDoc="0" locked="0" layoutInCell="1" allowOverlap="1" wp14:anchorId="648CBBA5" wp14:editId="76F3EF6D">
              <wp:simplePos x="0" y="0"/>
              <wp:positionH relativeFrom="column">
                <wp:posOffset>-47404</wp:posOffset>
              </wp:positionH>
              <wp:positionV relativeFrom="paragraph">
                <wp:posOffset>-171726</wp:posOffset>
              </wp:positionV>
              <wp:extent cx="2107096" cy="238836"/>
              <wp:effectExtent l="0" t="0" r="7620" b="8890"/>
              <wp:wrapNone/>
              <wp:docPr id="2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7096" cy="2388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44C6F6" w14:textId="77777777" w:rsidR="00225D49" w:rsidRPr="00B33510" w:rsidRDefault="00570226" w:rsidP="00225D49">
                          <w:pPr>
                            <w:rPr>
                              <w:rFonts w:cs="Calibri"/>
                              <w:color w:val="A6A6A6" w:themeColor="background1" w:themeShade="A6"/>
                              <w:sz w:val="16"/>
                              <w:szCs w:val="16"/>
                            </w:rPr>
                          </w:pPr>
                          <w:hyperlink r:id="rId3" w:history="1">
                            <w:r w:rsidR="00225D49" w:rsidRPr="00B33510">
                              <w:rPr>
                                <w:rStyle w:val="Hyperlink"/>
                                <w:rFonts w:cs="Calibri"/>
                                <w:color w:val="A6A6A6" w:themeColor="background1" w:themeShade="A6"/>
                                <w:sz w:val="16"/>
                                <w:szCs w:val="16"/>
                                <w:u w:val="none"/>
                              </w:rPr>
                              <w:t>https://www.malque.pub/ojs/index.php/msj</w:t>
                            </w:r>
                          </w:hyperlink>
                        </w:p>
                        <w:p w14:paraId="68C7ACC2" w14:textId="6592D00F" w:rsidR="005705D6" w:rsidRPr="00A37526" w:rsidRDefault="005705D6" w:rsidP="0040758B">
                          <w:pPr>
                            <w:rPr>
                              <w:rFonts w:cs="Calibri"/>
                              <w:color w:val="A6A6A6" w:themeColor="background1" w:themeShade="A6"/>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48CBBA5" id="_x0000_t202" coordsize="21600,21600" o:spt="202" path="m,l,21600r21600,l21600,xe">
              <v:stroke joinstyle="miter"/>
              <v:path gradientshapeok="t" o:connecttype="rect"/>
            </v:shapetype>
            <v:shape id="_x0000_s1029" type="#_x0000_t202" style="position:absolute;margin-left:-3.75pt;margin-top:-13.5pt;width:165.9pt;height:18.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" stroked="f">
              <v:textbox>
                <w:txbxContent>
                  <w:p w14:paraId="4C44C6F6" w14:textId="77777777" w:rsidR="00225D49" w:rsidRPr="00B33510" w:rsidRDefault="00000000" w:rsidP="00225D49">
                    <w:pPr>
                      <w:rPr>
                        <w:rFonts w:cs="Calibri"/>
                        <w:color w:val="A6A6A6" w:themeColor="background1" w:themeShade="A6"/>
                        <w:sz w:val="16"/>
                        <w:szCs w:val="16"/>
                      </w:rPr>
                    </w:pPr>
                    <w:hyperlink r:id="rId4" w:history="1">
                      <w:r w:rsidR="00225D49" w:rsidRPr="00B33510">
                        <w:rPr>
                          <w:rStyle w:val="Hyperlink"/>
                          <w:rFonts w:cs="Calibri"/>
                          <w:color w:val="A6A6A6" w:themeColor="background1" w:themeShade="A6"/>
                          <w:sz w:val="16"/>
                          <w:szCs w:val="16"/>
                          <w:u w:val="none"/>
                        </w:rPr>
                        <w:t>https://www.malque.pub/ojs/index.php/msj</w:t>
                      </w:r>
                    </w:hyperlink>
                  </w:p>
                  <w:p w14:paraId="68C7ACC2" w14:textId="6592D00F" w:rsidR="005705D6" w:rsidRPr="00A37526" w:rsidRDefault="005705D6" w:rsidP="0040758B">
                    <w:pPr>
                      <w:rPr>
                        <w:rFonts w:cs="Calibri"/>
                        <w:color w:val="A6A6A6" w:themeColor="background1" w:themeShade="A6"/>
                        <w:sz w:val="16"/>
                        <w:szCs w:val="16"/>
                      </w:rPr>
                    </w:pPr>
                  </w:p>
                </w:txbxContent>
              </v:textbox>
            </v:shape>
          </w:pict>
        </mc:Fallback>
      </mc:AlternateContent>
    </w:r>
    <w:r w:rsidR="005705D6">
      <w:rPr>
        <w:noProof/>
        <w:lang w:eastAsia="pt-BR"/>
      </w:rPr>
      <mc:AlternateContent>
        <mc:Choice Requires="wps">
          <w:drawing>
            <wp:anchor distT="4294967295" distB="4294967295" distL="114300" distR="114300" simplePos="0" relativeHeight="251684864" behindDoc="0" locked="0" layoutInCell="1" allowOverlap="1" wp14:anchorId="23817E40" wp14:editId="55DB80C1">
              <wp:simplePos x="0" y="0"/>
              <wp:positionH relativeFrom="column">
                <wp:posOffset>33020</wp:posOffset>
              </wp:positionH>
              <wp:positionV relativeFrom="paragraph">
                <wp:posOffset>-220345</wp:posOffset>
              </wp:positionV>
              <wp:extent cx="6417945" cy="0"/>
              <wp:effectExtent l="0" t="0" r="8255" b="12700"/>
              <wp:wrapNone/>
              <wp:docPr id="6"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945"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94AD2D" id="_x0000_t32" coordsize="21600,21600" o:spt="32" o:oned="t" path="m,l21600,21600e" filled="f">
              <v:path arrowok="t" fillok="f" o:connecttype="none"/>
              <o:lock v:ext="edit" shapetype="t"/>
            </v:shapetype>
            <v:shape id="AutoShape 16" o:spid="_x0000_s1026" type="#_x0000_t32" style="position:absolute;margin-left:2.6pt;margin-top:-17.35pt;width:505.35pt;height:0;z-index:251684864;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" strokecolor="#83150e" strokeweight="1pt"/>
          </w:pict>
        </mc:Fallback>
      </mc:AlternateContent>
    </w:r>
    <w:r w:rsidR="005705D6">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394"/>
      <w:gridCol w:w="2747"/>
    </w:tblGrid>
    <w:tr w:rsidR="007409D7" w:rsidRPr="00A94872" w14:paraId="27DA4ED7" w14:textId="77777777" w:rsidTr="00870D6E">
      <w:trPr>
        <w:trHeight w:val="532"/>
      </w:trPr>
      <w:tc>
        <w:tcPr>
          <w:tcW w:w="3119" w:type="dxa"/>
        </w:tcPr>
        <w:p w14:paraId="37DD1B26" w14:textId="5397B12F" w:rsidR="00877B75" w:rsidRPr="007409D7" w:rsidRDefault="004C6D61" w:rsidP="00877B75">
          <w:pPr>
            <w:spacing w:after="0" w:line="240" w:lineRule="auto"/>
            <w:jc w:val="center"/>
            <w:rPr>
              <w:rFonts w:asciiTheme="minorHAnsi" w:hAnsiTheme="minorHAnsi" w:cstheme="minorHAnsi"/>
              <w:color w:val="BFBFBF" w:themeColor="background1" w:themeShade="BF"/>
              <w:sz w:val="8"/>
              <w:szCs w:val="8"/>
              <w:lang w:val="en-US"/>
            </w:rPr>
          </w:pPr>
          <w:r w:rsidRPr="007409D7">
            <w:rPr>
              <w:noProof/>
              <w:color w:val="BFBFBF" w:themeColor="background1" w:themeShade="BF"/>
              <w:lang w:eastAsia="pt-BR"/>
            </w:rPr>
            <mc:AlternateContent>
              <mc:Choice Requires="wps">
                <w:drawing>
                  <wp:anchor distT="4294967295" distB="4294967295" distL="114300" distR="114300" simplePos="0" relativeHeight="251691008" behindDoc="0" locked="0" layoutInCell="1" allowOverlap="1" wp14:anchorId="5C0D3489" wp14:editId="739CDAFE">
                    <wp:simplePos x="0" y="0"/>
                    <wp:positionH relativeFrom="column">
                      <wp:posOffset>-43815</wp:posOffset>
                    </wp:positionH>
                    <wp:positionV relativeFrom="paragraph">
                      <wp:posOffset>4752</wp:posOffset>
                    </wp:positionV>
                    <wp:extent cx="6417945" cy="0"/>
                    <wp:effectExtent l="0" t="0" r="8255" b="12700"/>
                    <wp:wrapNone/>
                    <wp:docPr id="1"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945"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E2FD8A" id="_x0000_t32" coordsize="21600,21600" o:spt="32" o:oned="t" path="m,l21600,21600e" filled="f">
                    <v:path arrowok="t" fillok="f" o:connecttype="none"/>
                    <o:lock v:ext="edit" shapetype="t"/>
                  </v:shapetype>
                  <v:shape id="AutoShape 31" o:spid="_x0000_s1026" type="#_x0000_t32" style="position:absolute;margin-left:-3.45pt;margin-top:.35pt;width:505.35pt;height:0;z-index:251691008;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" strokecolor="#83150e" strokeweight="1pt"/>
                </w:pict>
              </mc:Fallback>
            </mc:AlternateContent>
          </w:r>
        </w:p>
        <w:p w14:paraId="5C53F5FB" w14:textId="331E5FFA" w:rsidR="00877B75" w:rsidRPr="007409D7" w:rsidRDefault="00870D6E" w:rsidP="00F8581F">
          <w:pPr>
            <w:spacing w:after="0" w:line="240" w:lineRule="auto"/>
            <w:rPr>
              <w:rFonts w:asciiTheme="minorHAnsi" w:hAnsiTheme="minorHAnsi" w:cstheme="minorHAnsi"/>
              <w:color w:val="BFBFBF" w:themeColor="background1" w:themeShade="BF"/>
              <w:sz w:val="16"/>
              <w:szCs w:val="16"/>
              <w:lang w:val="en-US"/>
            </w:rPr>
          </w:pPr>
          <w:proofErr w:type="spellStart"/>
          <w:r w:rsidRPr="007409D7">
            <w:rPr>
              <w:rFonts w:asciiTheme="minorHAnsi" w:hAnsiTheme="minorHAnsi" w:cstheme="minorHAnsi"/>
              <w:color w:val="BFBFBF" w:themeColor="background1" w:themeShade="BF"/>
              <w:sz w:val="16"/>
              <w:szCs w:val="16"/>
              <w:lang w:val="en-US"/>
            </w:rPr>
            <w:t>Multidiscip</w:t>
          </w:r>
          <w:proofErr w:type="spellEnd"/>
          <w:r w:rsidRPr="007409D7">
            <w:rPr>
              <w:rFonts w:asciiTheme="minorHAnsi" w:hAnsiTheme="minorHAnsi" w:cstheme="minorHAnsi"/>
              <w:color w:val="BFBFBF" w:themeColor="background1" w:themeShade="BF"/>
              <w:sz w:val="16"/>
              <w:szCs w:val="16"/>
              <w:lang w:val="en-US"/>
            </w:rPr>
            <w:t>. Sci. J. (202</w:t>
          </w:r>
          <w:r w:rsidR="004D3017">
            <w:rPr>
              <w:rFonts w:asciiTheme="minorHAnsi" w:hAnsiTheme="minorHAnsi" w:cstheme="minorHAnsi"/>
              <w:color w:val="BFBFBF" w:themeColor="background1" w:themeShade="BF"/>
              <w:sz w:val="16"/>
              <w:szCs w:val="16"/>
              <w:lang w:val="en-US"/>
            </w:rPr>
            <w:t>6</w:t>
          </w:r>
          <w:r w:rsidRPr="007409D7">
            <w:rPr>
              <w:rFonts w:asciiTheme="minorHAnsi" w:hAnsiTheme="minorHAnsi" w:cstheme="minorHAnsi"/>
              <w:color w:val="BFBFBF" w:themeColor="background1" w:themeShade="BF"/>
              <w:sz w:val="16"/>
              <w:szCs w:val="16"/>
              <w:lang w:val="en-US"/>
            </w:rPr>
            <w:t xml:space="preserve">) </w:t>
          </w:r>
          <w:proofErr w:type="gramStart"/>
          <w:r w:rsidR="004D3017">
            <w:rPr>
              <w:rFonts w:asciiTheme="minorHAnsi" w:hAnsiTheme="minorHAnsi" w:cstheme="minorHAnsi"/>
              <w:color w:val="BFBFBF" w:themeColor="background1" w:themeShade="BF"/>
              <w:sz w:val="16"/>
              <w:szCs w:val="16"/>
              <w:lang w:val="en-US"/>
            </w:rPr>
            <w:t>1</w:t>
          </w:r>
          <w:r w:rsidRPr="007409D7">
            <w:rPr>
              <w:rFonts w:asciiTheme="minorHAnsi" w:hAnsiTheme="minorHAnsi" w:cstheme="minorHAnsi"/>
              <w:color w:val="BFBFBF" w:themeColor="background1" w:themeShade="BF"/>
              <w:sz w:val="16"/>
              <w:szCs w:val="16"/>
              <w:lang w:val="en-US"/>
            </w:rPr>
            <w:t>:e</w:t>
          </w:r>
          <w:proofErr w:type="gramEnd"/>
          <w:r w:rsidRPr="007409D7">
            <w:rPr>
              <w:rFonts w:asciiTheme="minorHAnsi" w:hAnsiTheme="minorHAnsi" w:cstheme="minorHAnsi"/>
              <w:color w:val="BFBFBF" w:themeColor="background1" w:themeShade="BF"/>
              <w:sz w:val="16"/>
              <w:szCs w:val="16"/>
              <w:lang w:val="en-US"/>
            </w:rPr>
            <w:t>202</w:t>
          </w:r>
          <w:r w:rsidR="004D3017">
            <w:rPr>
              <w:rFonts w:asciiTheme="minorHAnsi" w:hAnsiTheme="minorHAnsi" w:cstheme="minorHAnsi"/>
              <w:color w:val="BFBFBF" w:themeColor="background1" w:themeShade="BF"/>
              <w:sz w:val="16"/>
              <w:szCs w:val="16"/>
              <w:lang w:val="en-US"/>
            </w:rPr>
            <w:t>6</w:t>
          </w:r>
          <w:r w:rsidR="00157323" w:rsidRPr="007409D7">
            <w:rPr>
              <w:rFonts w:asciiTheme="minorHAnsi" w:hAnsiTheme="minorHAnsi" w:cstheme="minorHAnsi"/>
              <w:color w:val="BFBFBF" w:themeColor="background1" w:themeShade="BF"/>
              <w:sz w:val="16"/>
              <w:szCs w:val="16"/>
              <w:lang w:val="en-US"/>
            </w:rPr>
            <w:t>xxx</w:t>
          </w:r>
        </w:p>
      </w:tc>
      <w:tc>
        <w:tcPr>
          <w:tcW w:w="4394" w:type="dxa"/>
        </w:tcPr>
        <w:p w14:paraId="29D72858" w14:textId="77777777" w:rsidR="00877B75" w:rsidRPr="007409D7" w:rsidRDefault="00877B75" w:rsidP="00877B75">
          <w:pPr>
            <w:spacing w:after="0" w:line="240" w:lineRule="auto"/>
            <w:jc w:val="center"/>
            <w:rPr>
              <w:rStyle w:val="Hyperlink"/>
              <w:rFonts w:cs="Calibri"/>
              <w:color w:val="BFBFBF" w:themeColor="background1" w:themeShade="BF"/>
              <w:sz w:val="8"/>
              <w:szCs w:val="8"/>
              <w:u w:val="none"/>
              <w:lang w:val="en-US"/>
            </w:rPr>
          </w:pPr>
        </w:p>
        <w:p w14:paraId="1C107E05" w14:textId="3B13B28D" w:rsidR="00877B75" w:rsidRPr="007409D7" w:rsidRDefault="00877B75" w:rsidP="00877B75">
          <w:pPr>
            <w:spacing w:after="0" w:line="240" w:lineRule="auto"/>
            <w:jc w:val="center"/>
            <w:rPr>
              <w:rFonts w:cs="Calibri"/>
              <w:color w:val="BFBFBF" w:themeColor="background1" w:themeShade="BF"/>
              <w:sz w:val="16"/>
              <w:szCs w:val="16"/>
              <w:lang w:val="en-US"/>
            </w:rPr>
          </w:pPr>
          <w:r w:rsidRPr="007409D7">
            <w:rPr>
              <w:rStyle w:val="Hyperlink"/>
              <w:rFonts w:cs="Calibri"/>
              <w:color w:val="BFBFBF" w:themeColor="background1" w:themeShade="BF"/>
              <w:sz w:val="16"/>
              <w:szCs w:val="16"/>
              <w:u w:val="none"/>
              <w:lang w:val="en-US"/>
            </w:rPr>
            <w:t xml:space="preserve">Received: </w:t>
          </w:r>
          <w:r w:rsidR="00157323" w:rsidRPr="007409D7">
            <w:rPr>
              <w:rStyle w:val="Hyperlink"/>
              <w:rFonts w:cs="Calibri"/>
              <w:color w:val="BFBFBF" w:themeColor="background1" w:themeShade="BF"/>
              <w:sz w:val="16"/>
              <w:szCs w:val="16"/>
              <w:u w:val="none"/>
              <w:lang w:val="en-US"/>
            </w:rPr>
            <w:t>XXXX</w:t>
          </w:r>
          <w:r w:rsidRPr="007409D7">
            <w:rPr>
              <w:rStyle w:val="Hyperlink"/>
              <w:rFonts w:cs="Calibri"/>
              <w:color w:val="BFBFBF" w:themeColor="background1" w:themeShade="BF"/>
              <w:sz w:val="16"/>
              <w:szCs w:val="16"/>
              <w:u w:val="none"/>
              <w:lang w:val="en-US"/>
            </w:rPr>
            <w:t xml:space="preserve"> </w:t>
          </w:r>
          <w:r w:rsidR="00157323" w:rsidRPr="007409D7">
            <w:rPr>
              <w:rStyle w:val="Hyperlink"/>
              <w:rFonts w:cs="Calibri"/>
              <w:color w:val="BFBFBF" w:themeColor="background1" w:themeShade="BF"/>
              <w:sz w:val="16"/>
              <w:szCs w:val="16"/>
              <w:u w:val="none"/>
              <w:lang w:val="en-US"/>
            </w:rPr>
            <w:t>XX</w:t>
          </w:r>
          <w:r w:rsidRPr="007409D7">
            <w:rPr>
              <w:rStyle w:val="Hyperlink"/>
              <w:rFonts w:cs="Calibri"/>
              <w:color w:val="BFBFBF" w:themeColor="background1" w:themeShade="BF"/>
              <w:sz w:val="16"/>
              <w:szCs w:val="16"/>
              <w:u w:val="none"/>
              <w:lang w:val="en-US"/>
            </w:rPr>
            <w:t>, 202</w:t>
          </w:r>
          <w:r w:rsidR="007409D7" w:rsidRPr="007409D7">
            <w:rPr>
              <w:rStyle w:val="Hyperlink"/>
              <w:rFonts w:cs="Calibri"/>
              <w:color w:val="BFBFBF" w:themeColor="background1" w:themeShade="BF"/>
              <w:sz w:val="16"/>
              <w:szCs w:val="16"/>
              <w:u w:val="none"/>
              <w:lang w:val="en-US"/>
            </w:rPr>
            <w:t>X</w:t>
          </w:r>
          <w:r w:rsidRPr="007409D7">
            <w:rPr>
              <w:rStyle w:val="Hyperlink"/>
              <w:rFonts w:cs="Calibri"/>
              <w:color w:val="BFBFBF" w:themeColor="background1" w:themeShade="BF"/>
              <w:sz w:val="16"/>
              <w:szCs w:val="16"/>
              <w:u w:val="none"/>
              <w:lang w:val="en-US"/>
            </w:rPr>
            <w:t xml:space="preserve"> | Accepted: </w:t>
          </w:r>
          <w:r w:rsidR="00157323" w:rsidRPr="007409D7">
            <w:rPr>
              <w:rStyle w:val="Hyperlink"/>
              <w:rFonts w:cs="Calibri"/>
              <w:color w:val="BFBFBF" w:themeColor="background1" w:themeShade="BF"/>
              <w:sz w:val="16"/>
              <w:szCs w:val="16"/>
              <w:u w:val="none"/>
              <w:lang w:val="en-US"/>
            </w:rPr>
            <w:t>XXXX</w:t>
          </w:r>
          <w:r w:rsidRPr="007409D7">
            <w:rPr>
              <w:rStyle w:val="Hyperlink"/>
              <w:rFonts w:cs="Calibri"/>
              <w:color w:val="BFBFBF" w:themeColor="background1" w:themeShade="BF"/>
              <w:sz w:val="16"/>
              <w:szCs w:val="16"/>
              <w:u w:val="none"/>
              <w:lang w:val="en-US"/>
            </w:rPr>
            <w:t xml:space="preserve"> </w:t>
          </w:r>
          <w:r w:rsidR="00157323" w:rsidRPr="007409D7">
            <w:rPr>
              <w:rStyle w:val="Hyperlink"/>
              <w:rFonts w:cs="Calibri"/>
              <w:color w:val="BFBFBF" w:themeColor="background1" w:themeShade="BF"/>
              <w:sz w:val="16"/>
              <w:szCs w:val="16"/>
              <w:u w:val="none"/>
              <w:lang w:val="en-US"/>
            </w:rPr>
            <w:t>XX</w:t>
          </w:r>
          <w:r w:rsidRPr="007409D7">
            <w:rPr>
              <w:rStyle w:val="Hyperlink"/>
              <w:rFonts w:cs="Calibri"/>
              <w:color w:val="BFBFBF" w:themeColor="background1" w:themeShade="BF"/>
              <w:sz w:val="16"/>
              <w:szCs w:val="16"/>
              <w:u w:val="none"/>
              <w:lang w:val="en-US"/>
            </w:rPr>
            <w:t>, 202</w:t>
          </w:r>
          <w:r w:rsidR="007409D7" w:rsidRPr="007409D7">
            <w:rPr>
              <w:rStyle w:val="Hyperlink"/>
              <w:rFonts w:cs="Calibri"/>
              <w:color w:val="BFBFBF" w:themeColor="background1" w:themeShade="BF"/>
              <w:sz w:val="16"/>
              <w:szCs w:val="16"/>
              <w:u w:val="none"/>
              <w:lang w:val="en-US"/>
            </w:rPr>
            <w:t>X</w:t>
          </w:r>
        </w:p>
      </w:tc>
      <w:tc>
        <w:tcPr>
          <w:tcW w:w="2747" w:type="dxa"/>
        </w:tcPr>
        <w:p w14:paraId="3FBF4581" w14:textId="54EE4520" w:rsidR="00877B75" w:rsidRPr="007409D7" w:rsidRDefault="006E7F0C" w:rsidP="00877B75">
          <w:pPr>
            <w:pStyle w:val="Rodap"/>
            <w:tabs>
              <w:tab w:val="clear" w:pos="4252"/>
              <w:tab w:val="clear" w:pos="8504"/>
              <w:tab w:val="right" w:pos="8941"/>
            </w:tabs>
            <w:jc w:val="right"/>
            <w:rPr>
              <w:color w:val="BFBFBF" w:themeColor="background1" w:themeShade="BF"/>
              <w:lang w:val="en-US"/>
            </w:rPr>
          </w:pPr>
          <w:r w:rsidRPr="007409D7">
            <w:rPr>
              <w:noProof/>
              <w:color w:val="BFBFBF" w:themeColor="background1" w:themeShade="BF"/>
              <w:sz w:val="20"/>
              <w:lang w:eastAsia="pt-BR"/>
            </w:rPr>
            <w:drawing>
              <wp:anchor distT="0" distB="0" distL="114300" distR="114300" simplePos="0" relativeHeight="251709440" behindDoc="1" locked="0" layoutInCell="1" allowOverlap="1" wp14:anchorId="53DEBCD5" wp14:editId="1B6B5AB5">
                <wp:simplePos x="0" y="0"/>
                <wp:positionH relativeFrom="column">
                  <wp:posOffset>1384604</wp:posOffset>
                </wp:positionH>
                <wp:positionV relativeFrom="paragraph">
                  <wp:posOffset>26670</wp:posOffset>
                </wp:positionV>
                <wp:extent cx="193040" cy="187325"/>
                <wp:effectExtent l="0" t="0" r="0" b="3175"/>
                <wp:wrapNone/>
                <wp:docPr id="1744181391" name="Imagem 174418139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ite705g3Mini\Desktop\malque logo.png"/>
                        <pic:cNvPicPr>
                          <a:picLocks noChangeAspect="1" noChangeArrowheads="1"/>
                        </pic:cNvPicPr>
                      </pic:nvPicPr>
                      <pic:blipFill>
                        <a:blip r:embed="rId2" cstate="print">
                          <a:duotone>
                            <a:schemeClr val="accent2">
                              <a:shade val="45000"/>
                              <a:satMod val="135000"/>
                            </a:schemeClr>
                            <a:prstClr val="white"/>
                          </a:duotone>
                          <a:extLst>
                            <a:ext uri="{BEBA8EAE-BF5A-486C-A8C5-ECC9F3942E4B}">
                              <a14:imgProps xmlns:a14="http://schemas.microsoft.com/office/drawing/2010/main">
                                <a14:imgLayer r:embed="rId3">
                                  <a14:imgEffect>
                                    <a14:colorTemperature colorTemp="11200"/>
                                  </a14:imgEffect>
                                </a14:imgLayer>
                              </a14:imgProps>
                            </a:ext>
                            <a:ext uri="{28A0092B-C50C-407E-A947-70E740481C1C}">
                              <a14:useLocalDpi xmlns:a14="http://schemas.microsoft.com/office/drawing/2010/main" val="0"/>
                            </a:ext>
                          </a:extLst>
                        </a:blip>
                        <a:stretch>
                          <a:fillRect/>
                        </a:stretch>
                      </pic:blipFill>
                      <pic:spPr bwMode="auto">
                        <a:xfrm>
                          <a:off x="0" y="0"/>
                          <a:ext cx="193040" cy="187325"/>
                        </a:xfrm>
                        <a:prstGeom prst="rect">
                          <a:avLst/>
                        </a:prstGeom>
                        <a:noFill/>
                        <a:ln>
                          <a:noFill/>
                        </a:ln>
                      </pic:spPr>
                    </pic:pic>
                  </a:graphicData>
                </a:graphic>
              </wp:anchor>
            </w:drawing>
          </w:r>
        </w:p>
      </w:tc>
    </w:tr>
  </w:tbl>
  <w:p w14:paraId="2162BF73" w14:textId="2B057C6E" w:rsidR="005705D6" w:rsidRPr="00F8581F" w:rsidRDefault="005705D6" w:rsidP="00877B75">
    <w:pPr>
      <w:pStyle w:val="Rodap"/>
      <w:tabs>
        <w:tab w:val="clear" w:pos="4252"/>
        <w:tab w:val="clear" w:pos="8504"/>
        <w:tab w:val="right" w:pos="8941"/>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37784" w14:textId="77777777" w:rsidR="00570226" w:rsidRDefault="00570226" w:rsidP="00201BED">
      <w:pPr>
        <w:spacing w:after="0" w:line="240" w:lineRule="auto"/>
      </w:pPr>
      <w:r>
        <w:separator/>
      </w:r>
    </w:p>
  </w:footnote>
  <w:footnote w:type="continuationSeparator" w:id="0">
    <w:p w14:paraId="7E6754FF" w14:textId="77777777" w:rsidR="00570226" w:rsidRDefault="00570226" w:rsidP="00201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D2B7B" w14:textId="49DB1785" w:rsidR="005705D6" w:rsidRDefault="005705D6" w:rsidP="00BB4D23">
    <w:pPr>
      <w:pStyle w:val="Cabealho"/>
      <w:tabs>
        <w:tab w:val="clear" w:pos="4252"/>
        <w:tab w:val="clear" w:pos="8504"/>
        <w:tab w:val="left" w:pos="1425"/>
      </w:tabs>
    </w:pPr>
    <w:r>
      <w:rPr>
        <w:noProof/>
        <w:lang w:eastAsia="pt-BR"/>
      </w:rPr>
      <mc:AlternateContent>
        <mc:Choice Requires="wps">
          <w:drawing>
            <wp:anchor distT="0" distB="0" distL="114300" distR="114300" simplePos="0" relativeHeight="251705344" behindDoc="0" locked="0" layoutInCell="1" allowOverlap="1" wp14:anchorId="085E5375" wp14:editId="05034055">
              <wp:simplePos x="0" y="0"/>
              <wp:positionH relativeFrom="column">
                <wp:posOffset>-1080770</wp:posOffset>
              </wp:positionH>
              <wp:positionV relativeFrom="paragraph">
                <wp:posOffset>-1019649</wp:posOffset>
              </wp:positionV>
              <wp:extent cx="975360" cy="238760"/>
              <wp:effectExtent l="0" t="0" r="0" b="8890"/>
              <wp:wrapNone/>
              <wp:docPr id="2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23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8CAD5" w14:textId="77777777" w:rsidR="005705D6" w:rsidRPr="00A37526" w:rsidRDefault="00570226" w:rsidP="0040758B">
                          <w:pPr>
                            <w:rPr>
                              <w:rFonts w:cs="Calibri"/>
                              <w:color w:val="A6A6A6" w:themeColor="background1" w:themeShade="A6"/>
                              <w:sz w:val="16"/>
                              <w:szCs w:val="16"/>
                            </w:rPr>
                          </w:pPr>
                          <w:hyperlink r:id="rId1" w:history="1">
                            <w:r w:rsidR="005705D6" w:rsidRPr="00A37526">
                              <w:rPr>
                                <w:rStyle w:val="Hyperlink"/>
                                <w:rFonts w:cs="Calibri"/>
                                <w:color w:val="A6A6A6" w:themeColor="background1" w:themeShade="A6"/>
                                <w:sz w:val="16"/>
                                <w:szCs w:val="16"/>
                                <w:u w:val="none"/>
                              </w:rPr>
                              <w:t>www.jabbnet.com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85E5375" id="_x0000_t202" coordsize="21600,21600" o:spt="202" path="m,l,21600r21600,l21600,xe">
              <v:stroke joinstyle="miter"/>
              <v:path gradientshapeok="t" o:connecttype="rect"/>
            </v:shapetype>
            <v:shape id="Text Box 32" o:spid="_x0000_s1027" type="#_x0000_t202" style="position:absolute;margin-left:-85.1pt;margin-top:-80.3pt;width:76.8pt;height:18.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" stroked="f">
              <v:textbox>
                <w:txbxContent>
                  <w:p w14:paraId="2A28CAD5" w14:textId="77777777" w:rsidR="005705D6" w:rsidRPr="00A37526" w:rsidRDefault="00000000" w:rsidP="0040758B">
                    <w:pPr>
                      <w:rPr>
                        <w:rFonts w:cs="Calibri"/>
                        <w:color w:val="A6A6A6" w:themeColor="background1" w:themeShade="A6"/>
                        <w:sz w:val="16"/>
                        <w:szCs w:val="16"/>
                      </w:rPr>
                    </w:pPr>
                    <w:hyperlink r:id="rId2" w:history="1">
                      <w:r w:rsidR="005705D6" w:rsidRPr="00A37526">
                        <w:rPr>
                          <w:rStyle w:val="Hyperlink"/>
                          <w:rFonts w:cs="Calibri"/>
                          <w:color w:val="A6A6A6" w:themeColor="background1" w:themeShade="A6"/>
                          <w:sz w:val="16"/>
                          <w:szCs w:val="16"/>
                          <w:u w:val="none"/>
                        </w:rPr>
                        <w:t>www.jabbnet.com</w:t>
                      </w:r>
                    </w:hyperlink>
                  </w:p>
                </w:txbxContent>
              </v:textbox>
            </v:shape>
          </w:pict>
        </mc:Fallback>
      </mc:AlternateContent>
    </w:r>
    <w:r>
      <w:rPr>
        <w:noProof/>
        <w:lang w:eastAsia="pt-BR"/>
      </w:rPr>
      <mc:AlternateContent>
        <mc:Choice Requires="wps">
          <w:drawing>
            <wp:anchor distT="0" distB="0" distL="114300" distR="114300" simplePos="0" relativeHeight="251693056" behindDoc="0" locked="0" layoutInCell="1" allowOverlap="1" wp14:anchorId="073A3F6C" wp14:editId="609FD90A">
              <wp:simplePos x="0" y="0"/>
              <wp:positionH relativeFrom="column">
                <wp:posOffset>-80010</wp:posOffset>
              </wp:positionH>
              <wp:positionV relativeFrom="paragraph">
                <wp:posOffset>1270</wp:posOffset>
              </wp:positionV>
              <wp:extent cx="2216150" cy="367030"/>
              <wp:effectExtent l="3175" t="3810" r="0" b="635"/>
              <wp:wrapNone/>
              <wp:docPr id="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42705" w14:textId="77777777" w:rsidR="005705D6" w:rsidRDefault="005705D6" w:rsidP="00246C98">
                          <w:pPr>
                            <w:spacing w:after="0" w:line="240" w:lineRule="auto"/>
                            <w:rPr>
                              <w:rFonts w:ascii="Times New Roman" w:hAnsi="Times New Roman"/>
                              <w:color w:val="131413"/>
                              <w:sz w:val="16"/>
                              <w:szCs w:val="16"/>
                              <w:lang w:val="en-US"/>
                            </w:rPr>
                          </w:pPr>
                        </w:p>
                        <w:p w14:paraId="3B8994A1" w14:textId="04E322EB" w:rsidR="005705D6" w:rsidRPr="00885E53" w:rsidRDefault="00582B2E" w:rsidP="00246C98">
                          <w:pPr>
                            <w:spacing w:after="0" w:line="240" w:lineRule="auto"/>
                            <w:rPr>
                              <w:rFonts w:asciiTheme="minorHAnsi" w:hAnsiTheme="minorHAnsi" w:cstheme="minorHAnsi"/>
                              <w:color w:val="A6A6A6" w:themeColor="background1" w:themeShade="A6"/>
                              <w:sz w:val="20"/>
                              <w:szCs w:val="20"/>
                              <w:lang w:val="en-US"/>
                            </w:rPr>
                          </w:pPr>
                          <w:r>
                            <w:rPr>
                              <w:rFonts w:asciiTheme="minorHAnsi" w:hAnsiTheme="minorHAnsi" w:cstheme="minorHAnsi"/>
                              <w:bCs/>
                              <w:color w:val="A6A6A6" w:themeColor="background1" w:themeShade="A6"/>
                              <w:sz w:val="16"/>
                              <w:szCs w:val="16"/>
                              <w:lang w:val="hr-HR"/>
                            </w:rPr>
                            <w:t>XXXXX</w:t>
                          </w:r>
                          <w:r w:rsidR="00545EE0" w:rsidRPr="00C574FA">
                            <w:rPr>
                              <w:rFonts w:asciiTheme="minorHAnsi" w:hAnsiTheme="minorHAnsi" w:cstheme="minorHAnsi"/>
                              <w:color w:val="A6A6A6" w:themeColor="background1" w:themeShade="A6"/>
                              <w:sz w:val="16"/>
                              <w:szCs w:val="16"/>
                              <w:lang w:val="en-US"/>
                            </w:rPr>
                            <w:t xml:space="preserve"> </w:t>
                          </w:r>
                          <w:r w:rsidR="00545EE0">
                            <w:rPr>
                              <w:rFonts w:asciiTheme="minorHAnsi" w:hAnsiTheme="minorHAnsi" w:cstheme="minorHAnsi"/>
                              <w:color w:val="A6A6A6" w:themeColor="background1" w:themeShade="A6"/>
                              <w:sz w:val="16"/>
                              <w:szCs w:val="16"/>
                              <w:lang w:val="en-US"/>
                            </w:rPr>
                            <w:t>et al.</w:t>
                          </w:r>
                          <w:r w:rsidR="00CC60A2">
                            <w:rPr>
                              <w:rFonts w:asciiTheme="minorHAnsi" w:hAnsiTheme="minorHAnsi" w:cstheme="minorHAnsi"/>
                              <w:color w:val="A6A6A6" w:themeColor="background1" w:themeShade="A6"/>
                              <w:sz w:val="16"/>
                              <w:szCs w:val="16"/>
                              <w:lang w:val="en-US"/>
                            </w:rPr>
                            <w:t xml:space="preserve"> </w:t>
                          </w:r>
                          <w:r w:rsidR="005705D6" w:rsidRPr="00885E53">
                            <w:rPr>
                              <w:rFonts w:asciiTheme="minorHAnsi" w:hAnsiTheme="minorHAnsi" w:cstheme="minorHAnsi"/>
                              <w:color w:val="A6A6A6" w:themeColor="background1" w:themeShade="A6"/>
                              <w:sz w:val="16"/>
                              <w:szCs w:val="16"/>
                              <w:lang w:val="en-US"/>
                            </w:rPr>
                            <w:t>(202</w:t>
                          </w:r>
                          <w:r w:rsidR="004D3017">
                            <w:rPr>
                              <w:rFonts w:asciiTheme="minorHAnsi" w:hAnsiTheme="minorHAnsi" w:cstheme="minorHAnsi"/>
                              <w:color w:val="A6A6A6" w:themeColor="background1" w:themeShade="A6"/>
                              <w:sz w:val="16"/>
                              <w:szCs w:val="16"/>
                              <w:lang w:val="en-US"/>
                            </w:rPr>
                            <w:t>6</w:t>
                          </w:r>
                          <w:r w:rsidR="005705D6" w:rsidRPr="00885E53">
                            <w:rPr>
                              <w:rFonts w:asciiTheme="minorHAnsi" w:hAnsiTheme="minorHAnsi" w:cstheme="minorHAnsi"/>
                              <w:color w:val="A6A6A6" w:themeColor="background1" w:themeShade="A6"/>
                              <w:sz w:val="16"/>
                              <w:szCs w:val="16"/>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73A3F6C" id="Text Box 37" o:spid="_x0000_s1028" type="#_x0000_t202" style="position:absolute;margin-left:-6.3pt;margin-top:.1pt;width:174.5pt;height:28.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" filled="f" stroked="f">
              <v:textbox>
                <w:txbxContent>
                  <w:p w14:paraId="12F42705" w14:textId="77777777" w:rsidR="005705D6" w:rsidRDefault="005705D6" w:rsidP="00246C98">
                    <w:pPr>
                      <w:spacing w:after="0" w:line="240" w:lineRule="auto"/>
                      <w:rPr>
                        <w:rFonts w:ascii="Times New Roman" w:hAnsi="Times New Roman"/>
                        <w:color w:val="131413"/>
                        <w:sz w:val="16"/>
                        <w:szCs w:val="16"/>
                        <w:lang w:val="en-US"/>
                      </w:rPr>
                    </w:pPr>
                  </w:p>
                  <w:p w14:paraId="3B8994A1" w14:textId="04E322EB" w:rsidR="005705D6" w:rsidRPr="00885E53" w:rsidRDefault="00582B2E" w:rsidP="00246C98">
                    <w:pPr>
                      <w:spacing w:after="0" w:line="240" w:lineRule="auto"/>
                      <w:rPr>
                        <w:rFonts w:asciiTheme="minorHAnsi" w:hAnsiTheme="minorHAnsi" w:cstheme="minorHAnsi"/>
                        <w:color w:val="A6A6A6" w:themeColor="background1" w:themeShade="A6"/>
                        <w:sz w:val="20"/>
                        <w:szCs w:val="20"/>
                        <w:lang w:val="en-US"/>
                      </w:rPr>
                    </w:pPr>
                    <w:r>
                      <w:rPr>
                        <w:rFonts w:asciiTheme="minorHAnsi" w:hAnsiTheme="minorHAnsi" w:cstheme="minorHAnsi"/>
                        <w:bCs/>
                        <w:color w:val="A6A6A6" w:themeColor="background1" w:themeShade="A6"/>
                        <w:sz w:val="16"/>
                        <w:szCs w:val="16"/>
                        <w:lang w:val="hr-HR"/>
                      </w:rPr>
                      <w:t>XXXXX</w:t>
                    </w:r>
                    <w:r w:rsidR="00545EE0" w:rsidRPr="00C574FA">
                      <w:rPr>
                        <w:rFonts w:asciiTheme="minorHAnsi" w:hAnsiTheme="minorHAnsi" w:cstheme="minorHAnsi"/>
                        <w:color w:val="A6A6A6" w:themeColor="background1" w:themeShade="A6"/>
                        <w:sz w:val="16"/>
                        <w:szCs w:val="16"/>
                        <w:lang w:val="en-US"/>
                      </w:rPr>
                      <w:t xml:space="preserve"> </w:t>
                    </w:r>
                    <w:r w:rsidR="00545EE0">
                      <w:rPr>
                        <w:rFonts w:asciiTheme="minorHAnsi" w:hAnsiTheme="minorHAnsi" w:cstheme="minorHAnsi"/>
                        <w:color w:val="A6A6A6" w:themeColor="background1" w:themeShade="A6"/>
                        <w:sz w:val="16"/>
                        <w:szCs w:val="16"/>
                        <w:lang w:val="en-US"/>
                      </w:rPr>
                      <w:t>et al.</w:t>
                    </w:r>
                    <w:r w:rsidR="00CC60A2">
                      <w:rPr>
                        <w:rFonts w:asciiTheme="minorHAnsi" w:hAnsiTheme="minorHAnsi" w:cstheme="minorHAnsi"/>
                        <w:color w:val="A6A6A6" w:themeColor="background1" w:themeShade="A6"/>
                        <w:sz w:val="16"/>
                        <w:szCs w:val="16"/>
                        <w:lang w:val="en-US"/>
                      </w:rPr>
                      <w:t xml:space="preserve"> </w:t>
                    </w:r>
                    <w:r w:rsidR="005705D6" w:rsidRPr="00885E53">
                      <w:rPr>
                        <w:rFonts w:asciiTheme="minorHAnsi" w:hAnsiTheme="minorHAnsi" w:cstheme="minorHAnsi"/>
                        <w:color w:val="A6A6A6" w:themeColor="background1" w:themeShade="A6"/>
                        <w:sz w:val="16"/>
                        <w:szCs w:val="16"/>
                        <w:lang w:val="en-US"/>
                      </w:rPr>
                      <w:t>(202</w:t>
                    </w:r>
                    <w:r w:rsidR="004D3017">
                      <w:rPr>
                        <w:rFonts w:asciiTheme="minorHAnsi" w:hAnsiTheme="minorHAnsi" w:cstheme="minorHAnsi"/>
                        <w:color w:val="A6A6A6" w:themeColor="background1" w:themeShade="A6"/>
                        <w:sz w:val="16"/>
                        <w:szCs w:val="16"/>
                        <w:lang w:val="en-US"/>
                      </w:rPr>
                      <w:t>6</w:t>
                    </w:r>
                    <w:r w:rsidR="005705D6" w:rsidRPr="00885E53">
                      <w:rPr>
                        <w:rFonts w:asciiTheme="minorHAnsi" w:hAnsiTheme="minorHAnsi" w:cstheme="minorHAnsi"/>
                        <w:color w:val="A6A6A6" w:themeColor="background1" w:themeShade="A6"/>
                        <w:sz w:val="16"/>
                        <w:szCs w:val="16"/>
                        <w:lang w:val="en-US"/>
                      </w:rPr>
                      <w:t>)</w:t>
                    </w:r>
                  </w:p>
                </w:txbxContent>
              </v:textbox>
            </v:shape>
          </w:pict>
        </mc:Fallback>
      </mc:AlternateContent>
    </w:r>
  </w:p>
  <w:p w14:paraId="5369CDAC" w14:textId="70E62EEA" w:rsidR="005705D6" w:rsidRPr="00885E53" w:rsidRDefault="005705D6" w:rsidP="00885E53">
    <w:pPr>
      <w:pStyle w:val="Cabealho"/>
      <w:jc w:val="right"/>
      <w:rPr>
        <w:rFonts w:asciiTheme="minorHAnsi" w:hAnsiTheme="minorHAnsi" w:cstheme="minorHAnsi"/>
        <w:color w:val="A6A6A6" w:themeColor="background1" w:themeShade="A6"/>
        <w:sz w:val="16"/>
        <w:szCs w:val="16"/>
      </w:rPr>
    </w:pPr>
    <w:r w:rsidRPr="00885E53">
      <w:rPr>
        <w:rFonts w:asciiTheme="minorHAnsi" w:hAnsiTheme="minorHAnsi" w:cstheme="minorHAnsi"/>
        <w:color w:val="A6A6A6" w:themeColor="background1" w:themeShade="A6"/>
        <w:sz w:val="16"/>
        <w:szCs w:val="16"/>
      </w:rPr>
      <w:fldChar w:fldCharType="begin"/>
    </w:r>
    <w:r w:rsidRPr="00885E53">
      <w:rPr>
        <w:rFonts w:asciiTheme="minorHAnsi" w:hAnsiTheme="minorHAnsi" w:cstheme="minorHAnsi"/>
        <w:color w:val="A6A6A6" w:themeColor="background1" w:themeShade="A6"/>
        <w:sz w:val="16"/>
        <w:szCs w:val="16"/>
      </w:rPr>
      <w:instrText>PAGE   \* MERGEFORMAT</w:instrText>
    </w:r>
    <w:r w:rsidRPr="00885E53">
      <w:rPr>
        <w:rFonts w:asciiTheme="minorHAnsi" w:hAnsiTheme="minorHAnsi" w:cstheme="minorHAnsi"/>
        <w:color w:val="A6A6A6" w:themeColor="background1" w:themeShade="A6"/>
        <w:sz w:val="16"/>
        <w:szCs w:val="16"/>
      </w:rPr>
      <w:fldChar w:fldCharType="separate"/>
    </w:r>
    <w:r w:rsidR="00563845">
      <w:rPr>
        <w:rFonts w:asciiTheme="minorHAnsi" w:hAnsiTheme="minorHAnsi" w:cstheme="minorHAnsi"/>
        <w:noProof/>
        <w:color w:val="A6A6A6" w:themeColor="background1" w:themeShade="A6"/>
        <w:sz w:val="16"/>
        <w:szCs w:val="16"/>
      </w:rPr>
      <w:t>7</w:t>
    </w:r>
    <w:r w:rsidRPr="00885E53">
      <w:rPr>
        <w:rFonts w:asciiTheme="minorHAnsi" w:hAnsiTheme="minorHAnsi" w:cstheme="minorHAnsi"/>
        <w:color w:val="A6A6A6" w:themeColor="background1" w:themeShade="A6"/>
        <w:sz w:val="16"/>
        <w:szCs w:val="16"/>
      </w:rPr>
      <w:fldChar w:fldCharType="end"/>
    </w:r>
  </w:p>
  <w:p w14:paraId="1D041DF9" w14:textId="41FA98C8" w:rsidR="005705D6" w:rsidRDefault="005705D6" w:rsidP="00416E53">
    <w:pPr>
      <w:pStyle w:val="Cabealho"/>
      <w:tabs>
        <w:tab w:val="clear" w:pos="4252"/>
        <w:tab w:val="clear" w:pos="8504"/>
        <w:tab w:val="left" w:pos="1425"/>
      </w:tabs>
    </w:pPr>
    <w:r>
      <w:rPr>
        <w:noProof/>
        <w:lang w:eastAsia="pt-BR"/>
      </w:rPr>
      <mc:AlternateContent>
        <mc:Choice Requires="wps">
          <w:drawing>
            <wp:anchor distT="4294967295" distB="4294967295" distL="114300" distR="114300" simplePos="0" relativeHeight="251686912" behindDoc="0" locked="0" layoutInCell="1" allowOverlap="1" wp14:anchorId="6F56476C" wp14:editId="06D1D022">
              <wp:simplePos x="0" y="0"/>
              <wp:positionH relativeFrom="column">
                <wp:posOffset>13970</wp:posOffset>
              </wp:positionH>
              <wp:positionV relativeFrom="paragraph">
                <wp:posOffset>20320</wp:posOffset>
              </wp:positionV>
              <wp:extent cx="6443980" cy="0"/>
              <wp:effectExtent l="0" t="0" r="7620" b="12700"/>
              <wp:wrapNone/>
              <wp:docPr id="8"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3980"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57104E" id="_x0000_t32" coordsize="21600,21600" o:spt="32" o:oned="t" path="m,l21600,21600e" filled="f">
              <v:path arrowok="t" fillok="f" o:connecttype="none"/>
              <o:lock v:ext="edit" shapetype="t"/>
            </v:shapetype>
            <v:shape id="AutoShape 26" o:spid="_x0000_s1026" type="#_x0000_t32" style="position:absolute;margin-left:1.1pt;margin-top:1.6pt;width:507.4pt;height:0;z-index:251686912;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" strokecolor="#83150e"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18957" w14:textId="5FFC299D" w:rsidR="005705D6" w:rsidRDefault="005705D6" w:rsidP="004A7D25">
    <w:pPr>
      <w:pStyle w:val="Cabealho"/>
      <w:tabs>
        <w:tab w:val="clear" w:pos="4252"/>
        <w:tab w:val="clear" w:pos="8504"/>
        <w:tab w:val="left" w:pos="1425"/>
      </w:tabs>
    </w:pPr>
    <w:r>
      <w:rPr>
        <w:noProof/>
        <w:lang w:eastAsia="pt-BR"/>
      </w:rPr>
      <mc:AlternateContent>
        <mc:Choice Requires="wps">
          <w:drawing>
            <wp:anchor distT="0" distB="0" distL="114300" distR="114300" simplePos="0" relativeHeight="251697152" behindDoc="0" locked="0" layoutInCell="1" allowOverlap="1" wp14:anchorId="258D89D1" wp14:editId="603D11BC">
              <wp:simplePos x="0" y="0"/>
              <wp:positionH relativeFrom="margin">
                <wp:posOffset>2696301</wp:posOffset>
              </wp:positionH>
              <wp:positionV relativeFrom="paragraph">
                <wp:posOffset>316865</wp:posOffset>
              </wp:positionV>
              <wp:extent cx="3834130" cy="496850"/>
              <wp:effectExtent l="0" t="0" r="0" b="0"/>
              <wp:wrapNone/>
              <wp:docPr id="1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4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3E3E8" w14:textId="3AE24303" w:rsidR="005705D6" w:rsidRPr="004A7D25" w:rsidRDefault="006A3BB7" w:rsidP="002B1AB7">
                          <w:pPr>
                            <w:spacing w:after="0" w:line="240" w:lineRule="auto"/>
                            <w:jc w:val="right"/>
                            <w:rPr>
                              <w:rFonts w:cs="Calibri"/>
                              <w:b/>
                              <w:i/>
                              <w:color w:val="808080" w:themeColor="background1" w:themeShade="80"/>
                              <w:sz w:val="20"/>
                              <w:szCs w:val="20"/>
                              <w:lang w:val="en-US"/>
                            </w:rPr>
                          </w:pPr>
                          <w:r>
                            <w:rPr>
                              <w:rFonts w:cs="Calibri"/>
                              <w:b/>
                              <w:i/>
                              <w:color w:val="808080" w:themeColor="background1" w:themeShade="80"/>
                              <w:sz w:val="20"/>
                              <w:szCs w:val="20"/>
                              <w:highlight w:val="yellow"/>
                              <w:lang w:val="en-US"/>
                            </w:rPr>
                            <w:t>TYPE OF THE PAPER</w:t>
                          </w:r>
                        </w:p>
                        <w:p w14:paraId="20FB2528" w14:textId="2B7E54A9" w:rsidR="005705D6" w:rsidRPr="004A7D25" w:rsidRDefault="005705D6" w:rsidP="002B1AB7">
                          <w:pPr>
                            <w:spacing w:after="0" w:line="240" w:lineRule="auto"/>
                            <w:jc w:val="right"/>
                            <w:rPr>
                              <w:rFonts w:cs="Calibri"/>
                              <w:color w:val="808080" w:themeColor="background1" w:themeShade="80"/>
                              <w:sz w:val="16"/>
                              <w:szCs w:val="16"/>
                              <w:lang w:val="en-US"/>
                            </w:rPr>
                          </w:pPr>
                          <w:r w:rsidRPr="00A46664">
                            <w:rPr>
                              <w:rFonts w:cs="Calibri"/>
                              <w:color w:val="808080" w:themeColor="background1" w:themeShade="80"/>
                              <w:sz w:val="16"/>
                              <w:szCs w:val="16"/>
                              <w:highlight w:val="yellow"/>
                              <w:lang w:val="en-US"/>
                            </w:rPr>
                            <w:t xml:space="preserve">Published Online: </w:t>
                          </w:r>
                          <w:r w:rsidR="00582B2E">
                            <w:rPr>
                              <w:rFonts w:cs="Calibri"/>
                              <w:color w:val="808080" w:themeColor="background1" w:themeShade="80"/>
                              <w:sz w:val="16"/>
                              <w:szCs w:val="16"/>
                              <w:highlight w:val="yellow"/>
                              <w:lang w:val="en-US"/>
                            </w:rPr>
                            <w:t>XXXX</w:t>
                          </w:r>
                          <w:r w:rsidR="0048208B" w:rsidRPr="00A46664">
                            <w:rPr>
                              <w:rFonts w:cs="Calibri"/>
                              <w:color w:val="808080" w:themeColor="background1" w:themeShade="80"/>
                              <w:sz w:val="16"/>
                              <w:szCs w:val="16"/>
                              <w:highlight w:val="yellow"/>
                              <w:lang w:val="en-US"/>
                            </w:rPr>
                            <w:t xml:space="preserve"> </w:t>
                          </w:r>
                          <w:r w:rsidR="00A46664" w:rsidRPr="00A46664">
                            <w:rPr>
                              <w:rFonts w:cs="Calibri"/>
                              <w:color w:val="808080" w:themeColor="background1" w:themeShade="80"/>
                              <w:sz w:val="16"/>
                              <w:szCs w:val="16"/>
                              <w:highlight w:val="yellow"/>
                              <w:lang w:val="en-US"/>
                            </w:rPr>
                            <w:t>xx</w:t>
                          </w:r>
                          <w:r w:rsidRPr="00A46664">
                            <w:rPr>
                              <w:rFonts w:cs="Calibri"/>
                              <w:color w:val="808080" w:themeColor="background1" w:themeShade="80"/>
                              <w:sz w:val="16"/>
                              <w:szCs w:val="16"/>
                              <w:highlight w:val="yellow"/>
                              <w:lang w:val="en-US"/>
                            </w:rPr>
                            <w:t>, 202</w:t>
                          </w:r>
                          <w:r w:rsidR="004D3017">
                            <w:rPr>
                              <w:rFonts w:cs="Calibri"/>
                              <w:color w:val="808080" w:themeColor="background1" w:themeShade="80"/>
                              <w:sz w:val="16"/>
                              <w:szCs w:val="16"/>
                              <w:lang w:val="en-US"/>
                            </w:rPr>
                            <w:t>6</w:t>
                          </w:r>
                        </w:p>
                        <w:p w14:paraId="14C29484" w14:textId="126A2B12" w:rsidR="005705D6" w:rsidRPr="00DD2D9C" w:rsidRDefault="00570226" w:rsidP="002B1AB7">
                          <w:pPr>
                            <w:spacing w:after="0" w:line="240" w:lineRule="auto"/>
                            <w:jc w:val="right"/>
                            <w:rPr>
                              <w:rFonts w:cs="Calibri"/>
                              <w:color w:val="808080" w:themeColor="background1" w:themeShade="80"/>
                              <w:sz w:val="20"/>
                              <w:szCs w:val="20"/>
                              <w:lang w:val="en-US"/>
                            </w:rPr>
                          </w:pPr>
                          <w:hyperlink r:id="rId1" w:history="1">
                            <w:r w:rsidR="004D3017">
                              <w:rPr>
                                <w:rStyle w:val="Hyperlink"/>
                                <w:rFonts w:cs="Calibri"/>
                                <w:color w:val="808080" w:themeColor="background1" w:themeShade="80"/>
                                <w:sz w:val="16"/>
                                <w:szCs w:val="16"/>
                                <w:highlight w:val="yellow"/>
                                <w:u w:val="none"/>
                                <w:lang w:val="en-US"/>
                              </w:rPr>
                              <w:t>https://doi.org/10.31893/multiscience.2026xxx</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D89D1" id="_x0000_t202" coordsize="21600,21600" o:spt="202" path="m,l,21600r21600,l21600,xe">
              <v:stroke joinstyle="miter"/>
              <v:path gradientshapeok="t" o:connecttype="rect"/>
            </v:shapetype>
            <v:shape id="_x0000_s1030" type="#_x0000_t202" style="position:absolute;margin-left:212.3pt;margin-top:24.95pt;width:301.9pt;height:39.1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" filled="f" stroked="f">
              <v:textbox>
                <w:txbxContent>
                  <w:p w14:paraId="4873E3E8" w14:textId="3AE24303" w:rsidR="005705D6" w:rsidRPr="004A7D25" w:rsidRDefault="006A3BB7" w:rsidP="002B1AB7">
                    <w:pPr>
                      <w:spacing w:after="0" w:line="240" w:lineRule="auto"/>
                      <w:jc w:val="right"/>
                      <w:rPr>
                        <w:rFonts w:cs="Calibri"/>
                        <w:b/>
                        <w:i/>
                        <w:color w:val="808080" w:themeColor="background1" w:themeShade="80"/>
                        <w:sz w:val="20"/>
                        <w:szCs w:val="20"/>
                        <w:lang w:val="en-US"/>
                      </w:rPr>
                    </w:pPr>
                    <w:r>
                      <w:rPr>
                        <w:rFonts w:cs="Calibri"/>
                        <w:b/>
                        <w:i/>
                        <w:color w:val="808080" w:themeColor="background1" w:themeShade="80"/>
                        <w:sz w:val="20"/>
                        <w:szCs w:val="20"/>
                        <w:highlight w:val="yellow"/>
                        <w:lang w:val="en-US"/>
                      </w:rPr>
                      <w:t>TYPE OF THE PAPER</w:t>
                    </w:r>
                  </w:p>
                  <w:p w14:paraId="20FB2528" w14:textId="2B7E54A9" w:rsidR="005705D6" w:rsidRPr="004A7D25" w:rsidRDefault="005705D6" w:rsidP="002B1AB7">
                    <w:pPr>
                      <w:spacing w:after="0" w:line="240" w:lineRule="auto"/>
                      <w:jc w:val="right"/>
                      <w:rPr>
                        <w:rFonts w:cs="Calibri"/>
                        <w:color w:val="808080" w:themeColor="background1" w:themeShade="80"/>
                        <w:sz w:val="16"/>
                        <w:szCs w:val="16"/>
                        <w:lang w:val="en-US"/>
                      </w:rPr>
                    </w:pPr>
                    <w:r w:rsidRPr="00A46664">
                      <w:rPr>
                        <w:rFonts w:cs="Calibri"/>
                        <w:color w:val="808080" w:themeColor="background1" w:themeShade="80"/>
                        <w:sz w:val="16"/>
                        <w:szCs w:val="16"/>
                        <w:highlight w:val="yellow"/>
                        <w:lang w:val="en-US"/>
                      </w:rPr>
                      <w:t xml:space="preserve">Published Online: </w:t>
                    </w:r>
                    <w:r w:rsidR="00582B2E">
                      <w:rPr>
                        <w:rFonts w:cs="Calibri"/>
                        <w:color w:val="808080" w:themeColor="background1" w:themeShade="80"/>
                        <w:sz w:val="16"/>
                        <w:szCs w:val="16"/>
                        <w:highlight w:val="yellow"/>
                        <w:lang w:val="en-US"/>
                      </w:rPr>
                      <w:t>XXXX</w:t>
                    </w:r>
                    <w:r w:rsidR="0048208B" w:rsidRPr="00A46664">
                      <w:rPr>
                        <w:rFonts w:cs="Calibri"/>
                        <w:color w:val="808080" w:themeColor="background1" w:themeShade="80"/>
                        <w:sz w:val="16"/>
                        <w:szCs w:val="16"/>
                        <w:highlight w:val="yellow"/>
                        <w:lang w:val="en-US"/>
                      </w:rPr>
                      <w:t xml:space="preserve"> </w:t>
                    </w:r>
                    <w:r w:rsidR="00A46664" w:rsidRPr="00A46664">
                      <w:rPr>
                        <w:rFonts w:cs="Calibri"/>
                        <w:color w:val="808080" w:themeColor="background1" w:themeShade="80"/>
                        <w:sz w:val="16"/>
                        <w:szCs w:val="16"/>
                        <w:highlight w:val="yellow"/>
                        <w:lang w:val="en-US"/>
                      </w:rPr>
                      <w:t>xx</w:t>
                    </w:r>
                    <w:r w:rsidRPr="00A46664">
                      <w:rPr>
                        <w:rFonts w:cs="Calibri"/>
                        <w:color w:val="808080" w:themeColor="background1" w:themeShade="80"/>
                        <w:sz w:val="16"/>
                        <w:szCs w:val="16"/>
                        <w:highlight w:val="yellow"/>
                        <w:lang w:val="en-US"/>
                      </w:rPr>
                      <w:t>, 202</w:t>
                    </w:r>
                    <w:r w:rsidR="004D3017">
                      <w:rPr>
                        <w:rFonts w:cs="Calibri"/>
                        <w:color w:val="808080" w:themeColor="background1" w:themeShade="80"/>
                        <w:sz w:val="16"/>
                        <w:szCs w:val="16"/>
                        <w:lang w:val="en-US"/>
                      </w:rPr>
                      <w:t>6</w:t>
                    </w:r>
                  </w:p>
                  <w:p w14:paraId="14C29484" w14:textId="126A2B12" w:rsidR="005705D6" w:rsidRPr="00DD2D9C" w:rsidRDefault="00570226" w:rsidP="002B1AB7">
                    <w:pPr>
                      <w:spacing w:after="0" w:line="240" w:lineRule="auto"/>
                      <w:jc w:val="right"/>
                      <w:rPr>
                        <w:rFonts w:cs="Calibri"/>
                        <w:color w:val="808080" w:themeColor="background1" w:themeShade="80"/>
                        <w:sz w:val="20"/>
                        <w:szCs w:val="20"/>
                        <w:lang w:val="en-US"/>
                      </w:rPr>
                    </w:pPr>
                    <w:hyperlink r:id="rId2" w:history="1">
                      <w:r w:rsidR="004D3017">
                        <w:rPr>
                          <w:rStyle w:val="Hyperlink"/>
                          <w:rFonts w:cs="Calibri"/>
                          <w:color w:val="808080" w:themeColor="background1" w:themeShade="80"/>
                          <w:sz w:val="16"/>
                          <w:szCs w:val="16"/>
                          <w:highlight w:val="yellow"/>
                          <w:u w:val="none"/>
                          <w:lang w:val="en-US"/>
                        </w:rPr>
                        <w:t>https://doi.org/10.31893/multiscience.2026xxx</w:t>
                      </w:r>
                    </w:hyperlink>
                  </w:p>
                </w:txbxContent>
              </v:textbox>
              <w10:wrap anchorx="margin"/>
            </v:shape>
          </w:pict>
        </mc:Fallback>
      </mc:AlternateContent>
    </w:r>
    <w:r w:rsidR="00A94872">
      <w:rPr>
        <w:noProof/>
      </w:rPr>
      <w:drawing>
        <wp:inline distT="0" distB="0" distL="0" distR="0" wp14:anchorId="67D55E13" wp14:editId="57142FE4">
          <wp:extent cx="2660015" cy="783569"/>
          <wp:effectExtent l="0" t="0" r="0" b="4445"/>
          <wp:docPr id="2" name="Imagem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a:hlinkClick r:id="rId3"/>
                  </pic:cNvPr>
                  <pic:cNvPicPr/>
                </pic:nvPicPr>
                <pic:blipFill rotWithShape="1">
                  <a:blip r:embed="rId4">
                    <a:extLst>
                      <a:ext uri="{28A0092B-C50C-407E-A947-70E740481C1C}">
                        <a14:useLocalDpi xmlns:a14="http://schemas.microsoft.com/office/drawing/2010/main" val="0"/>
                      </a:ext>
                    </a:extLst>
                  </a:blip>
                  <a:srcRect t="14871" b="23077"/>
                  <a:stretch/>
                </pic:blipFill>
                <pic:spPr bwMode="auto">
                  <a:xfrm>
                    <a:off x="0" y="0"/>
                    <a:ext cx="2698928" cy="795032"/>
                  </a:xfrm>
                  <a:prstGeom prst="rect">
                    <a:avLst/>
                  </a:prstGeom>
                  <a:ln>
                    <a:noFill/>
                  </a:ln>
                  <a:extLst>
                    <a:ext uri="{53640926-AAD7-44D8-BBD7-CCE9431645EC}">
                      <a14:shadowObscured xmlns:a14="http://schemas.microsoft.com/office/drawing/2010/main"/>
                    </a:ext>
                  </a:extLst>
                </pic:spPr>
              </pic:pic>
            </a:graphicData>
          </a:graphic>
        </wp:inline>
      </w:drawing>
    </w:r>
  </w:p>
  <w:p w14:paraId="0EEE8F0C" w14:textId="150244FB" w:rsidR="005705D6" w:rsidRDefault="005705D6">
    <w:pPr>
      <w:pStyle w:val="Cabealho"/>
    </w:pPr>
    <w:r w:rsidRPr="00A94872">
      <w:rPr>
        <w:noProof/>
        <w:highlight w:val="darkRed"/>
        <w:lang w:eastAsia="pt-BR"/>
      </w:rPr>
      <mc:AlternateContent>
        <mc:Choice Requires="wps">
          <w:drawing>
            <wp:anchor distT="4294967295" distB="4294967295" distL="114300" distR="114300" simplePos="0" relativeHeight="251695104" behindDoc="0" locked="0" layoutInCell="1" allowOverlap="1" wp14:anchorId="650D6A51" wp14:editId="45D652DF">
              <wp:simplePos x="0" y="0"/>
              <wp:positionH relativeFrom="column">
                <wp:posOffset>23072</wp:posOffset>
              </wp:positionH>
              <wp:positionV relativeFrom="paragraph">
                <wp:posOffset>52070</wp:posOffset>
              </wp:positionV>
              <wp:extent cx="6417945" cy="0"/>
              <wp:effectExtent l="0" t="0" r="8255" b="12700"/>
              <wp:wrapNone/>
              <wp:docPr id="3"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945"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B81E20" id="_x0000_t32" coordsize="21600,21600" o:spt="32" o:oned="t" path="m,l21600,21600e" filled="f">
              <v:path arrowok="t" fillok="f" o:connecttype="none"/>
              <o:lock v:ext="edit" shapetype="t"/>
            </v:shapetype>
            <v:shape id="AutoShape 29" o:spid="_x0000_s1026" type="#_x0000_t32" style="position:absolute;margin-left:1.8pt;margin-top:4.1pt;width:505.35pt;height:0;z-index:251695104;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" strokecolor="#83150e"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DDA8D8E"/>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3863477"/>
    <w:multiLevelType w:val="multilevel"/>
    <w:tmpl w:val="06788DA6"/>
    <w:lvl w:ilvl="0">
      <w:start w:val="3"/>
      <w:numFmt w:val="decimal"/>
      <w:lvlText w:val="%1."/>
      <w:lvlJc w:val="left"/>
      <w:pPr>
        <w:ind w:left="360" w:hanging="360"/>
      </w:pPr>
      <w:rPr>
        <w:rFonts w:hint="default"/>
        <w:sz w:val="20"/>
      </w:rPr>
    </w:lvl>
    <w:lvl w:ilvl="1">
      <w:start w:val="9"/>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2" w15:restartNumberingAfterBreak="0">
    <w:nsid w:val="22635DC2"/>
    <w:multiLevelType w:val="multilevel"/>
    <w:tmpl w:val="3426270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6D278B4"/>
    <w:multiLevelType w:val="hybridMultilevel"/>
    <w:tmpl w:val="D274517A"/>
    <w:styleLink w:val="Nmero"/>
    <w:lvl w:ilvl="0" w:tplc="4D08BDBC">
      <w:start w:val="1"/>
      <w:numFmt w:val="decimal"/>
      <w:lvlText w:val="%1."/>
      <w:lvlJc w:val="left"/>
      <w:pPr>
        <w:ind w:left="327" w:hanging="327"/>
      </w:pPr>
      <w:rPr>
        <w:rFonts w:hAnsi="Arial Unicode MS"/>
        <w:caps w:val="0"/>
        <w:smallCaps w:val="0"/>
        <w:strike w:val="0"/>
        <w:dstrike w:val="0"/>
        <w:spacing w:val="0"/>
        <w:w w:val="100"/>
        <w:kern w:val="0"/>
        <w:position w:val="0"/>
        <w:highlight w:val="none"/>
        <w:vertAlign w:val="baseline"/>
      </w:rPr>
    </w:lvl>
    <w:lvl w:ilvl="1" w:tplc="5EEE58DA">
      <w:start w:val="1"/>
      <w:numFmt w:val="decimal"/>
      <w:lvlText w:val="%2."/>
      <w:lvlJc w:val="left"/>
      <w:pPr>
        <w:ind w:left="627" w:hanging="327"/>
      </w:pPr>
      <w:rPr>
        <w:rFonts w:hAnsi="Arial Unicode MS"/>
        <w:caps w:val="0"/>
        <w:smallCaps w:val="0"/>
        <w:strike w:val="0"/>
        <w:dstrike w:val="0"/>
        <w:spacing w:val="0"/>
        <w:w w:val="100"/>
        <w:kern w:val="0"/>
        <w:position w:val="0"/>
        <w:highlight w:val="none"/>
        <w:vertAlign w:val="baseline"/>
      </w:rPr>
    </w:lvl>
    <w:lvl w:ilvl="2" w:tplc="3CA02042">
      <w:start w:val="1"/>
      <w:numFmt w:val="decimal"/>
      <w:lvlText w:val="%3."/>
      <w:lvlJc w:val="left"/>
      <w:pPr>
        <w:ind w:left="898" w:hanging="298"/>
      </w:pPr>
      <w:rPr>
        <w:rFonts w:hAnsi="Arial Unicode MS"/>
        <w:caps w:val="0"/>
        <w:smallCaps w:val="0"/>
        <w:strike w:val="0"/>
        <w:dstrike w:val="0"/>
        <w:color w:val="000000"/>
        <w:spacing w:val="0"/>
        <w:w w:val="100"/>
        <w:kern w:val="0"/>
        <w:position w:val="0"/>
        <w:highlight w:val="none"/>
        <w:vertAlign w:val="baseline"/>
      </w:rPr>
    </w:lvl>
    <w:lvl w:ilvl="3" w:tplc="103874C6">
      <w:start w:val="1"/>
      <w:numFmt w:val="decimal"/>
      <w:lvlText w:val="%4."/>
      <w:lvlJc w:val="left"/>
      <w:pPr>
        <w:ind w:left="1227" w:hanging="327"/>
      </w:pPr>
      <w:rPr>
        <w:rFonts w:hAnsi="Arial Unicode MS"/>
        <w:caps w:val="0"/>
        <w:smallCaps w:val="0"/>
        <w:strike w:val="0"/>
        <w:dstrike w:val="0"/>
        <w:color w:val="000000"/>
        <w:spacing w:val="0"/>
        <w:w w:val="100"/>
        <w:kern w:val="0"/>
        <w:position w:val="0"/>
        <w:highlight w:val="none"/>
        <w:vertAlign w:val="baseline"/>
      </w:rPr>
    </w:lvl>
    <w:lvl w:ilvl="4" w:tplc="4D7616C0">
      <w:start w:val="1"/>
      <w:numFmt w:val="decimal"/>
      <w:lvlText w:val="%5."/>
      <w:lvlJc w:val="left"/>
      <w:pPr>
        <w:ind w:left="1527" w:hanging="327"/>
      </w:pPr>
      <w:rPr>
        <w:rFonts w:hAnsi="Arial Unicode MS"/>
        <w:caps w:val="0"/>
        <w:smallCaps w:val="0"/>
        <w:strike w:val="0"/>
        <w:dstrike w:val="0"/>
        <w:color w:val="000000"/>
        <w:spacing w:val="0"/>
        <w:w w:val="100"/>
        <w:kern w:val="0"/>
        <w:position w:val="0"/>
        <w:highlight w:val="none"/>
        <w:vertAlign w:val="baseline"/>
      </w:rPr>
    </w:lvl>
    <w:lvl w:ilvl="5" w:tplc="2E6C7344">
      <w:start w:val="1"/>
      <w:numFmt w:val="decimal"/>
      <w:lvlText w:val="%6."/>
      <w:lvlJc w:val="left"/>
      <w:pPr>
        <w:ind w:left="1827" w:hanging="327"/>
      </w:pPr>
      <w:rPr>
        <w:rFonts w:hAnsi="Arial Unicode MS"/>
        <w:caps w:val="0"/>
        <w:smallCaps w:val="0"/>
        <w:strike w:val="0"/>
        <w:dstrike w:val="0"/>
        <w:color w:val="000000"/>
        <w:spacing w:val="0"/>
        <w:w w:val="100"/>
        <w:kern w:val="0"/>
        <w:position w:val="0"/>
        <w:highlight w:val="none"/>
        <w:vertAlign w:val="baseline"/>
      </w:rPr>
    </w:lvl>
    <w:lvl w:ilvl="6" w:tplc="908E3280">
      <w:start w:val="1"/>
      <w:numFmt w:val="decimal"/>
      <w:lvlText w:val="%7."/>
      <w:lvlJc w:val="left"/>
      <w:pPr>
        <w:ind w:left="2127" w:hanging="327"/>
      </w:pPr>
      <w:rPr>
        <w:rFonts w:hAnsi="Arial Unicode MS"/>
        <w:caps w:val="0"/>
        <w:smallCaps w:val="0"/>
        <w:strike w:val="0"/>
        <w:dstrike w:val="0"/>
        <w:color w:val="000000"/>
        <w:spacing w:val="0"/>
        <w:w w:val="100"/>
        <w:kern w:val="0"/>
        <w:position w:val="0"/>
        <w:highlight w:val="none"/>
        <w:vertAlign w:val="baseline"/>
      </w:rPr>
    </w:lvl>
    <w:lvl w:ilvl="7" w:tplc="AC74834C">
      <w:start w:val="1"/>
      <w:numFmt w:val="decimal"/>
      <w:lvlText w:val="%8."/>
      <w:lvlJc w:val="left"/>
      <w:pPr>
        <w:ind w:left="2427" w:hanging="327"/>
      </w:pPr>
      <w:rPr>
        <w:rFonts w:hAnsi="Arial Unicode MS"/>
        <w:caps w:val="0"/>
        <w:smallCaps w:val="0"/>
        <w:strike w:val="0"/>
        <w:dstrike w:val="0"/>
        <w:color w:val="000000"/>
        <w:spacing w:val="0"/>
        <w:w w:val="100"/>
        <w:kern w:val="0"/>
        <w:position w:val="0"/>
        <w:highlight w:val="none"/>
        <w:vertAlign w:val="baseline"/>
      </w:rPr>
    </w:lvl>
    <w:lvl w:ilvl="8" w:tplc="A0D246A2">
      <w:start w:val="1"/>
      <w:numFmt w:val="decimal"/>
      <w:lvlText w:val="%9."/>
      <w:lvlJc w:val="left"/>
      <w:pPr>
        <w:ind w:left="2727" w:hanging="327"/>
      </w:pPr>
      <w:rPr>
        <w:rFonts w:hAnsi="Arial Unicode MS"/>
        <w:caps w:val="0"/>
        <w:smallCaps w:val="0"/>
        <w:strike w:val="0"/>
        <w:dstrike w:val="0"/>
        <w:color w:val="000000"/>
        <w:spacing w:val="0"/>
        <w:w w:val="100"/>
        <w:kern w:val="0"/>
        <w:position w:val="0"/>
        <w:highlight w:val="none"/>
        <w:vertAlign w:val="baseline"/>
      </w:rPr>
    </w:lvl>
  </w:abstractNum>
  <w:abstractNum w:abstractNumId="4" w15:restartNumberingAfterBreak="0">
    <w:nsid w:val="56E60C97"/>
    <w:multiLevelType w:val="multilevel"/>
    <w:tmpl w:val="5C7EA836"/>
    <w:lvl w:ilvl="0">
      <w:start w:val="4"/>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5" w15:restartNumberingAfterBreak="0">
    <w:nsid w:val="63EC2FBB"/>
    <w:multiLevelType w:val="multilevel"/>
    <w:tmpl w:val="C2163D8A"/>
    <w:lvl w:ilvl="0">
      <w:start w:val="1"/>
      <w:numFmt w:val="decimal"/>
      <w:suff w:val="space"/>
      <w:lvlText w:val="%1."/>
      <w:lvlJc w:val="left"/>
      <w:pPr>
        <w:ind w:left="-247" w:firstLine="247"/>
      </w:pPr>
      <w:rPr>
        <w:rFonts w:hint="default"/>
        <w:b/>
      </w:rPr>
    </w:lvl>
    <w:lvl w:ilvl="1">
      <w:start w:val="1"/>
      <w:numFmt w:val="decimal"/>
      <w:isLgl/>
      <w:lvlText w:val="%1.%2."/>
      <w:lvlJc w:val="left"/>
      <w:pPr>
        <w:ind w:left="360" w:hanging="360"/>
      </w:pPr>
      <w:rPr>
        <w:rFonts w:hint="default"/>
        <w:sz w:val="20"/>
      </w:rPr>
    </w:lvl>
    <w:lvl w:ilvl="2">
      <w:start w:val="1"/>
      <w:numFmt w:val="decimal"/>
      <w:isLgl/>
      <w:lvlText w:val="%1.%2.%3."/>
      <w:lvlJc w:val="left"/>
      <w:pPr>
        <w:ind w:left="0" w:firstLine="0"/>
      </w:pPr>
      <w:rPr>
        <w:rFonts w:hint="default"/>
        <w:sz w:val="20"/>
      </w:rPr>
    </w:lvl>
    <w:lvl w:ilvl="3">
      <w:start w:val="1"/>
      <w:numFmt w:val="decimal"/>
      <w:isLgl/>
      <w:lvlText w:val="%1.%2.%3.%4."/>
      <w:lvlJc w:val="left"/>
      <w:pPr>
        <w:ind w:left="360" w:hanging="360"/>
      </w:pPr>
      <w:rPr>
        <w:rFonts w:hint="default"/>
        <w:sz w:val="20"/>
      </w:rPr>
    </w:lvl>
    <w:lvl w:ilvl="4">
      <w:start w:val="1"/>
      <w:numFmt w:val="decimal"/>
      <w:isLgl/>
      <w:lvlText w:val="%1.%2.%3.%4.%5."/>
      <w:lvlJc w:val="left"/>
      <w:pPr>
        <w:ind w:left="720" w:hanging="720"/>
      </w:pPr>
      <w:rPr>
        <w:rFonts w:hint="default"/>
        <w:sz w:val="20"/>
      </w:rPr>
    </w:lvl>
    <w:lvl w:ilvl="5">
      <w:start w:val="1"/>
      <w:numFmt w:val="decimal"/>
      <w:isLgl/>
      <w:lvlText w:val="%1.%2.%3.%4.%5.%6."/>
      <w:lvlJc w:val="left"/>
      <w:pPr>
        <w:ind w:left="720" w:hanging="720"/>
      </w:pPr>
      <w:rPr>
        <w:rFonts w:hint="default"/>
        <w:sz w:val="20"/>
      </w:rPr>
    </w:lvl>
    <w:lvl w:ilvl="6">
      <w:start w:val="1"/>
      <w:numFmt w:val="decimal"/>
      <w:isLgl/>
      <w:lvlText w:val="%1.%2.%3.%4.%5.%6.%7."/>
      <w:lvlJc w:val="left"/>
      <w:pPr>
        <w:ind w:left="720" w:hanging="720"/>
      </w:pPr>
      <w:rPr>
        <w:rFonts w:hint="default"/>
        <w:sz w:val="20"/>
      </w:rPr>
    </w:lvl>
    <w:lvl w:ilvl="7">
      <w:start w:val="1"/>
      <w:numFmt w:val="decimal"/>
      <w:isLgl/>
      <w:lvlText w:val="%1.%2.%3.%4.%5.%6.%7.%8."/>
      <w:lvlJc w:val="left"/>
      <w:pPr>
        <w:ind w:left="720" w:hanging="720"/>
      </w:pPr>
      <w:rPr>
        <w:rFonts w:hint="default"/>
        <w:sz w:val="20"/>
      </w:rPr>
    </w:lvl>
    <w:lvl w:ilvl="8">
      <w:start w:val="1"/>
      <w:numFmt w:val="decimal"/>
      <w:isLgl/>
      <w:lvlText w:val="%1.%2.%3.%4.%5.%6.%7.%8.%9."/>
      <w:lvlJc w:val="left"/>
      <w:pPr>
        <w:ind w:left="1080" w:hanging="1080"/>
      </w:pPr>
      <w:rPr>
        <w:rFonts w:hint="default"/>
        <w:sz w:val="20"/>
      </w:rPr>
    </w:lvl>
  </w:abstractNum>
  <w:abstractNum w:abstractNumId="6" w15:restartNumberingAfterBreak="0">
    <w:nsid w:val="7A2653C9"/>
    <w:multiLevelType w:val="multilevel"/>
    <w:tmpl w:val="04DAA218"/>
    <w:lvl w:ilvl="0">
      <w:start w:val="3"/>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7" w15:restartNumberingAfterBreak="0">
    <w:nsid w:val="7D7F5595"/>
    <w:multiLevelType w:val="multilevel"/>
    <w:tmpl w:val="04DAA218"/>
    <w:lvl w:ilvl="0">
      <w:start w:val="4"/>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num w:numId="1">
    <w:abstractNumId w:val="0"/>
  </w:num>
  <w:num w:numId="2">
    <w:abstractNumId w:val="3"/>
  </w:num>
  <w:num w:numId="3">
    <w:abstractNumId w:val="5"/>
  </w:num>
  <w:num w:numId="4">
    <w:abstractNumId w:val="2"/>
  </w:num>
  <w:num w:numId="5">
    <w:abstractNumId w:val="6"/>
  </w:num>
  <w:num w:numId="6">
    <w:abstractNumId w:val="7"/>
  </w:num>
  <w:num w:numId="7">
    <w:abstractNumId w:val="1"/>
  </w:num>
  <w:num w:numId="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hideSpellingErrors/>
  <w:hideGrammaticalErrors/>
  <w:activeWritingStyle w:appName="MSWord" w:lang="pt-BR" w:vendorID="64" w:dllVersion="6" w:nlCheck="1" w:checkStyle="0"/>
  <w:activeWritingStyle w:appName="MSWord" w:lang="en-US" w:vendorID="64" w:dllVersion="6" w:nlCheck="1" w:checkStyle="0"/>
  <w:activeWritingStyle w:appName="MSWord" w:lang="es-MX" w:vendorID="64" w:dllVersion="6" w:nlCheck="1" w:checkStyle="1"/>
  <w:activeWritingStyle w:appName="MSWord" w:lang="en-GB" w:vendorID="64" w:dllVersion="6" w:nlCheck="1" w:checkStyle="1"/>
  <w:activeWritingStyle w:appName="MSWord" w:lang="es-ES_tradnl" w:vendorID="64" w:dllVersion="6" w:nlCheck="1" w:checkStyle="1"/>
  <w:activeWritingStyle w:appName="MSWord" w:lang="en-AU" w:vendorID="64" w:dllVersion="6" w:nlCheck="1" w:checkStyle="1"/>
  <w:activeWritingStyle w:appName="MSWord" w:lang="es-ES" w:vendorID="64" w:dllVersion="6" w:nlCheck="1" w:checkStyle="0"/>
  <w:activeWritingStyle w:appName="MSWord" w:lang="es-CO" w:vendorID="64" w:dllVersion="6" w:nlCheck="1" w:checkStyle="1"/>
  <w:activeWritingStyle w:appName="MSWord" w:lang="es-US" w:vendorID="64" w:dllVersion="6" w:nlCheck="1" w:checkStyle="1"/>
  <w:activeWritingStyle w:appName="MSWord" w:lang="en-US" w:vendorID="64" w:dllVersion="4096" w:nlCheck="1" w:checkStyle="0"/>
  <w:activeWritingStyle w:appName="MSWord" w:lang="pt-BR" w:vendorID="64" w:dllVersion="4096" w:nlCheck="1" w:checkStyle="0"/>
  <w:activeWritingStyle w:appName="MSWord" w:lang="fr-FR" w:vendorID="64" w:dllVersion="4096" w:nlCheck="1" w:checkStyle="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I2s7Q0MDUyMLIwNjFS0lEKTi0uzszPAymwMKkFAOKdTBktAAAA"/>
  </w:docVars>
  <w:rsids>
    <w:rsidRoot w:val="00201BED"/>
    <w:rsid w:val="00001560"/>
    <w:rsid w:val="000031B2"/>
    <w:rsid w:val="0000330C"/>
    <w:rsid w:val="00005553"/>
    <w:rsid w:val="00005DA8"/>
    <w:rsid w:val="00010A33"/>
    <w:rsid w:val="000117F0"/>
    <w:rsid w:val="00014A0E"/>
    <w:rsid w:val="00020586"/>
    <w:rsid w:val="00021882"/>
    <w:rsid w:val="00021FFC"/>
    <w:rsid w:val="00022010"/>
    <w:rsid w:val="00024BF1"/>
    <w:rsid w:val="00026648"/>
    <w:rsid w:val="00026B8C"/>
    <w:rsid w:val="00026E37"/>
    <w:rsid w:val="00026EDA"/>
    <w:rsid w:val="0002797B"/>
    <w:rsid w:val="00027F65"/>
    <w:rsid w:val="00030052"/>
    <w:rsid w:val="00031152"/>
    <w:rsid w:val="000318AC"/>
    <w:rsid w:val="000331A8"/>
    <w:rsid w:val="00034898"/>
    <w:rsid w:val="00034F23"/>
    <w:rsid w:val="00036646"/>
    <w:rsid w:val="00036CAE"/>
    <w:rsid w:val="0003730A"/>
    <w:rsid w:val="00040216"/>
    <w:rsid w:val="00040996"/>
    <w:rsid w:val="00040B36"/>
    <w:rsid w:val="000422EC"/>
    <w:rsid w:val="00043F77"/>
    <w:rsid w:val="00044590"/>
    <w:rsid w:val="000459F8"/>
    <w:rsid w:val="00045B9B"/>
    <w:rsid w:val="00046EE9"/>
    <w:rsid w:val="00052EFC"/>
    <w:rsid w:val="0005471C"/>
    <w:rsid w:val="00056F4A"/>
    <w:rsid w:val="00057676"/>
    <w:rsid w:val="00057ABC"/>
    <w:rsid w:val="00066E3F"/>
    <w:rsid w:val="0007201D"/>
    <w:rsid w:val="000724C7"/>
    <w:rsid w:val="00075AF0"/>
    <w:rsid w:val="00076189"/>
    <w:rsid w:val="00076309"/>
    <w:rsid w:val="0007634A"/>
    <w:rsid w:val="000773D2"/>
    <w:rsid w:val="0008129C"/>
    <w:rsid w:val="0008314D"/>
    <w:rsid w:val="000842F8"/>
    <w:rsid w:val="00084A41"/>
    <w:rsid w:val="00085C92"/>
    <w:rsid w:val="00086464"/>
    <w:rsid w:val="000865E6"/>
    <w:rsid w:val="00086DAD"/>
    <w:rsid w:val="00090DCF"/>
    <w:rsid w:val="00090FD1"/>
    <w:rsid w:val="00091C2E"/>
    <w:rsid w:val="00094A4A"/>
    <w:rsid w:val="00096044"/>
    <w:rsid w:val="00097296"/>
    <w:rsid w:val="000A0D73"/>
    <w:rsid w:val="000A1FDE"/>
    <w:rsid w:val="000A25C2"/>
    <w:rsid w:val="000A2658"/>
    <w:rsid w:val="000A370F"/>
    <w:rsid w:val="000A4AED"/>
    <w:rsid w:val="000A72E4"/>
    <w:rsid w:val="000B02B8"/>
    <w:rsid w:val="000B1093"/>
    <w:rsid w:val="000B14C3"/>
    <w:rsid w:val="000B2C92"/>
    <w:rsid w:val="000B4572"/>
    <w:rsid w:val="000B4586"/>
    <w:rsid w:val="000B4CF7"/>
    <w:rsid w:val="000B5984"/>
    <w:rsid w:val="000B5C4C"/>
    <w:rsid w:val="000B6D88"/>
    <w:rsid w:val="000C050E"/>
    <w:rsid w:val="000C1A39"/>
    <w:rsid w:val="000C3046"/>
    <w:rsid w:val="000C310B"/>
    <w:rsid w:val="000C31E2"/>
    <w:rsid w:val="000C4809"/>
    <w:rsid w:val="000C4A0A"/>
    <w:rsid w:val="000C4FF5"/>
    <w:rsid w:val="000C70C9"/>
    <w:rsid w:val="000D04A1"/>
    <w:rsid w:val="000D0560"/>
    <w:rsid w:val="000D0E1F"/>
    <w:rsid w:val="000D1097"/>
    <w:rsid w:val="000D1B93"/>
    <w:rsid w:val="000D32FC"/>
    <w:rsid w:val="000D3709"/>
    <w:rsid w:val="000D582F"/>
    <w:rsid w:val="000D7827"/>
    <w:rsid w:val="000E05AF"/>
    <w:rsid w:val="000E11E1"/>
    <w:rsid w:val="000E19F6"/>
    <w:rsid w:val="000E2DDE"/>
    <w:rsid w:val="000F1A86"/>
    <w:rsid w:val="000F599B"/>
    <w:rsid w:val="000F602E"/>
    <w:rsid w:val="000F66D9"/>
    <w:rsid w:val="000F7387"/>
    <w:rsid w:val="00105426"/>
    <w:rsid w:val="001058F0"/>
    <w:rsid w:val="001062B5"/>
    <w:rsid w:val="00106CB7"/>
    <w:rsid w:val="00106E9F"/>
    <w:rsid w:val="00111FC2"/>
    <w:rsid w:val="001139E4"/>
    <w:rsid w:val="0011430C"/>
    <w:rsid w:val="00115EAE"/>
    <w:rsid w:val="001200F5"/>
    <w:rsid w:val="0012216C"/>
    <w:rsid w:val="00122B3A"/>
    <w:rsid w:val="00123610"/>
    <w:rsid w:val="00124C89"/>
    <w:rsid w:val="00125253"/>
    <w:rsid w:val="001307B0"/>
    <w:rsid w:val="00130C93"/>
    <w:rsid w:val="0013598B"/>
    <w:rsid w:val="0013727C"/>
    <w:rsid w:val="00137AF0"/>
    <w:rsid w:val="00140599"/>
    <w:rsid w:val="00141260"/>
    <w:rsid w:val="001422DC"/>
    <w:rsid w:val="001464A6"/>
    <w:rsid w:val="00146B0C"/>
    <w:rsid w:val="001473A2"/>
    <w:rsid w:val="00147EE2"/>
    <w:rsid w:val="001516A9"/>
    <w:rsid w:val="00151BEC"/>
    <w:rsid w:val="0015320F"/>
    <w:rsid w:val="001536C0"/>
    <w:rsid w:val="00153DFC"/>
    <w:rsid w:val="00154AB0"/>
    <w:rsid w:val="00156265"/>
    <w:rsid w:val="001564E1"/>
    <w:rsid w:val="0015723E"/>
    <w:rsid w:val="00157323"/>
    <w:rsid w:val="0016025A"/>
    <w:rsid w:val="001603A7"/>
    <w:rsid w:val="00160467"/>
    <w:rsid w:val="00160C29"/>
    <w:rsid w:val="001622C6"/>
    <w:rsid w:val="00164DFD"/>
    <w:rsid w:val="00165953"/>
    <w:rsid w:val="001675D4"/>
    <w:rsid w:val="00172135"/>
    <w:rsid w:val="001721C8"/>
    <w:rsid w:val="00173790"/>
    <w:rsid w:val="00174912"/>
    <w:rsid w:val="001808D1"/>
    <w:rsid w:val="00187BB4"/>
    <w:rsid w:val="001904AB"/>
    <w:rsid w:val="0019442B"/>
    <w:rsid w:val="0019449F"/>
    <w:rsid w:val="00195634"/>
    <w:rsid w:val="001A20AE"/>
    <w:rsid w:val="001A2274"/>
    <w:rsid w:val="001A23CB"/>
    <w:rsid w:val="001A3BA4"/>
    <w:rsid w:val="001B01F5"/>
    <w:rsid w:val="001B22B2"/>
    <w:rsid w:val="001B3901"/>
    <w:rsid w:val="001B64EC"/>
    <w:rsid w:val="001C0742"/>
    <w:rsid w:val="001C08CB"/>
    <w:rsid w:val="001C1191"/>
    <w:rsid w:val="001C2527"/>
    <w:rsid w:val="001C4C40"/>
    <w:rsid w:val="001C6A81"/>
    <w:rsid w:val="001D3457"/>
    <w:rsid w:val="001D429C"/>
    <w:rsid w:val="001D6C29"/>
    <w:rsid w:val="001D6FC9"/>
    <w:rsid w:val="001E0A20"/>
    <w:rsid w:val="001E3F3A"/>
    <w:rsid w:val="001E40BC"/>
    <w:rsid w:val="001E47C8"/>
    <w:rsid w:val="001E5327"/>
    <w:rsid w:val="001E535C"/>
    <w:rsid w:val="001E602A"/>
    <w:rsid w:val="001F0982"/>
    <w:rsid w:val="001F2033"/>
    <w:rsid w:val="001F29B6"/>
    <w:rsid w:val="001F6327"/>
    <w:rsid w:val="002017B1"/>
    <w:rsid w:val="00201BED"/>
    <w:rsid w:val="00201E24"/>
    <w:rsid w:val="002058EF"/>
    <w:rsid w:val="00206983"/>
    <w:rsid w:val="002077A5"/>
    <w:rsid w:val="002130F4"/>
    <w:rsid w:val="002148FB"/>
    <w:rsid w:val="002227DA"/>
    <w:rsid w:val="00223204"/>
    <w:rsid w:val="00224188"/>
    <w:rsid w:val="00224E59"/>
    <w:rsid w:val="00225D49"/>
    <w:rsid w:val="0023032D"/>
    <w:rsid w:val="002306EC"/>
    <w:rsid w:val="00231B7F"/>
    <w:rsid w:val="00232419"/>
    <w:rsid w:val="00236DA3"/>
    <w:rsid w:val="0024070C"/>
    <w:rsid w:val="002434F9"/>
    <w:rsid w:val="002453A7"/>
    <w:rsid w:val="00246349"/>
    <w:rsid w:val="00246C98"/>
    <w:rsid w:val="00247A1B"/>
    <w:rsid w:val="002504A6"/>
    <w:rsid w:val="0025078A"/>
    <w:rsid w:val="0025117E"/>
    <w:rsid w:val="002513C7"/>
    <w:rsid w:val="00251715"/>
    <w:rsid w:val="00251AD6"/>
    <w:rsid w:val="0025319F"/>
    <w:rsid w:val="00254538"/>
    <w:rsid w:val="002549E2"/>
    <w:rsid w:val="00257286"/>
    <w:rsid w:val="00257D49"/>
    <w:rsid w:val="00260F64"/>
    <w:rsid w:val="00261939"/>
    <w:rsid w:val="0026238E"/>
    <w:rsid w:val="00262BBA"/>
    <w:rsid w:val="00266105"/>
    <w:rsid w:val="002675E1"/>
    <w:rsid w:val="00270847"/>
    <w:rsid w:val="00271E2A"/>
    <w:rsid w:val="00272400"/>
    <w:rsid w:val="00273197"/>
    <w:rsid w:val="00273838"/>
    <w:rsid w:val="0027441B"/>
    <w:rsid w:val="00276E93"/>
    <w:rsid w:val="00286728"/>
    <w:rsid w:val="00294166"/>
    <w:rsid w:val="00295695"/>
    <w:rsid w:val="00297C80"/>
    <w:rsid w:val="00297FBB"/>
    <w:rsid w:val="002A0A1C"/>
    <w:rsid w:val="002A23DF"/>
    <w:rsid w:val="002A3A56"/>
    <w:rsid w:val="002A43B8"/>
    <w:rsid w:val="002A4644"/>
    <w:rsid w:val="002B1AB7"/>
    <w:rsid w:val="002B2670"/>
    <w:rsid w:val="002B3191"/>
    <w:rsid w:val="002B46D6"/>
    <w:rsid w:val="002B58D0"/>
    <w:rsid w:val="002B598F"/>
    <w:rsid w:val="002C0C53"/>
    <w:rsid w:val="002C15DB"/>
    <w:rsid w:val="002C1686"/>
    <w:rsid w:val="002C462E"/>
    <w:rsid w:val="002C5A9F"/>
    <w:rsid w:val="002C6973"/>
    <w:rsid w:val="002C701E"/>
    <w:rsid w:val="002C7621"/>
    <w:rsid w:val="002C7E10"/>
    <w:rsid w:val="002D0616"/>
    <w:rsid w:val="002D2143"/>
    <w:rsid w:val="002D4D69"/>
    <w:rsid w:val="002D4FB1"/>
    <w:rsid w:val="002E088C"/>
    <w:rsid w:val="002E1F2D"/>
    <w:rsid w:val="002E42A8"/>
    <w:rsid w:val="002E5740"/>
    <w:rsid w:val="002E7C58"/>
    <w:rsid w:val="002F104E"/>
    <w:rsid w:val="002F252D"/>
    <w:rsid w:val="002F29A3"/>
    <w:rsid w:val="002F4159"/>
    <w:rsid w:val="002F6369"/>
    <w:rsid w:val="002F7CC5"/>
    <w:rsid w:val="0030043E"/>
    <w:rsid w:val="003021F4"/>
    <w:rsid w:val="0030492B"/>
    <w:rsid w:val="003071C3"/>
    <w:rsid w:val="003072B1"/>
    <w:rsid w:val="0031040D"/>
    <w:rsid w:val="00311FD8"/>
    <w:rsid w:val="00312FEC"/>
    <w:rsid w:val="00313A36"/>
    <w:rsid w:val="003141A0"/>
    <w:rsid w:val="00314C3A"/>
    <w:rsid w:val="00317F0D"/>
    <w:rsid w:val="00321470"/>
    <w:rsid w:val="003226BB"/>
    <w:rsid w:val="00323949"/>
    <w:rsid w:val="00323BDE"/>
    <w:rsid w:val="003255FE"/>
    <w:rsid w:val="00326401"/>
    <w:rsid w:val="003273C7"/>
    <w:rsid w:val="00327DDC"/>
    <w:rsid w:val="0033075B"/>
    <w:rsid w:val="00331576"/>
    <w:rsid w:val="003318ED"/>
    <w:rsid w:val="003322B0"/>
    <w:rsid w:val="003335B4"/>
    <w:rsid w:val="00333F04"/>
    <w:rsid w:val="00334CAE"/>
    <w:rsid w:val="00340D90"/>
    <w:rsid w:val="00340FBB"/>
    <w:rsid w:val="00341EF1"/>
    <w:rsid w:val="00342013"/>
    <w:rsid w:val="00342ACC"/>
    <w:rsid w:val="0034322B"/>
    <w:rsid w:val="00343A8F"/>
    <w:rsid w:val="00343B16"/>
    <w:rsid w:val="00343C8A"/>
    <w:rsid w:val="00343D05"/>
    <w:rsid w:val="00344541"/>
    <w:rsid w:val="003458E8"/>
    <w:rsid w:val="0034715E"/>
    <w:rsid w:val="00347A8D"/>
    <w:rsid w:val="00350707"/>
    <w:rsid w:val="003513FB"/>
    <w:rsid w:val="00351673"/>
    <w:rsid w:val="0035281F"/>
    <w:rsid w:val="003529A3"/>
    <w:rsid w:val="00354B0D"/>
    <w:rsid w:val="003564AB"/>
    <w:rsid w:val="00365D50"/>
    <w:rsid w:val="003679F1"/>
    <w:rsid w:val="0037020D"/>
    <w:rsid w:val="00374E89"/>
    <w:rsid w:val="003750BA"/>
    <w:rsid w:val="003772B4"/>
    <w:rsid w:val="003778F5"/>
    <w:rsid w:val="00381E95"/>
    <w:rsid w:val="003836E4"/>
    <w:rsid w:val="00383DCE"/>
    <w:rsid w:val="00384B9E"/>
    <w:rsid w:val="0038517F"/>
    <w:rsid w:val="00387708"/>
    <w:rsid w:val="00390E03"/>
    <w:rsid w:val="00392B41"/>
    <w:rsid w:val="003948D7"/>
    <w:rsid w:val="00394A99"/>
    <w:rsid w:val="003952A7"/>
    <w:rsid w:val="00395A06"/>
    <w:rsid w:val="00396654"/>
    <w:rsid w:val="00396931"/>
    <w:rsid w:val="003A15A1"/>
    <w:rsid w:val="003A1A25"/>
    <w:rsid w:val="003A36D0"/>
    <w:rsid w:val="003A37C3"/>
    <w:rsid w:val="003A6601"/>
    <w:rsid w:val="003A6FF0"/>
    <w:rsid w:val="003A7B7D"/>
    <w:rsid w:val="003A7ECC"/>
    <w:rsid w:val="003B03EE"/>
    <w:rsid w:val="003B276E"/>
    <w:rsid w:val="003B2A8F"/>
    <w:rsid w:val="003B34DB"/>
    <w:rsid w:val="003B4AAA"/>
    <w:rsid w:val="003B5711"/>
    <w:rsid w:val="003B5FF7"/>
    <w:rsid w:val="003B61FD"/>
    <w:rsid w:val="003B6C63"/>
    <w:rsid w:val="003C08F8"/>
    <w:rsid w:val="003C1F77"/>
    <w:rsid w:val="003C3143"/>
    <w:rsid w:val="003C335F"/>
    <w:rsid w:val="003C6413"/>
    <w:rsid w:val="003D0F96"/>
    <w:rsid w:val="003D102A"/>
    <w:rsid w:val="003D1677"/>
    <w:rsid w:val="003D293B"/>
    <w:rsid w:val="003D632A"/>
    <w:rsid w:val="003E5316"/>
    <w:rsid w:val="003E7A47"/>
    <w:rsid w:val="003F0E67"/>
    <w:rsid w:val="003F252C"/>
    <w:rsid w:val="003F5102"/>
    <w:rsid w:val="003F7EC0"/>
    <w:rsid w:val="00400BCD"/>
    <w:rsid w:val="00403102"/>
    <w:rsid w:val="0040686F"/>
    <w:rsid w:val="0040758B"/>
    <w:rsid w:val="00407599"/>
    <w:rsid w:val="00413ED7"/>
    <w:rsid w:val="00414471"/>
    <w:rsid w:val="004151F9"/>
    <w:rsid w:val="00415B66"/>
    <w:rsid w:val="004166E6"/>
    <w:rsid w:val="00416E53"/>
    <w:rsid w:val="00420FB1"/>
    <w:rsid w:val="00426437"/>
    <w:rsid w:val="00426470"/>
    <w:rsid w:val="00431E93"/>
    <w:rsid w:val="004328C4"/>
    <w:rsid w:val="00433AFC"/>
    <w:rsid w:val="00435E56"/>
    <w:rsid w:val="00436532"/>
    <w:rsid w:val="00440ADD"/>
    <w:rsid w:val="00441C85"/>
    <w:rsid w:val="0044221A"/>
    <w:rsid w:val="00442F55"/>
    <w:rsid w:val="004446BC"/>
    <w:rsid w:val="00446251"/>
    <w:rsid w:val="0045185D"/>
    <w:rsid w:val="00451DD2"/>
    <w:rsid w:val="00452C3F"/>
    <w:rsid w:val="00454601"/>
    <w:rsid w:val="00454FE9"/>
    <w:rsid w:val="0045518C"/>
    <w:rsid w:val="00455AAF"/>
    <w:rsid w:val="0045666E"/>
    <w:rsid w:val="0045696C"/>
    <w:rsid w:val="004569DE"/>
    <w:rsid w:val="00460A84"/>
    <w:rsid w:val="00461012"/>
    <w:rsid w:val="004610AF"/>
    <w:rsid w:val="00463779"/>
    <w:rsid w:val="00463AEF"/>
    <w:rsid w:val="00465526"/>
    <w:rsid w:val="004660EB"/>
    <w:rsid w:val="0047022C"/>
    <w:rsid w:val="00473215"/>
    <w:rsid w:val="00474EF0"/>
    <w:rsid w:val="00477921"/>
    <w:rsid w:val="00481184"/>
    <w:rsid w:val="0048175C"/>
    <w:rsid w:val="0048208B"/>
    <w:rsid w:val="00486A0D"/>
    <w:rsid w:val="00486ED6"/>
    <w:rsid w:val="00487DCC"/>
    <w:rsid w:val="00487F9B"/>
    <w:rsid w:val="00491063"/>
    <w:rsid w:val="00491235"/>
    <w:rsid w:val="0049130D"/>
    <w:rsid w:val="00491A65"/>
    <w:rsid w:val="00494445"/>
    <w:rsid w:val="00494C20"/>
    <w:rsid w:val="00494EFA"/>
    <w:rsid w:val="00494F6B"/>
    <w:rsid w:val="00497946"/>
    <w:rsid w:val="004A1595"/>
    <w:rsid w:val="004A168B"/>
    <w:rsid w:val="004A18C1"/>
    <w:rsid w:val="004A2296"/>
    <w:rsid w:val="004A3672"/>
    <w:rsid w:val="004A3A64"/>
    <w:rsid w:val="004A7242"/>
    <w:rsid w:val="004A7D25"/>
    <w:rsid w:val="004B1CC9"/>
    <w:rsid w:val="004B25E9"/>
    <w:rsid w:val="004B28D9"/>
    <w:rsid w:val="004B35A5"/>
    <w:rsid w:val="004B4378"/>
    <w:rsid w:val="004B6B51"/>
    <w:rsid w:val="004C0CDA"/>
    <w:rsid w:val="004C1AEA"/>
    <w:rsid w:val="004C60A8"/>
    <w:rsid w:val="004C6C56"/>
    <w:rsid w:val="004C6D61"/>
    <w:rsid w:val="004C6E60"/>
    <w:rsid w:val="004C7747"/>
    <w:rsid w:val="004C7BE0"/>
    <w:rsid w:val="004D09E5"/>
    <w:rsid w:val="004D14C7"/>
    <w:rsid w:val="004D1886"/>
    <w:rsid w:val="004D266D"/>
    <w:rsid w:val="004D3017"/>
    <w:rsid w:val="004D3534"/>
    <w:rsid w:val="004D461E"/>
    <w:rsid w:val="004D5421"/>
    <w:rsid w:val="004D5493"/>
    <w:rsid w:val="004D5CB0"/>
    <w:rsid w:val="004D652E"/>
    <w:rsid w:val="004D6DB8"/>
    <w:rsid w:val="004D71AF"/>
    <w:rsid w:val="004E1ADA"/>
    <w:rsid w:val="004E3633"/>
    <w:rsid w:val="004E38D5"/>
    <w:rsid w:val="004E4F07"/>
    <w:rsid w:val="004F2754"/>
    <w:rsid w:val="004F6597"/>
    <w:rsid w:val="0050170C"/>
    <w:rsid w:val="005017C1"/>
    <w:rsid w:val="00502275"/>
    <w:rsid w:val="00507195"/>
    <w:rsid w:val="00507A6B"/>
    <w:rsid w:val="00511B45"/>
    <w:rsid w:val="0051326B"/>
    <w:rsid w:val="00513B4B"/>
    <w:rsid w:val="0051686F"/>
    <w:rsid w:val="00520E91"/>
    <w:rsid w:val="00520FFF"/>
    <w:rsid w:val="005260BB"/>
    <w:rsid w:val="005266D3"/>
    <w:rsid w:val="005273AE"/>
    <w:rsid w:val="00527C91"/>
    <w:rsid w:val="00530010"/>
    <w:rsid w:val="005313DE"/>
    <w:rsid w:val="00533721"/>
    <w:rsid w:val="005352B2"/>
    <w:rsid w:val="00536225"/>
    <w:rsid w:val="00536EC9"/>
    <w:rsid w:val="00537105"/>
    <w:rsid w:val="00540B05"/>
    <w:rsid w:val="00540D32"/>
    <w:rsid w:val="00541B5F"/>
    <w:rsid w:val="005420AA"/>
    <w:rsid w:val="00545EE0"/>
    <w:rsid w:val="0054658D"/>
    <w:rsid w:val="00546790"/>
    <w:rsid w:val="005478C0"/>
    <w:rsid w:val="0055021E"/>
    <w:rsid w:val="00551F03"/>
    <w:rsid w:val="00552359"/>
    <w:rsid w:val="00552DD5"/>
    <w:rsid w:val="005558B0"/>
    <w:rsid w:val="005576C6"/>
    <w:rsid w:val="005603B3"/>
    <w:rsid w:val="00561694"/>
    <w:rsid w:val="00563845"/>
    <w:rsid w:val="0056740C"/>
    <w:rsid w:val="00567A13"/>
    <w:rsid w:val="00570226"/>
    <w:rsid w:val="005705D6"/>
    <w:rsid w:val="00570666"/>
    <w:rsid w:val="00571157"/>
    <w:rsid w:val="005733CA"/>
    <w:rsid w:val="00576A78"/>
    <w:rsid w:val="0057746E"/>
    <w:rsid w:val="005807B3"/>
    <w:rsid w:val="00580C89"/>
    <w:rsid w:val="00580FF5"/>
    <w:rsid w:val="00582B2E"/>
    <w:rsid w:val="00582C07"/>
    <w:rsid w:val="005847DE"/>
    <w:rsid w:val="00587587"/>
    <w:rsid w:val="005929AB"/>
    <w:rsid w:val="00593776"/>
    <w:rsid w:val="00594A6D"/>
    <w:rsid w:val="0059649B"/>
    <w:rsid w:val="005A104D"/>
    <w:rsid w:val="005A315D"/>
    <w:rsid w:val="005A37C7"/>
    <w:rsid w:val="005B1A09"/>
    <w:rsid w:val="005B3FE5"/>
    <w:rsid w:val="005B527E"/>
    <w:rsid w:val="005B5C1C"/>
    <w:rsid w:val="005C0030"/>
    <w:rsid w:val="005C0E66"/>
    <w:rsid w:val="005C1450"/>
    <w:rsid w:val="005C4157"/>
    <w:rsid w:val="005C4DED"/>
    <w:rsid w:val="005C5430"/>
    <w:rsid w:val="005C58B6"/>
    <w:rsid w:val="005C5B23"/>
    <w:rsid w:val="005C6487"/>
    <w:rsid w:val="005D24D6"/>
    <w:rsid w:val="005D30CC"/>
    <w:rsid w:val="005D316D"/>
    <w:rsid w:val="005D3939"/>
    <w:rsid w:val="005D46A9"/>
    <w:rsid w:val="005D7A2B"/>
    <w:rsid w:val="005D7D44"/>
    <w:rsid w:val="005E2612"/>
    <w:rsid w:val="005E5697"/>
    <w:rsid w:val="005E6BFD"/>
    <w:rsid w:val="005E6FC1"/>
    <w:rsid w:val="005E7FDB"/>
    <w:rsid w:val="005E7FF5"/>
    <w:rsid w:val="005F22D9"/>
    <w:rsid w:val="005F28DE"/>
    <w:rsid w:val="005F4098"/>
    <w:rsid w:val="00600DBC"/>
    <w:rsid w:val="006019FE"/>
    <w:rsid w:val="00603406"/>
    <w:rsid w:val="00606AFE"/>
    <w:rsid w:val="00607033"/>
    <w:rsid w:val="00610694"/>
    <w:rsid w:val="00615B38"/>
    <w:rsid w:val="00616066"/>
    <w:rsid w:val="00617E5A"/>
    <w:rsid w:val="00621CD1"/>
    <w:rsid w:val="00622008"/>
    <w:rsid w:val="006221DF"/>
    <w:rsid w:val="006223B4"/>
    <w:rsid w:val="00623484"/>
    <w:rsid w:val="006237D2"/>
    <w:rsid w:val="00623C5E"/>
    <w:rsid w:val="00623C63"/>
    <w:rsid w:val="00624044"/>
    <w:rsid w:val="006338B5"/>
    <w:rsid w:val="006349EE"/>
    <w:rsid w:val="00635E33"/>
    <w:rsid w:val="00637E16"/>
    <w:rsid w:val="006440E7"/>
    <w:rsid w:val="00645136"/>
    <w:rsid w:val="006451A4"/>
    <w:rsid w:val="00646B5D"/>
    <w:rsid w:val="00652D22"/>
    <w:rsid w:val="0065474E"/>
    <w:rsid w:val="00654811"/>
    <w:rsid w:val="0065570C"/>
    <w:rsid w:val="006562C9"/>
    <w:rsid w:val="00657D6A"/>
    <w:rsid w:val="00664D06"/>
    <w:rsid w:val="00666189"/>
    <w:rsid w:val="00666195"/>
    <w:rsid w:val="00666777"/>
    <w:rsid w:val="00673128"/>
    <w:rsid w:val="0067457B"/>
    <w:rsid w:val="00674A42"/>
    <w:rsid w:val="00675F47"/>
    <w:rsid w:val="00680605"/>
    <w:rsid w:val="00680BF7"/>
    <w:rsid w:val="006834C1"/>
    <w:rsid w:val="00684194"/>
    <w:rsid w:val="00686248"/>
    <w:rsid w:val="00691210"/>
    <w:rsid w:val="006928DE"/>
    <w:rsid w:val="00693D55"/>
    <w:rsid w:val="00694C6E"/>
    <w:rsid w:val="00694DE0"/>
    <w:rsid w:val="00695A29"/>
    <w:rsid w:val="00695DA0"/>
    <w:rsid w:val="00695F1A"/>
    <w:rsid w:val="00697AF8"/>
    <w:rsid w:val="006A0DE2"/>
    <w:rsid w:val="006A124A"/>
    <w:rsid w:val="006A15D8"/>
    <w:rsid w:val="006A2322"/>
    <w:rsid w:val="006A3BB7"/>
    <w:rsid w:val="006A3BC3"/>
    <w:rsid w:val="006A74BA"/>
    <w:rsid w:val="006A781A"/>
    <w:rsid w:val="006B05B1"/>
    <w:rsid w:val="006B081F"/>
    <w:rsid w:val="006B09CB"/>
    <w:rsid w:val="006B102D"/>
    <w:rsid w:val="006B28BC"/>
    <w:rsid w:val="006B2FE6"/>
    <w:rsid w:val="006B48E1"/>
    <w:rsid w:val="006C0F7D"/>
    <w:rsid w:val="006C4C88"/>
    <w:rsid w:val="006C4CEB"/>
    <w:rsid w:val="006C51BF"/>
    <w:rsid w:val="006C7C79"/>
    <w:rsid w:val="006D071B"/>
    <w:rsid w:val="006D13CB"/>
    <w:rsid w:val="006D1C7B"/>
    <w:rsid w:val="006E1419"/>
    <w:rsid w:val="006E22ED"/>
    <w:rsid w:val="006E259D"/>
    <w:rsid w:val="006E41C0"/>
    <w:rsid w:val="006E52B5"/>
    <w:rsid w:val="006E6E0F"/>
    <w:rsid w:val="006E6F00"/>
    <w:rsid w:val="006E757F"/>
    <w:rsid w:val="006E7F0C"/>
    <w:rsid w:val="006F0CF9"/>
    <w:rsid w:val="006F1546"/>
    <w:rsid w:val="006F1C88"/>
    <w:rsid w:val="006F2D9E"/>
    <w:rsid w:val="006F496E"/>
    <w:rsid w:val="006F4BE3"/>
    <w:rsid w:val="006F4D83"/>
    <w:rsid w:val="006F5E66"/>
    <w:rsid w:val="007010C3"/>
    <w:rsid w:val="00703169"/>
    <w:rsid w:val="00704BCA"/>
    <w:rsid w:val="007105BE"/>
    <w:rsid w:val="00710831"/>
    <w:rsid w:val="00712C14"/>
    <w:rsid w:val="007139DC"/>
    <w:rsid w:val="0071521A"/>
    <w:rsid w:val="00715390"/>
    <w:rsid w:val="00716902"/>
    <w:rsid w:val="00720304"/>
    <w:rsid w:val="0072579B"/>
    <w:rsid w:val="007264B2"/>
    <w:rsid w:val="0072726C"/>
    <w:rsid w:val="00730B2F"/>
    <w:rsid w:val="00730C18"/>
    <w:rsid w:val="007324DF"/>
    <w:rsid w:val="00736B42"/>
    <w:rsid w:val="00737086"/>
    <w:rsid w:val="00737893"/>
    <w:rsid w:val="0074047C"/>
    <w:rsid w:val="00740672"/>
    <w:rsid w:val="007409D7"/>
    <w:rsid w:val="00740CB6"/>
    <w:rsid w:val="00741235"/>
    <w:rsid w:val="00741F59"/>
    <w:rsid w:val="00742D27"/>
    <w:rsid w:val="00743211"/>
    <w:rsid w:val="00747E88"/>
    <w:rsid w:val="00751C98"/>
    <w:rsid w:val="00752F7B"/>
    <w:rsid w:val="0075775E"/>
    <w:rsid w:val="0075785F"/>
    <w:rsid w:val="00760B12"/>
    <w:rsid w:val="00762627"/>
    <w:rsid w:val="0076541A"/>
    <w:rsid w:val="00765852"/>
    <w:rsid w:val="00770D50"/>
    <w:rsid w:val="00770DD9"/>
    <w:rsid w:val="00771F0C"/>
    <w:rsid w:val="00773245"/>
    <w:rsid w:val="007736B1"/>
    <w:rsid w:val="007749AA"/>
    <w:rsid w:val="007756A2"/>
    <w:rsid w:val="00775CDE"/>
    <w:rsid w:val="00776869"/>
    <w:rsid w:val="00776ED5"/>
    <w:rsid w:val="007773B3"/>
    <w:rsid w:val="0078120D"/>
    <w:rsid w:val="007822EB"/>
    <w:rsid w:val="00785D24"/>
    <w:rsid w:val="00786850"/>
    <w:rsid w:val="007869D7"/>
    <w:rsid w:val="007907C7"/>
    <w:rsid w:val="00791BC9"/>
    <w:rsid w:val="00791F5F"/>
    <w:rsid w:val="00793259"/>
    <w:rsid w:val="007934FD"/>
    <w:rsid w:val="0079538A"/>
    <w:rsid w:val="007973FF"/>
    <w:rsid w:val="00797C90"/>
    <w:rsid w:val="007A033C"/>
    <w:rsid w:val="007A36EE"/>
    <w:rsid w:val="007A4A2D"/>
    <w:rsid w:val="007A60A5"/>
    <w:rsid w:val="007B0C4D"/>
    <w:rsid w:val="007B16E1"/>
    <w:rsid w:val="007B1AAD"/>
    <w:rsid w:val="007B1F89"/>
    <w:rsid w:val="007B2E86"/>
    <w:rsid w:val="007B76F0"/>
    <w:rsid w:val="007C0999"/>
    <w:rsid w:val="007C29C8"/>
    <w:rsid w:val="007C39E5"/>
    <w:rsid w:val="007C47B1"/>
    <w:rsid w:val="007C4BCA"/>
    <w:rsid w:val="007C5533"/>
    <w:rsid w:val="007D0472"/>
    <w:rsid w:val="007D047C"/>
    <w:rsid w:val="007D0A02"/>
    <w:rsid w:val="007D1ED4"/>
    <w:rsid w:val="007D2E0A"/>
    <w:rsid w:val="007D326C"/>
    <w:rsid w:val="007D4D8F"/>
    <w:rsid w:val="007E052B"/>
    <w:rsid w:val="007E1190"/>
    <w:rsid w:val="007E1D4C"/>
    <w:rsid w:val="007E381C"/>
    <w:rsid w:val="007E4769"/>
    <w:rsid w:val="007E4900"/>
    <w:rsid w:val="007E5451"/>
    <w:rsid w:val="007E5B3E"/>
    <w:rsid w:val="007F0E83"/>
    <w:rsid w:val="007F14AD"/>
    <w:rsid w:val="007F2F6B"/>
    <w:rsid w:val="007F74A3"/>
    <w:rsid w:val="00800BC7"/>
    <w:rsid w:val="00800CA3"/>
    <w:rsid w:val="0080160A"/>
    <w:rsid w:val="00801FD4"/>
    <w:rsid w:val="00804323"/>
    <w:rsid w:val="00804AF4"/>
    <w:rsid w:val="00807405"/>
    <w:rsid w:val="00812951"/>
    <w:rsid w:val="00813332"/>
    <w:rsid w:val="0081531A"/>
    <w:rsid w:val="00815F9D"/>
    <w:rsid w:val="008162B4"/>
    <w:rsid w:val="00816C57"/>
    <w:rsid w:val="00817AE6"/>
    <w:rsid w:val="00820C36"/>
    <w:rsid w:val="00820D0E"/>
    <w:rsid w:val="00820EFC"/>
    <w:rsid w:val="008221F9"/>
    <w:rsid w:val="00822972"/>
    <w:rsid w:val="00823E90"/>
    <w:rsid w:val="00824612"/>
    <w:rsid w:val="0082635D"/>
    <w:rsid w:val="00830C34"/>
    <w:rsid w:val="00830DBD"/>
    <w:rsid w:val="008310C6"/>
    <w:rsid w:val="008313B0"/>
    <w:rsid w:val="00832151"/>
    <w:rsid w:val="00834DE9"/>
    <w:rsid w:val="008354D7"/>
    <w:rsid w:val="00840E53"/>
    <w:rsid w:val="0084203C"/>
    <w:rsid w:val="008433C8"/>
    <w:rsid w:val="00843909"/>
    <w:rsid w:val="00845110"/>
    <w:rsid w:val="00845181"/>
    <w:rsid w:val="008462D3"/>
    <w:rsid w:val="00846A41"/>
    <w:rsid w:val="0085047E"/>
    <w:rsid w:val="0085091F"/>
    <w:rsid w:val="00850CBE"/>
    <w:rsid w:val="008515BC"/>
    <w:rsid w:val="0085527A"/>
    <w:rsid w:val="008560A5"/>
    <w:rsid w:val="008578E4"/>
    <w:rsid w:val="00857F20"/>
    <w:rsid w:val="0086033F"/>
    <w:rsid w:val="00860B64"/>
    <w:rsid w:val="0086307F"/>
    <w:rsid w:val="00867574"/>
    <w:rsid w:val="00867B65"/>
    <w:rsid w:val="008707D6"/>
    <w:rsid w:val="00870D6E"/>
    <w:rsid w:val="00875425"/>
    <w:rsid w:val="00877AFE"/>
    <w:rsid w:val="00877B75"/>
    <w:rsid w:val="0088016B"/>
    <w:rsid w:val="00883B8A"/>
    <w:rsid w:val="00885210"/>
    <w:rsid w:val="00885E53"/>
    <w:rsid w:val="008863BB"/>
    <w:rsid w:val="00887ED8"/>
    <w:rsid w:val="008940F9"/>
    <w:rsid w:val="0089608C"/>
    <w:rsid w:val="00897F29"/>
    <w:rsid w:val="008A08FB"/>
    <w:rsid w:val="008A183C"/>
    <w:rsid w:val="008A1E0D"/>
    <w:rsid w:val="008A2AEF"/>
    <w:rsid w:val="008A2DDE"/>
    <w:rsid w:val="008A41C6"/>
    <w:rsid w:val="008A50DB"/>
    <w:rsid w:val="008A512B"/>
    <w:rsid w:val="008A5916"/>
    <w:rsid w:val="008A7D22"/>
    <w:rsid w:val="008B4D75"/>
    <w:rsid w:val="008B53D3"/>
    <w:rsid w:val="008C2C7D"/>
    <w:rsid w:val="008C4A7D"/>
    <w:rsid w:val="008D072A"/>
    <w:rsid w:val="008D49DA"/>
    <w:rsid w:val="008D4A28"/>
    <w:rsid w:val="008D5680"/>
    <w:rsid w:val="008D69A5"/>
    <w:rsid w:val="008E1154"/>
    <w:rsid w:val="008E3506"/>
    <w:rsid w:val="008E469B"/>
    <w:rsid w:val="008E6DF6"/>
    <w:rsid w:val="008E6E79"/>
    <w:rsid w:val="008F15F9"/>
    <w:rsid w:val="008F19E9"/>
    <w:rsid w:val="008F1C85"/>
    <w:rsid w:val="008F270B"/>
    <w:rsid w:val="008F69DC"/>
    <w:rsid w:val="008F6C23"/>
    <w:rsid w:val="00900FE8"/>
    <w:rsid w:val="00901610"/>
    <w:rsid w:val="00903F2E"/>
    <w:rsid w:val="009041C0"/>
    <w:rsid w:val="009054E1"/>
    <w:rsid w:val="00906DBA"/>
    <w:rsid w:val="0091039C"/>
    <w:rsid w:val="00912590"/>
    <w:rsid w:val="009125CB"/>
    <w:rsid w:val="00912628"/>
    <w:rsid w:val="00912AD6"/>
    <w:rsid w:val="00913E7A"/>
    <w:rsid w:val="009141F7"/>
    <w:rsid w:val="00914794"/>
    <w:rsid w:val="00914EC3"/>
    <w:rsid w:val="0091593E"/>
    <w:rsid w:val="009200DE"/>
    <w:rsid w:val="009233B4"/>
    <w:rsid w:val="0092535C"/>
    <w:rsid w:val="00926052"/>
    <w:rsid w:val="00927C43"/>
    <w:rsid w:val="009361C3"/>
    <w:rsid w:val="009426F5"/>
    <w:rsid w:val="009434C4"/>
    <w:rsid w:val="00943CF8"/>
    <w:rsid w:val="009452AB"/>
    <w:rsid w:val="00945FE2"/>
    <w:rsid w:val="009469C8"/>
    <w:rsid w:val="00946C4E"/>
    <w:rsid w:val="00947B8A"/>
    <w:rsid w:val="0095177A"/>
    <w:rsid w:val="0095249C"/>
    <w:rsid w:val="00952C65"/>
    <w:rsid w:val="00952CBD"/>
    <w:rsid w:val="009537B4"/>
    <w:rsid w:val="00953F54"/>
    <w:rsid w:val="009542B7"/>
    <w:rsid w:val="00954364"/>
    <w:rsid w:val="0095696E"/>
    <w:rsid w:val="00956DC3"/>
    <w:rsid w:val="0096196B"/>
    <w:rsid w:val="00962D8D"/>
    <w:rsid w:val="00963466"/>
    <w:rsid w:val="00963728"/>
    <w:rsid w:val="00963AC0"/>
    <w:rsid w:val="009643A9"/>
    <w:rsid w:val="00964ADC"/>
    <w:rsid w:val="009659FD"/>
    <w:rsid w:val="00965AAC"/>
    <w:rsid w:val="009712BD"/>
    <w:rsid w:val="0097270C"/>
    <w:rsid w:val="00972843"/>
    <w:rsid w:val="009744FE"/>
    <w:rsid w:val="009777F6"/>
    <w:rsid w:val="00980005"/>
    <w:rsid w:val="009802D6"/>
    <w:rsid w:val="009810E4"/>
    <w:rsid w:val="009817DD"/>
    <w:rsid w:val="00981AC9"/>
    <w:rsid w:val="0098464A"/>
    <w:rsid w:val="00984BB4"/>
    <w:rsid w:val="00986FD3"/>
    <w:rsid w:val="00987ADE"/>
    <w:rsid w:val="0099011E"/>
    <w:rsid w:val="009907E8"/>
    <w:rsid w:val="00991D0D"/>
    <w:rsid w:val="00995D1B"/>
    <w:rsid w:val="00996BC0"/>
    <w:rsid w:val="009A01F9"/>
    <w:rsid w:val="009A0343"/>
    <w:rsid w:val="009A55B5"/>
    <w:rsid w:val="009A566B"/>
    <w:rsid w:val="009A5FE9"/>
    <w:rsid w:val="009A60AE"/>
    <w:rsid w:val="009A7640"/>
    <w:rsid w:val="009B0500"/>
    <w:rsid w:val="009B0EA8"/>
    <w:rsid w:val="009B3448"/>
    <w:rsid w:val="009B35F6"/>
    <w:rsid w:val="009B4A86"/>
    <w:rsid w:val="009B5665"/>
    <w:rsid w:val="009B6195"/>
    <w:rsid w:val="009B6FA7"/>
    <w:rsid w:val="009C01D7"/>
    <w:rsid w:val="009C0C06"/>
    <w:rsid w:val="009C23B4"/>
    <w:rsid w:val="009C3E3C"/>
    <w:rsid w:val="009C4AC4"/>
    <w:rsid w:val="009C505A"/>
    <w:rsid w:val="009C5A48"/>
    <w:rsid w:val="009C6CCF"/>
    <w:rsid w:val="009C7A89"/>
    <w:rsid w:val="009C7D29"/>
    <w:rsid w:val="009D3450"/>
    <w:rsid w:val="009D369F"/>
    <w:rsid w:val="009D3A25"/>
    <w:rsid w:val="009D496C"/>
    <w:rsid w:val="009D4ED2"/>
    <w:rsid w:val="009D6B3C"/>
    <w:rsid w:val="009E0F4A"/>
    <w:rsid w:val="009E134E"/>
    <w:rsid w:val="009E24AE"/>
    <w:rsid w:val="009E6B60"/>
    <w:rsid w:val="009F1D75"/>
    <w:rsid w:val="009F22AC"/>
    <w:rsid w:val="009F4A85"/>
    <w:rsid w:val="009F4F03"/>
    <w:rsid w:val="009F618E"/>
    <w:rsid w:val="009F75C6"/>
    <w:rsid w:val="009F77BE"/>
    <w:rsid w:val="00A00F89"/>
    <w:rsid w:val="00A01104"/>
    <w:rsid w:val="00A029C8"/>
    <w:rsid w:val="00A0334E"/>
    <w:rsid w:val="00A0607A"/>
    <w:rsid w:val="00A0633A"/>
    <w:rsid w:val="00A12640"/>
    <w:rsid w:val="00A13492"/>
    <w:rsid w:val="00A15C25"/>
    <w:rsid w:val="00A17610"/>
    <w:rsid w:val="00A21D66"/>
    <w:rsid w:val="00A22186"/>
    <w:rsid w:val="00A225A7"/>
    <w:rsid w:val="00A22C7E"/>
    <w:rsid w:val="00A257DE"/>
    <w:rsid w:val="00A25DD4"/>
    <w:rsid w:val="00A27C93"/>
    <w:rsid w:val="00A305D9"/>
    <w:rsid w:val="00A321ED"/>
    <w:rsid w:val="00A32C6E"/>
    <w:rsid w:val="00A337E2"/>
    <w:rsid w:val="00A33EAB"/>
    <w:rsid w:val="00A3552C"/>
    <w:rsid w:val="00A36490"/>
    <w:rsid w:val="00A37526"/>
    <w:rsid w:val="00A37592"/>
    <w:rsid w:val="00A37E5D"/>
    <w:rsid w:val="00A40643"/>
    <w:rsid w:val="00A41291"/>
    <w:rsid w:val="00A41425"/>
    <w:rsid w:val="00A42680"/>
    <w:rsid w:val="00A431F4"/>
    <w:rsid w:val="00A432FF"/>
    <w:rsid w:val="00A43414"/>
    <w:rsid w:val="00A44083"/>
    <w:rsid w:val="00A4528D"/>
    <w:rsid w:val="00A454A2"/>
    <w:rsid w:val="00A46664"/>
    <w:rsid w:val="00A466BC"/>
    <w:rsid w:val="00A46FF3"/>
    <w:rsid w:val="00A506B1"/>
    <w:rsid w:val="00A52AEA"/>
    <w:rsid w:val="00A55084"/>
    <w:rsid w:val="00A57999"/>
    <w:rsid w:val="00A60119"/>
    <w:rsid w:val="00A60BBA"/>
    <w:rsid w:val="00A62538"/>
    <w:rsid w:val="00A633A5"/>
    <w:rsid w:val="00A63CAC"/>
    <w:rsid w:val="00A64412"/>
    <w:rsid w:val="00A65162"/>
    <w:rsid w:val="00A654B9"/>
    <w:rsid w:val="00A668B5"/>
    <w:rsid w:val="00A676CB"/>
    <w:rsid w:val="00A74120"/>
    <w:rsid w:val="00A7696F"/>
    <w:rsid w:val="00A76B4D"/>
    <w:rsid w:val="00A81358"/>
    <w:rsid w:val="00A81B67"/>
    <w:rsid w:val="00A83290"/>
    <w:rsid w:val="00A84985"/>
    <w:rsid w:val="00A86172"/>
    <w:rsid w:val="00A8626B"/>
    <w:rsid w:val="00A90F06"/>
    <w:rsid w:val="00A91394"/>
    <w:rsid w:val="00A94379"/>
    <w:rsid w:val="00A94872"/>
    <w:rsid w:val="00A955C6"/>
    <w:rsid w:val="00A97985"/>
    <w:rsid w:val="00AA07A7"/>
    <w:rsid w:val="00AA6342"/>
    <w:rsid w:val="00AA7136"/>
    <w:rsid w:val="00AA7E6A"/>
    <w:rsid w:val="00AB09E7"/>
    <w:rsid w:val="00AB23F0"/>
    <w:rsid w:val="00AB2691"/>
    <w:rsid w:val="00AB2E92"/>
    <w:rsid w:val="00AB3074"/>
    <w:rsid w:val="00AB64B7"/>
    <w:rsid w:val="00AB784D"/>
    <w:rsid w:val="00AC0232"/>
    <w:rsid w:val="00AC21B9"/>
    <w:rsid w:val="00AC3586"/>
    <w:rsid w:val="00AC37B4"/>
    <w:rsid w:val="00AC3A45"/>
    <w:rsid w:val="00AC665A"/>
    <w:rsid w:val="00AD1D95"/>
    <w:rsid w:val="00AD356D"/>
    <w:rsid w:val="00AE07E2"/>
    <w:rsid w:val="00AE75B0"/>
    <w:rsid w:val="00AF061A"/>
    <w:rsid w:val="00AF298A"/>
    <w:rsid w:val="00AF2DB9"/>
    <w:rsid w:val="00AF45B4"/>
    <w:rsid w:val="00AF4F97"/>
    <w:rsid w:val="00AF6C58"/>
    <w:rsid w:val="00AF726D"/>
    <w:rsid w:val="00B001EA"/>
    <w:rsid w:val="00B01A8C"/>
    <w:rsid w:val="00B01E1F"/>
    <w:rsid w:val="00B038DD"/>
    <w:rsid w:val="00B0445B"/>
    <w:rsid w:val="00B0680F"/>
    <w:rsid w:val="00B0682F"/>
    <w:rsid w:val="00B07535"/>
    <w:rsid w:val="00B07E26"/>
    <w:rsid w:val="00B10D62"/>
    <w:rsid w:val="00B13CBE"/>
    <w:rsid w:val="00B13FB1"/>
    <w:rsid w:val="00B14E0D"/>
    <w:rsid w:val="00B16CE1"/>
    <w:rsid w:val="00B1777B"/>
    <w:rsid w:val="00B17B29"/>
    <w:rsid w:val="00B21803"/>
    <w:rsid w:val="00B2664F"/>
    <w:rsid w:val="00B27145"/>
    <w:rsid w:val="00B27DE6"/>
    <w:rsid w:val="00B3385B"/>
    <w:rsid w:val="00B35A8D"/>
    <w:rsid w:val="00B36558"/>
    <w:rsid w:val="00B36BE4"/>
    <w:rsid w:val="00B37D28"/>
    <w:rsid w:val="00B42E5F"/>
    <w:rsid w:val="00B51BE1"/>
    <w:rsid w:val="00B5219C"/>
    <w:rsid w:val="00B529A0"/>
    <w:rsid w:val="00B52C7C"/>
    <w:rsid w:val="00B540CD"/>
    <w:rsid w:val="00B56126"/>
    <w:rsid w:val="00B57F6B"/>
    <w:rsid w:val="00B60E76"/>
    <w:rsid w:val="00B610B6"/>
    <w:rsid w:val="00B61AE8"/>
    <w:rsid w:val="00B62A63"/>
    <w:rsid w:val="00B634B0"/>
    <w:rsid w:val="00B6368C"/>
    <w:rsid w:val="00B65338"/>
    <w:rsid w:val="00B6689D"/>
    <w:rsid w:val="00B71B43"/>
    <w:rsid w:val="00B7201B"/>
    <w:rsid w:val="00B74F68"/>
    <w:rsid w:val="00B77B4F"/>
    <w:rsid w:val="00B80858"/>
    <w:rsid w:val="00B816F1"/>
    <w:rsid w:val="00B83478"/>
    <w:rsid w:val="00B874F8"/>
    <w:rsid w:val="00B87B86"/>
    <w:rsid w:val="00B915A2"/>
    <w:rsid w:val="00B91943"/>
    <w:rsid w:val="00B91DF8"/>
    <w:rsid w:val="00B92CA6"/>
    <w:rsid w:val="00B9303D"/>
    <w:rsid w:val="00B941E6"/>
    <w:rsid w:val="00B944F2"/>
    <w:rsid w:val="00B9460C"/>
    <w:rsid w:val="00B94BD6"/>
    <w:rsid w:val="00B965EE"/>
    <w:rsid w:val="00B96A05"/>
    <w:rsid w:val="00B97CB4"/>
    <w:rsid w:val="00BA0D26"/>
    <w:rsid w:val="00BA2306"/>
    <w:rsid w:val="00BA385E"/>
    <w:rsid w:val="00BA38A0"/>
    <w:rsid w:val="00BA6DE2"/>
    <w:rsid w:val="00BA7E8D"/>
    <w:rsid w:val="00BB2256"/>
    <w:rsid w:val="00BB346D"/>
    <w:rsid w:val="00BB4D23"/>
    <w:rsid w:val="00BB7FF5"/>
    <w:rsid w:val="00BC02D8"/>
    <w:rsid w:val="00BC0341"/>
    <w:rsid w:val="00BC1916"/>
    <w:rsid w:val="00BC25CC"/>
    <w:rsid w:val="00BC7322"/>
    <w:rsid w:val="00BD1F38"/>
    <w:rsid w:val="00BD3377"/>
    <w:rsid w:val="00BD4BDF"/>
    <w:rsid w:val="00BD7FDD"/>
    <w:rsid w:val="00BE26E9"/>
    <w:rsid w:val="00BE27C5"/>
    <w:rsid w:val="00BE5FA6"/>
    <w:rsid w:val="00BF27CD"/>
    <w:rsid w:val="00BF33DF"/>
    <w:rsid w:val="00BF4104"/>
    <w:rsid w:val="00BF55BC"/>
    <w:rsid w:val="00BF5C77"/>
    <w:rsid w:val="00BF63A9"/>
    <w:rsid w:val="00BF73AA"/>
    <w:rsid w:val="00C005E9"/>
    <w:rsid w:val="00C00D04"/>
    <w:rsid w:val="00C00F85"/>
    <w:rsid w:val="00C01721"/>
    <w:rsid w:val="00C01A3D"/>
    <w:rsid w:val="00C03870"/>
    <w:rsid w:val="00C04718"/>
    <w:rsid w:val="00C1236B"/>
    <w:rsid w:val="00C12A14"/>
    <w:rsid w:val="00C138F7"/>
    <w:rsid w:val="00C14F3C"/>
    <w:rsid w:val="00C169A2"/>
    <w:rsid w:val="00C16F30"/>
    <w:rsid w:val="00C17FF1"/>
    <w:rsid w:val="00C213E3"/>
    <w:rsid w:val="00C224B1"/>
    <w:rsid w:val="00C23B5D"/>
    <w:rsid w:val="00C24789"/>
    <w:rsid w:val="00C26843"/>
    <w:rsid w:val="00C26B71"/>
    <w:rsid w:val="00C30C3C"/>
    <w:rsid w:val="00C32DDB"/>
    <w:rsid w:val="00C37417"/>
    <w:rsid w:val="00C40859"/>
    <w:rsid w:val="00C41905"/>
    <w:rsid w:val="00C42D23"/>
    <w:rsid w:val="00C44AD3"/>
    <w:rsid w:val="00C45046"/>
    <w:rsid w:val="00C50D4F"/>
    <w:rsid w:val="00C538E4"/>
    <w:rsid w:val="00C53A47"/>
    <w:rsid w:val="00C561F1"/>
    <w:rsid w:val="00C57253"/>
    <w:rsid w:val="00C574FA"/>
    <w:rsid w:val="00C62A8F"/>
    <w:rsid w:val="00C62D98"/>
    <w:rsid w:val="00C6408D"/>
    <w:rsid w:val="00C6448B"/>
    <w:rsid w:val="00C646A4"/>
    <w:rsid w:val="00C650C1"/>
    <w:rsid w:val="00C66C1D"/>
    <w:rsid w:val="00C66FA1"/>
    <w:rsid w:val="00C711A5"/>
    <w:rsid w:val="00C7657D"/>
    <w:rsid w:val="00C80935"/>
    <w:rsid w:val="00C82504"/>
    <w:rsid w:val="00C82B3B"/>
    <w:rsid w:val="00C82BB1"/>
    <w:rsid w:val="00C8327D"/>
    <w:rsid w:val="00C83E31"/>
    <w:rsid w:val="00C85EFE"/>
    <w:rsid w:val="00C86194"/>
    <w:rsid w:val="00C8653C"/>
    <w:rsid w:val="00C86574"/>
    <w:rsid w:val="00C87DD3"/>
    <w:rsid w:val="00C9073E"/>
    <w:rsid w:val="00C91B50"/>
    <w:rsid w:val="00C94469"/>
    <w:rsid w:val="00C95828"/>
    <w:rsid w:val="00C97449"/>
    <w:rsid w:val="00C97C5E"/>
    <w:rsid w:val="00CA26B4"/>
    <w:rsid w:val="00CA2DBE"/>
    <w:rsid w:val="00CA3EB9"/>
    <w:rsid w:val="00CA52E8"/>
    <w:rsid w:val="00CA70DC"/>
    <w:rsid w:val="00CA72C8"/>
    <w:rsid w:val="00CA75BF"/>
    <w:rsid w:val="00CA765F"/>
    <w:rsid w:val="00CA7AF6"/>
    <w:rsid w:val="00CB01A8"/>
    <w:rsid w:val="00CB04B4"/>
    <w:rsid w:val="00CB0D84"/>
    <w:rsid w:val="00CB0FFC"/>
    <w:rsid w:val="00CB3DA9"/>
    <w:rsid w:val="00CB4907"/>
    <w:rsid w:val="00CB5F40"/>
    <w:rsid w:val="00CC00EC"/>
    <w:rsid w:val="00CC0D85"/>
    <w:rsid w:val="00CC3FF4"/>
    <w:rsid w:val="00CC4124"/>
    <w:rsid w:val="00CC4396"/>
    <w:rsid w:val="00CC4F39"/>
    <w:rsid w:val="00CC60A2"/>
    <w:rsid w:val="00CC793B"/>
    <w:rsid w:val="00CD1FC2"/>
    <w:rsid w:val="00CD3D3F"/>
    <w:rsid w:val="00CD525F"/>
    <w:rsid w:val="00CD5E6C"/>
    <w:rsid w:val="00CD6A04"/>
    <w:rsid w:val="00CD741E"/>
    <w:rsid w:val="00CE12CB"/>
    <w:rsid w:val="00CE24DC"/>
    <w:rsid w:val="00CE3AEA"/>
    <w:rsid w:val="00CE3D63"/>
    <w:rsid w:val="00CE463D"/>
    <w:rsid w:val="00CE7CAA"/>
    <w:rsid w:val="00CF276F"/>
    <w:rsid w:val="00CF27DB"/>
    <w:rsid w:val="00CF3535"/>
    <w:rsid w:val="00CF5B64"/>
    <w:rsid w:val="00CF6157"/>
    <w:rsid w:val="00CF6CE8"/>
    <w:rsid w:val="00CF7DCB"/>
    <w:rsid w:val="00D00D79"/>
    <w:rsid w:val="00D01EE6"/>
    <w:rsid w:val="00D0558A"/>
    <w:rsid w:val="00D05F7D"/>
    <w:rsid w:val="00D07672"/>
    <w:rsid w:val="00D07B69"/>
    <w:rsid w:val="00D1039A"/>
    <w:rsid w:val="00D10C6A"/>
    <w:rsid w:val="00D15571"/>
    <w:rsid w:val="00D15A8F"/>
    <w:rsid w:val="00D17E4E"/>
    <w:rsid w:val="00D22821"/>
    <w:rsid w:val="00D25121"/>
    <w:rsid w:val="00D301B6"/>
    <w:rsid w:val="00D32C12"/>
    <w:rsid w:val="00D340F2"/>
    <w:rsid w:val="00D34ED0"/>
    <w:rsid w:val="00D35310"/>
    <w:rsid w:val="00D35471"/>
    <w:rsid w:val="00D3684C"/>
    <w:rsid w:val="00D368C9"/>
    <w:rsid w:val="00D3721D"/>
    <w:rsid w:val="00D41007"/>
    <w:rsid w:val="00D42C05"/>
    <w:rsid w:val="00D43552"/>
    <w:rsid w:val="00D45835"/>
    <w:rsid w:val="00D471BB"/>
    <w:rsid w:val="00D50D88"/>
    <w:rsid w:val="00D530FC"/>
    <w:rsid w:val="00D537DB"/>
    <w:rsid w:val="00D54D03"/>
    <w:rsid w:val="00D54E47"/>
    <w:rsid w:val="00D6330F"/>
    <w:rsid w:val="00D63F5E"/>
    <w:rsid w:val="00D65560"/>
    <w:rsid w:val="00D65BB7"/>
    <w:rsid w:val="00D66D54"/>
    <w:rsid w:val="00D67367"/>
    <w:rsid w:val="00D677D8"/>
    <w:rsid w:val="00D748DE"/>
    <w:rsid w:val="00D74A6B"/>
    <w:rsid w:val="00D80DEE"/>
    <w:rsid w:val="00D82AC5"/>
    <w:rsid w:val="00D83714"/>
    <w:rsid w:val="00D8418F"/>
    <w:rsid w:val="00D85F88"/>
    <w:rsid w:val="00D8615A"/>
    <w:rsid w:val="00D86781"/>
    <w:rsid w:val="00D8683D"/>
    <w:rsid w:val="00D90441"/>
    <w:rsid w:val="00D906D3"/>
    <w:rsid w:val="00D94AE3"/>
    <w:rsid w:val="00D961A0"/>
    <w:rsid w:val="00D972FD"/>
    <w:rsid w:val="00D97B51"/>
    <w:rsid w:val="00DA32A6"/>
    <w:rsid w:val="00DA3F25"/>
    <w:rsid w:val="00DA6537"/>
    <w:rsid w:val="00DB07D2"/>
    <w:rsid w:val="00DB2A2C"/>
    <w:rsid w:val="00DB41DD"/>
    <w:rsid w:val="00DB58B4"/>
    <w:rsid w:val="00DB5B77"/>
    <w:rsid w:val="00DB6E1E"/>
    <w:rsid w:val="00DC01EE"/>
    <w:rsid w:val="00DC0E1D"/>
    <w:rsid w:val="00DC0F47"/>
    <w:rsid w:val="00DD23A6"/>
    <w:rsid w:val="00DD27B1"/>
    <w:rsid w:val="00DD28C8"/>
    <w:rsid w:val="00DD2D9C"/>
    <w:rsid w:val="00DE21FF"/>
    <w:rsid w:val="00DE4A36"/>
    <w:rsid w:val="00DF17ED"/>
    <w:rsid w:val="00DF4541"/>
    <w:rsid w:val="00E011B3"/>
    <w:rsid w:val="00E0389A"/>
    <w:rsid w:val="00E03ED5"/>
    <w:rsid w:val="00E04457"/>
    <w:rsid w:val="00E04665"/>
    <w:rsid w:val="00E0708B"/>
    <w:rsid w:val="00E125F6"/>
    <w:rsid w:val="00E13785"/>
    <w:rsid w:val="00E13976"/>
    <w:rsid w:val="00E1486E"/>
    <w:rsid w:val="00E14C5C"/>
    <w:rsid w:val="00E166E6"/>
    <w:rsid w:val="00E244D9"/>
    <w:rsid w:val="00E24763"/>
    <w:rsid w:val="00E25E27"/>
    <w:rsid w:val="00E265CD"/>
    <w:rsid w:val="00E26B23"/>
    <w:rsid w:val="00E318B5"/>
    <w:rsid w:val="00E328C3"/>
    <w:rsid w:val="00E332E5"/>
    <w:rsid w:val="00E33405"/>
    <w:rsid w:val="00E33B32"/>
    <w:rsid w:val="00E40D15"/>
    <w:rsid w:val="00E415E6"/>
    <w:rsid w:val="00E4169C"/>
    <w:rsid w:val="00E42C62"/>
    <w:rsid w:val="00E44E19"/>
    <w:rsid w:val="00E472FE"/>
    <w:rsid w:val="00E47794"/>
    <w:rsid w:val="00E47E9C"/>
    <w:rsid w:val="00E53FB8"/>
    <w:rsid w:val="00E54546"/>
    <w:rsid w:val="00E5632E"/>
    <w:rsid w:val="00E56E54"/>
    <w:rsid w:val="00E6054C"/>
    <w:rsid w:val="00E619B9"/>
    <w:rsid w:val="00E61FE7"/>
    <w:rsid w:val="00E62A46"/>
    <w:rsid w:val="00E62C08"/>
    <w:rsid w:val="00E63133"/>
    <w:rsid w:val="00E639CF"/>
    <w:rsid w:val="00E652BF"/>
    <w:rsid w:val="00E66416"/>
    <w:rsid w:val="00E70ECE"/>
    <w:rsid w:val="00E71B27"/>
    <w:rsid w:val="00E728EB"/>
    <w:rsid w:val="00E73C0C"/>
    <w:rsid w:val="00E77544"/>
    <w:rsid w:val="00E82674"/>
    <w:rsid w:val="00E85AD6"/>
    <w:rsid w:val="00E86EE8"/>
    <w:rsid w:val="00E90ED9"/>
    <w:rsid w:val="00E91CB1"/>
    <w:rsid w:val="00E951AD"/>
    <w:rsid w:val="00E957D5"/>
    <w:rsid w:val="00E95B29"/>
    <w:rsid w:val="00E967D4"/>
    <w:rsid w:val="00E97D55"/>
    <w:rsid w:val="00EA03CF"/>
    <w:rsid w:val="00EA066E"/>
    <w:rsid w:val="00EA1328"/>
    <w:rsid w:val="00EA1666"/>
    <w:rsid w:val="00EA2432"/>
    <w:rsid w:val="00EA2603"/>
    <w:rsid w:val="00EA2EE4"/>
    <w:rsid w:val="00EA4F84"/>
    <w:rsid w:val="00EA5BB4"/>
    <w:rsid w:val="00EA62E9"/>
    <w:rsid w:val="00EB2D85"/>
    <w:rsid w:val="00EB3367"/>
    <w:rsid w:val="00EB4B30"/>
    <w:rsid w:val="00EB4DDD"/>
    <w:rsid w:val="00EB65F8"/>
    <w:rsid w:val="00EB67CF"/>
    <w:rsid w:val="00EB69AC"/>
    <w:rsid w:val="00EB6B76"/>
    <w:rsid w:val="00EB74C3"/>
    <w:rsid w:val="00EC0FF1"/>
    <w:rsid w:val="00EC20A6"/>
    <w:rsid w:val="00EC2907"/>
    <w:rsid w:val="00EC3EA7"/>
    <w:rsid w:val="00EC416F"/>
    <w:rsid w:val="00EC5766"/>
    <w:rsid w:val="00EC5E42"/>
    <w:rsid w:val="00ED0DB7"/>
    <w:rsid w:val="00ED4D5C"/>
    <w:rsid w:val="00ED7E32"/>
    <w:rsid w:val="00EE0510"/>
    <w:rsid w:val="00EE28C4"/>
    <w:rsid w:val="00EE4925"/>
    <w:rsid w:val="00EE4C5C"/>
    <w:rsid w:val="00EE5A74"/>
    <w:rsid w:val="00EE6868"/>
    <w:rsid w:val="00EF1C43"/>
    <w:rsid w:val="00EF1C6D"/>
    <w:rsid w:val="00EF27DD"/>
    <w:rsid w:val="00EF2B15"/>
    <w:rsid w:val="00EF47C3"/>
    <w:rsid w:val="00EF4AB9"/>
    <w:rsid w:val="00EF4BB9"/>
    <w:rsid w:val="00EF6AF2"/>
    <w:rsid w:val="00F03660"/>
    <w:rsid w:val="00F036C7"/>
    <w:rsid w:val="00F03D7C"/>
    <w:rsid w:val="00F05D02"/>
    <w:rsid w:val="00F05F22"/>
    <w:rsid w:val="00F06337"/>
    <w:rsid w:val="00F0634F"/>
    <w:rsid w:val="00F06EE9"/>
    <w:rsid w:val="00F11973"/>
    <w:rsid w:val="00F12FEE"/>
    <w:rsid w:val="00F132EF"/>
    <w:rsid w:val="00F14E2F"/>
    <w:rsid w:val="00F15CEB"/>
    <w:rsid w:val="00F20A88"/>
    <w:rsid w:val="00F228F0"/>
    <w:rsid w:val="00F23C89"/>
    <w:rsid w:val="00F25316"/>
    <w:rsid w:val="00F26415"/>
    <w:rsid w:val="00F2735B"/>
    <w:rsid w:val="00F3056D"/>
    <w:rsid w:val="00F30F8C"/>
    <w:rsid w:val="00F3102B"/>
    <w:rsid w:val="00F34BCD"/>
    <w:rsid w:val="00F36A46"/>
    <w:rsid w:val="00F36C0D"/>
    <w:rsid w:val="00F36D0B"/>
    <w:rsid w:val="00F36EC8"/>
    <w:rsid w:val="00F37BCB"/>
    <w:rsid w:val="00F40561"/>
    <w:rsid w:val="00F405DF"/>
    <w:rsid w:val="00F409D7"/>
    <w:rsid w:val="00F425C5"/>
    <w:rsid w:val="00F42C5E"/>
    <w:rsid w:val="00F43E1A"/>
    <w:rsid w:val="00F43F3D"/>
    <w:rsid w:val="00F45298"/>
    <w:rsid w:val="00F456FB"/>
    <w:rsid w:val="00F4705C"/>
    <w:rsid w:val="00F47150"/>
    <w:rsid w:val="00F50CA7"/>
    <w:rsid w:val="00F5184A"/>
    <w:rsid w:val="00F54639"/>
    <w:rsid w:val="00F54721"/>
    <w:rsid w:val="00F570A5"/>
    <w:rsid w:val="00F60982"/>
    <w:rsid w:val="00F62AE5"/>
    <w:rsid w:val="00F62B49"/>
    <w:rsid w:val="00F66B6B"/>
    <w:rsid w:val="00F71C25"/>
    <w:rsid w:val="00F7379E"/>
    <w:rsid w:val="00F739DB"/>
    <w:rsid w:val="00F74D93"/>
    <w:rsid w:val="00F77B16"/>
    <w:rsid w:val="00F802DD"/>
    <w:rsid w:val="00F808EC"/>
    <w:rsid w:val="00F83242"/>
    <w:rsid w:val="00F839F9"/>
    <w:rsid w:val="00F85210"/>
    <w:rsid w:val="00F85283"/>
    <w:rsid w:val="00F8581F"/>
    <w:rsid w:val="00F85C13"/>
    <w:rsid w:val="00F86204"/>
    <w:rsid w:val="00F8785B"/>
    <w:rsid w:val="00F904E8"/>
    <w:rsid w:val="00F91980"/>
    <w:rsid w:val="00F92399"/>
    <w:rsid w:val="00F923DA"/>
    <w:rsid w:val="00F9267D"/>
    <w:rsid w:val="00F926CF"/>
    <w:rsid w:val="00FA020C"/>
    <w:rsid w:val="00FA1FD8"/>
    <w:rsid w:val="00FA363B"/>
    <w:rsid w:val="00FA38EA"/>
    <w:rsid w:val="00FA3D0F"/>
    <w:rsid w:val="00FA452D"/>
    <w:rsid w:val="00FA50E8"/>
    <w:rsid w:val="00FA5835"/>
    <w:rsid w:val="00FA59F5"/>
    <w:rsid w:val="00FA6B41"/>
    <w:rsid w:val="00FB2D34"/>
    <w:rsid w:val="00FB376B"/>
    <w:rsid w:val="00FB3B44"/>
    <w:rsid w:val="00FB3F5F"/>
    <w:rsid w:val="00FB585F"/>
    <w:rsid w:val="00FB5CF0"/>
    <w:rsid w:val="00FB6CC1"/>
    <w:rsid w:val="00FB75A1"/>
    <w:rsid w:val="00FB7B18"/>
    <w:rsid w:val="00FC0BF6"/>
    <w:rsid w:val="00FC10DA"/>
    <w:rsid w:val="00FC2403"/>
    <w:rsid w:val="00FC5346"/>
    <w:rsid w:val="00FC61E6"/>
    <w:rsid w:val="00FC77AA"/>
    <w:rsid w:val="00FD3BF7"/>
    <w:rsid w:val="00FD5604"/>
    <w:rsid w:val="00FE051B"/>
    <w:rsid w:val="00FE1DF3"/>
    <w:rsid w:val="00FE60CF"/>
    <w:rsid w:val="00FE664D"/>
    <w:rsid w:val="00FF0B6F"/>
    <w:rsid w:val="00FF0F96"/>
    <w:rsid w:val="00FF1520"/>
    <w:rsid w:val="00FF28DD"/>
    <w:rsid w:val="00FF3B30"/>
    <w:rsid w:val="00FF4193"/>
    <w:rsid w:val="00FF46DC"/>
    <w:rsid w:val="00FF5190"/>
    <w:rsid w:val="00FF613F"/>
    <w:rsid w:val="3313B0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F81CD"/>
  <w15:docId w15:val="{C3E5D7ED-E198-4D72-B6E7-569D7E1C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4A2"/>
    <w:pPr>
      <w:spacing w:after="200" w:line="276" w:lineRule="auto"/>
    </w:pPr>
    <w:rPr>
      <w:sz w:val="22"/>
      <w:szCs w:val="22"/>
      <w:lang w:eastAsia="en-US"/>
    </w:rPr>
  </w:style>
  <w:style w:type="paragraph" w:styleId="Ttulo1">
    <w:name w:val="heading 1"/>
    <w:basedOn w:val="Normal"/>
    <w:link w:val="Ttulo1Char"/>
    <w:uiPriority w:val="9"/>
    <w:qFormat/>
    <w:rsid w:val="00CE463D"/>
    <w:pPr>
      <w:spacing w:before="100" w:beforeAutospacing="1" w:after="100" w:afterAutospacing="1" w:line="240" w:lineRule="auto"/>
      <w:outlineLvl w:val="0"/>
    </w:pPr>
    <w:rPr>
      <w:rFonts w:ascii="Times New Roman" w:eastAsia="Times New Roman" w:hAnsi="Times New Roman"/>
      <w:b/>
      <w:bCs/>
      <w:kern w:val="36"/>
      <w:sz w:val="48"/>
      <w:szCs w:val="48"/>
      <w:lang w:eastAsia="pt-BR"/>
    </w:rPr>
  </w:style>
  <w:style w:type="paragraph" w:styleId="Ttulo2">
    <w:name w:val="heading 2"/>
    <w:basedOn w:val="Normal"/>
    <w:next w:val="Normal"/>
    <w:link w:val="Ttulo2Char"/>
    <w:uiPriority w:val="9"/>
    <w:unhideWhenUsed/>
    <w:qFormat/>
    <w:rsid w:val="004C60A8"/>
    <w:pPr>
      <w:keepNext/>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har"/>
    <w:uiPriority w:val="9"/>
    <w:unhideWhenUsed/>
    <w:qFormat/>
    <w:rsid w:val="00F60982"/>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har"/>
    <w:uiPriority w:val="9"/>
    <w:unhideWhenUsed/>
    <w:qFormat/>
    <w:rsid w:val="00F60982"/>
    <w:pPr>
      <w:keepNext/>
      <w:keepLines/>
      <w:spacing w:before="200" w:after="0"/>
      <w:jc w:val="both"/>
      <w:outlineLvl w:val="3"/>
    </w:pPr>
    <w:rPr>
      <w:rFonts w:ascii="Cambria" w:eastAsia="Times New Roman" w:hAnsi="Cambria"/>
      <w:b/>
      <w:bCs/>
      <w:i/>
      <w:iCs/>
      <w:color w:val="4F81BD"/>
    </w:rPr>
  </w:style>
  <w:style w:type="paragraph" w:styleId="Ttulo5">
    <w:name w:val="heading 5"/>
    <w:basedOn w:val="Normal"/>
    <w:next w:val="Normal"/>
    <w:link w:val="Ttulo5Char"/>
    <w:semiHidden/>
    <w:unhideWhenUsed/>
    <w:qFormat/>
    <w:rsid w:val="002453A7"/>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01B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01BED"/>
  </w:style>
  <w:style w:type="paragraph" w:styleId="Rodap">
    <w:name w:val="footer"/>
    <w:basedOn w:val="Normal"/>
    <w:link w:val="RodapChar"/>
    <w:uiPriority w:val="99"/>
    <w:unhideWhenUsed/>
    <w:rsid w:val="00201BED"/>
    <w:pPr>
      <w:tabs>
        <w:tab w:val="center" w:pos="4252"/>
        <w:tab w:val="right" w:pos="8504"/>
      </w:tabs>
      <w:spacing w:after="0" w:line="240" w:lineRule="auto"/>
    </w:pPr>
  </w:style>
  <w:style w:type="character" w:customStyle="1" w:styleId="RodapChar">
    <w:name w:val="Rodapé Char"/>
    <w:basedOn w:val="Fontepargpadro"/>
    <w:link w:val="Rodap"/>
    <w:uiPriority w:val="99"/>
    <w:rsid w:val="00201BED"/>
  </w:style>
  <w:style w:type="paragraph" w:styleId="Textodebalo">
    <w:name w:val="Balloon Text"/>
    <w:basedOn w:val="Normal"/>
    <w:link w:val="TextodebaloChar"/>
    <w:uiPriority w:val="99"/>
    <w:semiHidden/>
    <w:unhideWhenUsed/>
    <w:rsid w:val="00201BED"/>
    <w:pPr>
      <w:spacing w:after="0" w:line="240" w:lineRule="auto"/>
    </w:pPr>
    <w:rPr>
      <w:rFonts w:ascii="Tahoma" w:hAnsi="Tahoma"/>
      <w:sz w:val="16"/>
      <w:szCs w:val="16"/>
    </w:rPr>
  </w:style>
  <w:style w:type="character" w:customStyle="1" w:styleId="TextodebaloChar">
    <w:name w:val="Texto de balão Char"/>
    <w:link w:val="Textodebalo"/>
    <w:uiPriority w:val="99"/>
    <w:semiHidden/>
    <w:rsid w:val="00201BED"/>
    <w:rPr>
      <w:rFonts w:ascii="Tahoma" w:hAnsi="Tahoma" w:cs="Tahoma"/>
      <w:sz w:val="16"/>
      <w:szCs w:val="16"/>
    </w:rPr>
  </w:style>
  <w:style w:type="character" w:customStyle="1" w:styleId="hps">
    <w:name w:val="hps"/>
    <w:basedOn w:val="Fontepargpadro"/>
    <w:uiPriority w:val="99"/>
    <w:rsid w:val="00F30F8C"/>
  </w:style>
  <w:style w:type="character" w:customStyle="1" w:styleId="Ttulo1Char">
    <w:name w:val="Título 1 Char"/>
    <w:link w:val="Ttulo1"/>
    <w:uiPriority w:val="9"/>
    <w:rsid w:val="00CE463D"/>
    <w:rPr>
      <w:rFonts w:ascii="Times New Roman" w:eastAsia="Times New Roman" w:hAnsi="Times New Roman" w:cs="Times New Roman"/>
      <w:b/>
      <w:bCs/>
      <w:kern w:val="36"/>
      <w:sz w:val="48"/>
      <w:szCs w:val="48"/>
      <w:lang w:eastAsia="pt-BR"/>
    </w:rPr>
  </w:style>
  <w:style w:type="character" w:styleId="Hyperlink">
    <w:name w:val="Hyperlink"/>
    <w:uiPriority w:val="99"/>
    <w:unhideWhenUsed/>
    <w:rsid w:val="003A15A1"/>
    <w:rPr>
      <w:color w:val="0000FF"/>
      <w:u w:val="single"/>
    </w:rPr>
  </w:style>
  <w:style w:type="table" w:styleId="Tabelacomgrade">
    <w:name w:val="Table Grid"/>
    <w:basedOn w:val="Tabelanormal"/>
    <w:uiPriority w:val="39"/>
    <w:rsid w:val="00FF613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mentoClaro1">
    <w:name w:val="Sombreamento Claro1"/>
    <w:basedOn w:val="Tabelanormal"/>
    <w:uiPriority w:val="60"/>
    <w:rsid w:val="00FF61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Refdecomentrio">
    <w:name w:val="annotation reference"/>
    <w:uiPriority w:val="99"/>
    <w:semiHidden/>
    <w:unhideWhenUsed/>
    <w:rsid w:val="00DA3F25"/>
    <w:rPr>
      <w:sz w:val="16"/>
      <w:szCs w:val="16"/>
    </w:rPr>
  </w:style>
  <w:style w:type="paragraph" w:styleId="Textodecomentrio">
    <w:name w:val="annotation text"/>
    <w:basedOn w:val="Normal"/>
    <w:link w:val="TextodecomentrioChar"/>
    <w:uiPriority w:val="99"/>
    <w:unhideWhenUsed/>
    <w:rsid w:val="00DA3F25"/>
    <w:pPr>
      <w:spacing w:line="240" w:lineRule="auto"/>
    </w:pPr>
    <w:rPr>
      <w:sz w:val="20"/>
      <w:szCs w:val="20"/>
    </w:rPr>
  </w:style>
  <w:style w:type="character" w:customStyle="1" w:styleId="TextodecomentrioChar">
    <w:name w:val="Texto de comentário Char"/>
    <w:link w:val="Textodecomentrio"/>
    <w:uiPriority w:val="99"/>
    <w:rsid w:val="00DA3F25"/>
    <w:rPr>
      <w:sz w:val="20"/>
      <w:szCs w:val="20"/>
    </w:rPr>
  </w:style>
  <w:style w:type="paragraph" w:styleId="Assuntodocomentrio">
    <w:name w:val="annotation subject"/>
    <w:basedOn w:val="Textodecomentrio"/>
    <w:next w:val="Textodecomentrio"/>
    <w:link w:val="AssuntodocomentrioChar"/>
    <w:uiPriority w:val="99"/>
    <w:semiHidden/>
    <w:unhideWhenUsed/>
    <w:rsid w:val="00DA3F25"/>
    <w:rPr>
      <w:b/>
      <w:bCs/>
    </w:rPr>
  </w:style>
  <w:style w:type="character" w:customStyle="1" w:styleId="AssuntodocomentrioChar">
    <w:name w:val="Assunto do comentário Char"/>
    <w:link w:val="Assuntodocomentrio"/>
    <w:uiPriority w:val="99"/>
    <w:semiHidden/>
    <w:rsid w:val="00DA3F25"/>
    <w:rPr>
      <w:b/>
      <w:bCs/>
      <w:sz w:val="20"/>
      <w:szCs w:val="20"/>
    </w:rPr>
  </w:style>
  <w:style w:type="table" w:customStyle="1" w:styleId="SombreamentoClaro2">
    <w:name w:val="Sombreamento Claro2"/>
    <w:basedOn w:val="Tabelanormal"/>
    <w:uiPriority w:val="60"/>
    <w:rsid w:val="00A81358"/>
    <w:rPr>
      <w:rFonts w:ascii="Times New Roman" w:eastAsia="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uthors">
    <w:name w:val="authors"/>
    <w:basedOn w:val="Fontepargpadro"/>
    <w:rsid w:val="000C31E2"/>
  </w:style>
  <w:style w:type="paragraph" w:styleId="Legenda">
    <w:name w:val="caption"/>
    <w:basedOn w:val="Normal"/>
    <w:next w:val="Normal"/>
    <w:uiPriority w:val="35"/>
    <w:unhideWhenUsed/>
    <w:qFormat/>
    <w:rsid w:val="009141F7"/>
    <w:pPr>
      <w:spacing w:line="240" w:lineRule="auto"/>
    </w:pPr>
    <w:rPr>
      <w:rFonts w:eastAsia="Times New Roman"/>
      <w:b/>
      <w:bCs/>
      <w:color w:val="4F81BD"/>
      <w:sz w:val="18"/>
      <w:szCs w:val="18"/>
      <w:lang w:eastAsia="pt-BR"/>
    </w:rPr>
  </w:style>
  <w:style w:type="table" w:customStyle="1" w:styleId="SombreamentoClaro21">
    <w:name w:val="Sombreamento Claro21"/>
    <w:basedOn w:val="Tabelanormal"/>
    <w:uiPriority w:val="60"/>
    <w:rsid w:val="009141F7"/>
    <w:rPr>
      <w:rFonts w:eastAsia="Times New Roman"/>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PargrafodaLista">
    <w:name w:val="List Paragraph"/>
    <w:basedOn w:val="Normal"/>
    <w:link w:val="PargrafodaListaChar"/>
    <w:uiPriority w:val="34"/>
    <w:qFormat/>
    <w:rsid w:val="00FC5346"/>
    <w:pPr>
      <w:ind w:left="720"/>
      <w:contextualSpacing/>
    </w:pPr>
  </w:style>
  <w:style w:type="character" w:customStyle="1" w:styleId="A2">
    <w:name w:val="A2"/>
    <w:uiPriority w:val="99"/>
    <w:rsid w:val="00C8327D"/>
    <w:rPr>
      <w:color w:val="000000"/>
    </w:rPr>
  </w:style>
  <w:style w:type="paragraph" w:styleId="NormalWeb">
    <w:name w:val="Normal (Web)"/>
    <w:basedOn w:val="Normal"/>
    <w:uiPriority w:val="99"/>
    <w:rsid w:val="00C12A14"/>
    <w:pPr>
      <w:spacing w:before="100" w:beforeAutospacing="1" w:after="100" w:afterAutospacing="1" w:line="240" w:lineRule="auto"/>
    </w:pPr>
    <w:rPr>
      <w:rFonts w:ascii="Times New Roman" w:eastAsia="Times New Roman" w:hAnsi="Times New Roman"/>
      <w:sz w:val="24"/>
      <w:szCs w:val="24"/>
      <w:lang w:eastAsia="pt-BR"/>
    </w:rPr>
  </w:style>
  <w:style w:type="paragraph" w:styleId="Corpodetexto">
    <w:name w:val="Body Text"/>
    <w:basedOn w:val="Normal"/>
    <w:link w:val="CorpodetextoChar"/>
    <w:uiPriority w:val="99"/>
    <w:unhideWhenUsed/>
    <w:rsid w:val="001564E1"/>
    <w:pPr>
      <w:spacing w:after="120"/>
    </w:pPr>
    <w:rPr>
      <w:sz w:val="20"/>
      <w:szCs w:val="20"/>
    </w:rPr>
  </w:style>
  <w:style w:type="character" w:customStyle="1" w:styleId="CorpodetextoChar">
    <w:name w:val="Corpo de texto Char"/>
    <w:link w:val="Corpodetexto"/>
    <w:uiPriority w:val="99"/>
    <w:rsid w:val="001564E1"/>
  </w:style>
  <w:style w:type="paragraph" w:customStyle="1" w:styleId="Default">
    <w:name w:val="Default"/>
    <w:rsid w:val="00A8626B"/>
    <w:pPr>
      <w:autoSpaceDE w:val="0"/>
      <w:autoSpaceDN w:val="0"/>
      <w:adjustRightInd w:val="0"/>
    </w:pPr>
    <w:rPr>
      <w:rFonts w:ascii="Times New Roman" w:hAnsi="Times New Roman"/>
      <w:color w:val="000000"/>
      <w:sz w:val="24"/>
      <w:szCs w:val="24"/>
      <w:u w:val="single"/>
      <w:lang w:eastAsia="en-US"/>
    </w:rPr>
  </w:style>
  <w:style w:type="paragraph" w:customStyle="1" w:styleId="Anattexto">
    <w:name w:val="Anat texto"/>
    <w:rsid w:val="00A8626B"/>
    <w:pPr>
      <w:spacing w:before="120" w:after="120"/>
      <w:ind w:firstLine="709"/>
      <w:jc w:val="both"/>
    </w:pPr>
    <w:rPr>
      <w:rFonts w:ascii="Tahoma" w:eastAsia="Arial Unicode MS" w:hAnsi="Tahoma" w:cs="Arial Unicode MS"/>
      <w:sz w:val="24"/>
      <w:szCs w:val="24"/>
    </w:rPr>
  </w:style>
  <w:style w:type="character" w:customStyle="1" w:styleId="A5">
    <w:name w:val="A5"/>
    <w:uiPriority w:val="99"/>
    <w:rsid w:val="00A8626B"/>
    <w:rPr>
      <w:color w:val="000000"/>
      <w:sz w:val="20"/>
      <w:szCs w:val="20"/>
    </w:rPr>
  </w:style>
  <w:style w:type="character" w:customStyle="1" w:styleId="apple-converted-space">
    <w:name w:val="apple-converted-space"/>
    <w:basedOn w:val="Fontepargpadro"/>
    <w:rsid w:val="00FD3BF7"/>
  </w:style>
  <w:style w:type="character" w:styleId="Nmerodelinha">
    <w:name w:val="line number"/>
    <w:basedOn w:val="Fontepargpadro"/>
    <w:uiPriority w:val="99"/>
    <w:semiHidden/>
    <w:unhideWhenUsed/>
    <w:rsid w:val="0057746E"/>
  </w:style>
  <w:style w:type="paragraph" w:styleId="SemEspaamento">
    <w:name w:val="No Spacing"/>
    <w:link w:val="SemEspaamentoChar"/>
    <w:uiPriority w:val="1"/>
    <w:qFormat/>
    <w:rsid w:val="00E472FE"/>
    <w:rPr>
      <w:rFonts w:ascii="Arial" w:hAnsi="Arial"/>
      <w:sz w:val="24"/>
      <w:szCs w:val="22"/>
      <w:lang w:eastAsia="en-US"/>
    </w:rPr>
  </w:style>
  <w:style w:type="character" w:customStyle="1" w:styleId="apple-style-span">
    <w:name w:val="apple-style-span"/>
    <w:basedOn w:val="Fontepargpadro"/>
    <w:rsid w:val="00A668B5"/>
  </w:style>
  <w:style w:type="character" w:customStyle="1" w:styleId="A3">
    <w:name w:val="A3"/>
    <w:uiPriority w:val="99"/>
    <w:rsid w:val="00981AC9"/>
    <w:rPr>
      <w:color w:val="000000"/>
      <w:sz w:val="20"/>
      <w:szCs w:val="20"/>
    </w:rPr>
  </w:style>
  <w:style w:type="paragraph" w:styleId="Ttulo">
    <w:name w:val="Title"/>
    <w:basedOn w:val="Normal"/>
    <w:link w:val="TtuloChar"/>
    <w:qFormat/>
    <w:rsid w:val="00E244D9"/>
    <w:pPr>
      <w:tabs>
        <w:tab w:val="left" w:pos="720"/>
      </w:tabs>
      <w:spacing w:before="240" w:after="0" w:line="240" w:lineRule="auto"/>
      <w:ind w:firstLine="397"/>
      <w:jc w:val="center"/>
    </w:pPr>
    <w:rPr>
      <w:rFonts w:ascii="Times" w:eastAsia="Times New Roman" w:hAnsi="Times"/>
      <w:b/>
      <w:bCs/>
      <w:sz w:val="32"/>
      <w:szCs w:val="32"/>
      <w:lang w:val="en-US"/>
    </w:rPr>
  </w:style>
  <w:style w:type="character" w:customStyle="1" w:styleId="TtuloChar">
    <w:name w:val="Título Char"/>
    <w:link w:val="Ttulo"/>
    <w:rsid w:val="00E244D9"/>
    <w:rPr>
      <w:rFonts w:ascii="Times" w:eastAsia="Times New Roman" w:hAnsi="Times" w:cs="Arial"/>
      <w:b/>
      <w:bCs/>
      <w:sz w:val="32"/>
      <w:szCs w:val="32"/>
      <w:lang w:val="en-US"/>
    </w:rPr>
  </w:style>
  <w:style w:type="paragraph" w:customStyle="1" w:styleId="Figure">
    <w:name w:val="Figure"/>
    <w:basedOn w:val="Normal"/>
    <w:rsid w:val="00115EAE"/>
    <w:pPr>
      <w:tabs>
        <w:tab w:val="left" w:pos="720"/>
      </w:tabs>
      <w:spacing w:before="120" w:after="0" w:line="240" w:lineRule="auto"/>
      <w:jc w:val="center"/>
    </w:pPr>
    <w:rPr>
      <w:rFonts w:ascii="Times" w:eastAsia="Times New Roman" w:hAnsi="Times"/>
      <w:noProof/>
      <w:sz w:val="24"/>
      <w:szCs w:val="20"/>
      <w:lang w:val="en-US" w:eastAsia="pt-BR"/>
    </w:rPr>
  </w:style>
  <w:style w:type="paragraph" w:customStyle="1" w:styleId="Abstract">
    <w:name w:val="Abstract"/>
    <w:basedOn w:val="Normal"/>
    <w:rsid w:val="00537105"/>
    <w:pPr>
      <w:tabs>
        <w:tab w:val="left" w:pos="720"/>
      </w:tabs>
      <w:spacing w:before="120" w:after="120" w:line="240" w:lineRule="auto"/>
      <w:ind w:left="454" w:right="454"/>
      <w:jc w:val="both"/>
    </w:pPr>
    <w:rPr>
      <w:rFonts w:ascii="Times" w:eastAsia="Times New Roman" w:hAnsi="Times"/>
      <w:i/>
      <w:sz w:val="24"/>
      <w:szCs w:val="24"/>
      <w:lang w:eastAsia="pt-BR"/>
    </w:rPr>
  </w:style>
  <w:style w:type="paragraph" w:styleId="Corpodetexto2">
    <w:name w:val="Body Text 2"/>
    <w:basedOn w:val="Normal"/>
    <w:link w:val="Corpodetexto2Char"/>
    <w:uiPriority w:val="99"/>
    <w:unhideWhenUsed/>
    <w:rsid w:val="00201E24"/>
    <w:pPr>
      <w:spacing w:after="120" w:line="480" w:lineRule="auto"/>
    </w:pPr>
  </w:style>
  <w:style w:type="character" w:customStyle="1" w:styleId="Corpodetexto2Char">
    <w:name w:val="Corpo de texto 2 Char"/>
    <w:link w:val="Corpodetexto2"/>
    <w:uiPriority w:val="99"/>
    <w:rsid w:val="00201E24"/>
    <w:rPr>
      <w:sz w:val="22"/>
      <w:szCs w:val="22"/>
      <w:lang w:eastAsia="en-US"/>
    </w:rPr>
  </w:style>
  <w:style w:type="character" w:styleId="Forte">
    <w:name w:val="Strong"/>
    <w:uiPriority w:val="22"/>
    <w:qFormat/>
    <w:rsid w:val="0097270C"/>
    <w:rPr>
      <w:rFonts w:cs="Times New Roman"/>
      <w:b/>
      <w:bCs/>
    </w:rPr>
  </w:style>
  <w:style w:type="paragraph" w:styleId="Recuodecorpodetexto2">
    <w:name w:val="Body Text Indent 2"/>
    <w:basedOn w:val="Normal"/>
    <w:link w:val="Recuodecorpodetexto2Char"/>
    <w:uiPriority w:val="99"/>
    <w:unhideWhenUsed/>
    <w:rsid w:val="0097270C"/>
    <w:pPr>
      <w:spacing w:before="240" w:after="120" w:line="480" w:lineRule="auto"/>
      <w:ind w:left="283"/>
      <w:jc w:val="both"/>
    </w:pPr>
    <w:rPr>
      <w:rFonts w:eastAsia="Times New Roman"/>
    </w:rPr>
  </w:style>
  <w:style w:type="character" w:customStyle="1" w:styleId="Recuodecorpodetexto2Char">
    <w:name w:val="Recuo de corpo de texto 2 Char"/>
    <w:link w:val="Recuodecorpodetexto2"/>
    <w:uiPriority w:val="99"/>
    <w:rsid w:val="0097270C"/>
    <w:rPr>
      <w:rFonts w:ascii="Calibri" w:eastAsia="Times New Roman" w:hAnsi="Calibri" w:cs="Times New Roman"/>
      <w:sz w:val="22"/>
      <w:szCs w:val="22"/>
    </w:rPr>
  </w:style>
  <w:style w:type="paragraph" w:customStyle="1" w:styleId="Pa9">
    <w:name w:val="Pa9"/>
    <w:basedOn w:val="Default"/>
    <w:next w:val="Default"/>
    <w:uiPriority w:val="99"/>
    <w:rsid w:val="0097270C"/>
    <w:pPr>
      <w:spacing w:line="241" w:lineRule="atLeast"/>
    </w:pPr>
    <w:rPr>
      <w:rFonts w:eastAsia="Times New Roman"/>
      <w:color w:val="auto"/>
      <w:u w:val="none"/>
      <w:lang w:eastAsia="pt-BR"/>
    </w:rPr>
  </w:style>
  <w:style w:type="paragraph" w:styleId="Corpodetexto3">
    <w:name w:val="Body Text 3"/>
    <w:basedOn w:val="Normal"/>
    <w:link w:val="Corpodetexto3Char"/>
    <w:uiPriority w:val="99"/>
    <w:unhideWhenUsed/>
    <w:rsid w:val="00AC3A45"/>
    <w:pPr>
      <w:spacing w:before="240" w:after="120" w:line="480" w:lineRule="auto"/>
      <w:jc w:val="both"/>
    </w:pPr>
    <w:rPr>
      <w:rFonts w:ascii="Times New Roman" w:eastAsia="Times New Roman" w:hAnsi="Times New Roman"/>
      <w:sz w:val="16"/>
      <w:szCs w:val="16"/>
    </w:rPr>
  </w:style>
  <w:style w:type="character" w:customStyle="1" w:styleId="Corpodetexto3Char">
    <w:name w:val="Corpo de texto 3 Char"/>
    <w:link w:val="Corpodetexto3"/>
    <w:uiPriority w:val="99"/>
    <w:rsid w:val="00AC3A45"/>
    <w:rPr>
      <w:rFonts w:ascii="Times New Roman" w:eastAsia="Times New Roman" w:hAnsi="Times New Roman"/>
      <w:sz w:val="16"/>
      <w:szCs w:val="16"/>
    </w:rPr>
  </w:style>
  <w:style w:type="character" w:customStyle="1" w:styleId="Ttulo2Char">
    <w:name w:val="Título 2 Char"/>
    <w:link w:val="Ttulo2"/>
    <w:uiPriority w:val="9"/>
    <w:rsid w:val="004C60A8"/>
    <w:rPr>
      <w:rFonts w:ascii="Cambria" w:eastAsia="Times New Roman" w:hAnsi="Cambria" w:cs="Times New Roman"/>
      <w:b/>
      <w:bCs/>
      <w:i/>
      <w:iCs/>
      <w:sz w:val="28"/>
      <w:szCs w:val="28"/>
      <w:lang w:eastAsia="en-US"/>
    </w:rPr>
  </w:style>
  <w:style w:type="character" w:customStyle="1" w:styleId="Ttulo3Char">
    <w:name w:val="Título 3 Char"/>
    <w:link w:val="Ttulo3"/>
    <w:uiPriority w:val="9"/>
    <w:rsid w:val="00F60982"/>
    <w:rPr>
      <w:rFonts w:ascii="Cambria" w:eastAsia="Times New Roman" w:hAnsi="Cambria" w:cs="Times New Roman"/>
      <w:b/>
      <w:bCs/>
      <w:sz w:val="26"/>
      <w:szCs w:val="26"/>
      <w:lang w:eastAsia="en-US"/>
    </w:rPr>
  </w:style>
  <w:style w:type="character" w:customStyle="1" w:styleId="Ttulo4Char">
    <w:name w:val="Título 4 Char"/>
    <w:link w:val="Ttulo4"/>
    <w:uiPriority w:val="9"/>
    <w:rsid w:val="00F60982"/>
    <w:rPr>
      <w:rFonts w:ascii="Cambria" w:eastAsia="Times New Roman" w:hAnsi="Cambria" w:cs="Times New Roman"/>
      <w:b/>
      <w:bCs/>
      <w:i/>
      <w:iCs/>
      <w:color w:val="4F81BD"/>
      <w:sz w:val="22"/>
      <w:szCs w:val="22"/>
    </w:rPr>
  </w:style>
  <w:style w:type="paragraph" w:customStyle="1" w:styleId="Padro">
    <w:name w:val="Padrão"/>
    <w:rsid w:val="00DF17ED"/>
    <w:pPr>
      <w:tabs>
        <w:tab w:val="left" w:pos="708"/>
      </w:tabs>
      <w:suppressAutoHyphens/>
      <w:spacing w:line="100" w:lineRule="atLeast"/>
    </w:pPr>
    <w:rPr>
      <w:rFonts w:ascii="Times New Roman" w:eastAsia="Times New Roman" w:hAnsi="Times New Roman"/>
      <w:sz w:val="24"/>
      <w:szCs w:val="24"/>
    </w:rPr>
  </w:style>
  <w:style w:type="paragraph" w:styleId="Commarcadores">
    <w:name w:val="List Bullet"/>
    <w:basedOn w:val="Normal"/>
    <w:uiPriority w:val="99"/>
    <w:unhideWhenUsed/>
    <w:rsid w:val="00E61FE7"/>
    <w:pPr>
      <w:numPr>
        <w:numId w:val="1"/>
      </w:numPr>
      <w:spacing w:after="160" w:line="259" w:lineRule="auto"/>
      <w:contextualSpacing/>
    </w:pPr>
  </w:style>
  <w:style w:type="paragraph" w:styleId="Pr-formataoHTML">
    <w:name w:val="HTML Preformatted"/>
    <w:basedOn w:val="Normal"/>
    <w:link w:val="Pr-formataoHTMLChar"/>
    <w:uiPriority w:val="99"/>
    <w:unhideWhenUsed/>
    <w:rsid w:val="000D3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rsid w:val="000D32FC"/>
    <w:rPr>
      <w:rFonts w:ascii="Courier New" w:eastAsia="Times New Roman" w:hAnsi="Courier New"/>
    </w:rPr>
  </w:style>
  <w:style w:type="paragraph" w:customStyle="1" w:styleId="normal-revista">
    <w:name w:val="normal-revista"/>
    <w:basedOn w:val="Normal"/>
    <w:qFormat/>
    <w:rsid w:val="00224188"/>
    <w:pPr>
      <w:spacing w:after="0" w:line="360" w:lineRule="auto"/>
      <w:ind w:firstLine="284"/>
      <w:jc w:val="both"/>
    </w:pPr>
    <w:rPr>
      <w:rFonts w:ascii="Times New Roman" w:eastAsia="Arial Unicode MS" w:hAnsi="Times New Roman"/>
      <w:sz w:val="24"/>
      <w:szCs w:val="24"/>
    </w:rPr>
  </w:style>
  <w:style w:type="character" w:styleId="nfase">
    <w:name w:val="Emphasis"/>
    <w:uiPriority w:val="20"/>
    <w:qFormat/>
    <w:rsid w:val="00CD6A04"/>
    <w:rPr>
      <w:i/>
      <w:iCs/>
    </w:rPr>
  </w:style>
  <w:style w:type="character" w:customStyle="1" w:styleId="shorttext">
    <w:name w:val="short_text"/>
    <w:basedOn w:val="Fontepargpadro"/>
    <w:rsid w:val="00343D05"/>
  </w:style>
  <w:style w:type="paragraph" w:customStyle="1" w:styleId="Pa7">
    <w:name w:val="Pa7"/>
    <w:basedOn w:val="Normal"/>
    <w:next w:val="Normal"/>
    <w:uiPriority w:val="99"/>
    <w:rsid w:val="00343D05"/>
    <w:pPr>
      <w:autoSpaceDE w:val="0"/>
      <w:autoSpaceDN w:val="0"/>
      <w:adjustRightInd w:val="0"/>
      <w:spacing w:after="0" w:line="211" w:lineRule="atLeast"/>
    </w:pPr>
    <w:rPr>
      <w:rFonts w:ascii="RSKHIL+WarnockPro-Regular" w:hAnsi="RSKHIL+WarnockPro-Regular"/>
      <w:sz w:val="24"/>
      <w:szCs w:val="24"/>
      <w:lang w:val="sk-SK" w:eastAsia="sk-SK"/>
    </w:rPr>
  </w:style>
  <w:style w:type="character" w:customStyle="1" w:styleId="longtext">
    <w:name w:val="long_text"/>
    <w:basedOn w:val="Fontepargpadro"/>
    <w:rsid w:val="005C0030"/>
  </w:style>
  <w:style w:type="paragraph" w:customStyle="1" w:styleId="Diplnormlntext">
    <w:name w:val="Dipl normální text"/>
    <w:qFormat/>
    <w:rsid w:val="005C0030"/>
    <w:pPr>
      <w:spacing w:line="360" w:lineRule="auto"/>
      <w:ind w:firstLine="709"/>
      <w:jc w:val="both"/>
    </w:pPr>
    <w:rPr>
      <w:rFonts w:ascii="Times New Roman" w:eastAsia="Times New Roman" w:hAnsi="Times New Roman"/>
      <w:sz w:val="24"/>
      <w:szCs w:val="24"/>
      <w:lang w:val="cs-CZ" w:eastAsia="cs-CZ"/>
    </w:rPr>
  </w:style>
  <w:style w:type="paragraph" w:customStyle="1" w:styleId="Zkladntext31">
    <w:name w:val="Základný text 31"/>
    <w:basedOn w:val="Normal"/>
    <w:rsid w:val="005C0030"/>
    <w:pPr>
      <w:widowControl w:val="0"/>
      <w:spacing w:after="0" w:line="240" w:lineRule="auto"/>
      <w:jc w:val="both"/>
    </w:pPr>
    <w:rPr>
      <w:rFonts w:ascii="Times New Roman" w:eastAsia="Times New Roman" w:hAnsi="Times New Roman"/>
      <w:sz w:val="24"/>
      <w:szCs w:val="24"/>
      <w:lang w:val="cs-CZ" w:eastAsia="cs-CZ"/>
    </w:rPr>
  </w:style>
  <w:style w:type="character" w:customStyle="1" w:styleId="looklikelinkauthornameaqslistener">
    <w:name w:val="looklikelink authorname aqslistener"/>
    <w:rsid w:val="005C0030"/>
  </w:style>
  <w:style w:type="paragraph" w:styleId="Recuodecorpodetexto">
    <w:name w:val="Body Text Indent"/>
    <w:basedOn w:val="Normal"/>
    <w:link w:val="RecuodecorpodetextoChar"/>
    <w:uiPriority w:val="99"/>
    <w:semiHidden/>
    <w:unhideWhenUsed/>
    <w:rsid w:val="005C0030"/>
    <w:pPr>
      <w:spacing w:after="120"/>
      <w:ind w:left="283"/>
    </w:pPr>
  </w:style>
  <w:style w:type="character" w:customStyle="1" w:styleId="RecuodecorpodetextoChar">
    <w:name w:val="Recuo de corpo de texto Char"/>
    <w:link w:val="Recuodecorpodetexto"/>
    <w:uiPriority w:val="99"/>
    <w:semiHidden/>
    <w:rsid w:val="005C0030"/>
    <w:rPr>
      <w:sz w:val="22"/>
      <w:szCs w:val="22"/>
      <w:lang w:eastAsia="en-US"/>
    </w:rPr>
  </w:style>
  <w:style w:type="paragraph" w:customStyle="1" w:styleId="Index">
    <w:name w:val="Index"/>
    <w:basedOn w:val="Normal"/>
    <w:rsid w:val="005C0030"/>
    <w:pPr>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sz w:val="24"/>
      <w:szCs w:val="20"/>
      <w:lang w:val="sk-SK"/>
    </w:rPr>
  </w:style>
  <w:style w:type="character" w:customStyle="1" w:styleId="smalltext">
    <w:name w:val="smalltext"/>
    <w:basedOn w:val="Fontepargpadro"/>
    <w:rsid w:val="00C95828"/>
  </w:style>
  <w:style w:type="table" w:customStyle="1" w:styleId="SombreamentoClaro3">
    <w:name w:val="Sombreamento Claro3"/>
    <w:basedOn w:val="Tabelanormal"/>
    <w:uiPriority w:val="60"/>
    <w:rsid w:val="00C95828"/>
    <w:rPr>
      <w:color w:val="000000"/>
      <w:lang w:val="tr-TR"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font8">
    <w:name w:val="font_8"/>
    <w:basedOn w:val="Normal"/>
    <w:rsid w:val="00E70ECE"/>
    <w:pPr>
      <w:spacing w:before="100" w:beforeAutospacing="1" w:after="100" w:afterAutospacing="1" w:line="240" w:lineRule="auto"/>
    </w:pPr>
    <w:rPr>
      <w:rFonts w:ascii="Times New Roman" w:eastAsia="Times New Roman" w:hAnsi="Times New Roman"/>
      <w:sz w:val="24"/>
      <w:szCs w:val="24"/>
      <w:lang w:eastAsia="pt-BR"/>
    </w:rPr>
  </w:style>
  <w:style w:type="table" w:customStyle="1" w:styleId="ListaClara1">
    <w:name w:val="Lista Clara1"/>
    <w:basedOn w:val="Tabelanormal"/>
    <w:uiPriority w:val="61"/>
    <w:rsid w:val="00C66FA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Standard">
    <w:name w:val="Standard"/>
    <w:rsid w:val="00AB23F0"/>
    <w:pPr>
      <w:suppressAutoHyphens/>
      <w:autoSpaceDN w:val="0"/>
      <w:spacing w:after="200" w:line="276" w:lineRule="auto"/>
      <w:textAlignment w:val="baseline"/>
    </w:pPr>
    <w:rPr>
      <w:rFonts w:eastAsia="DejaVu Sans" w:cs="DejaVu Sans"/>
      <w:kern w:val="3"/>
      <w:sz w:val="22"/>
      <w:szCs w:val="22"/>
    </w:rPr>
  </w:style>
  <w:style w:type="character" w:customStyle="1" w:styleId="fontstyle01">
    <w:name w:val="fontstyle01"/>
    <w:basedOn w:val="Fontepargpadro"/>
    <w:rsid w:val="004D5493"/>
    <w:rPr>
      <w:rFonts w:ascii="TimesNewRomanPSMT" w:hAnsi="TimesNewRomanPSMT" w:hint="default"/>
      <w:b w:val="0"/>
      <w:bCs w:val="0"/>
      <w:i w:val="0"/>
      <w:iCs w:val="0"/>
      <w:color w:val="231F20"/>
      <w:sz w:val="22"/>
      <w:szCs w:val="22"/>
    </w:rPr>
  </w:style>
  <w:style w:type="character" w:customStyle="1" w:styleId="name">
    <w:name w:val="name"/>
    <w:rsid w:val="00C646A4"/>
  </w:style>
  <w:style w:type="character" w:customStyle="1" w:styleId="Partesuperior-zdoformulrioChar">
    <w:name w:val="Parte superior-z do formulário Char"/>
    <w:link w:val="Partesuperior-zdoformulrio"/>
    <w:uiPriority w:val="99"/>
    <w:semiHidden/>
    <w:rsid w:val="00C646A4"/>
    <w:rPr>
      <w:rFonts w:ascii="Arial" w:eastAsia="Times New Roman" w:hAnsi="Arial" w:cs="Arial"/>
      <w:vanish/>
      <w:sz w:val="16"/>
      <w:szCs w:val="16"/>
    </w:rPr>
  </w:style>
  <w:style w:type="paragraph" w:styleId="Partesuperior-zdoformulrio">
    <w:name w:val="HTML Top of Form"/>
    <w:basedOn w:val="Normal"/>
    <w:next w:val="Normal"/>
    <w:link w:val="Partesuperior-zdoformulrioChar"/>
    <w:hidden/>
    <w:uiPriority w:val="99"/>
    <w:semiHidden/>
    <w:unhideWhenUsed/>
    <w:rsid w:val="00C646A4"/>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1">
    <w:name w:val="Parte superior-z do formulário Char1"/>
    <w:basedOn w:val="Fontepargpadro"/>
    <w:uiPriority w:val="99"/>
    <w:semiHidden/>
    <w:rsid w:val="00C646A4"/>
    <w:rPr>
      <w:rFonts w:ascii="Arial" w:hAnsi="Arial" w:cs="Arial"/>
      <w:vanish/>
      <w:sz w:val="16"/>
      <w:szCs w:val="16"/>
      <w:lang w:eastAsia="en-US"/>
    </w:rPr>
  </w:style>
  <w:style w:type="character" w:customStyle="1" w:styleId="ParteinferiordoformulrioChar">
    <w:name w:val="Parte inferior do formulário Char"/>
    <w:link w:val="Parteinferiordoformulrio"/>
    <w:uiPriority w:val="99"/>
    <w:semiHidden/>
    <w:rsid w:val="00C646A4"/>
    <w:rPr>
      <w:rFonts w:ascii="Arial" w:eastAsia="Times New Roman" w:hAnsi="Arial" w:cs="Arial"/>
      <w:vanish/>
      <w:sz w:val="16"/>
      <w:szCs w:val="16"/>
    </w:rPr>
  </w:style>
  <w:style w:type="paragraph" w:styleId="Parteinferiordoformulrio">
    <w:name w:val="HTML Bottom of Form"/>
    <w:basedOn w:val="Normal"/>
    <w:next w:val="Normal"/>
    <w:link w:val="ParteinferiordoformulrioChar"/>
    <w:hidden/>
    <w:uiPriority w:val="99"/>
    <w:semiHidden/>
    <w:unhideWhenUsed/>
    <w:rsid w:val="00C646A4"/>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1">
    <w:name w:val="Parte inferior do formulário Char1"/>
    <w:basedOn w:val="Fontepargpadro"/>
    <w:uiPriority w:val="99"/>
    <w:semiHidden/>
    <w:rsid w:val="00C646A4"/>
    <w:rPr>
      <w:rFonts w:ascii="Arial" w:hAnsi="Arial" w:cs="Arial"/>
      <w:vanish/>
      <w:sz w:val="16"/>
      <w:szCs w:val="16"/>
      <w:lang w:eastAsia="en-US"/>
    </w:rPr>
  </w:style>
  <w:style w:type="table" w:customStyle="1" w:styleId="Tabelacomgrade1">
    <w:name w:val="Tabela com grade1"/>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4">
    <w:name w:val="Tabela com grade4"/>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uttext">
    <w:name w:val="outtext"/>
    <w:rsid w:val="00C646A4"/>
  </w:style>
  <w:style w:type="character" w:customStyle="1" w:styleId="MenoPendente1">
    <w:name w:val="Menção Pendente1"/>
    <w:basedOn w:val="Fontepargpadro"/>
    <w:uiPriority w:val="99"/>
    <w:semiHidden/>
    <w:unhideWhenUsed/>
    <w:rsid w:val="00C646A4"/>
    <w:rPr>
      <w:color w:val="808080"/>
      <w:shd w:val="clear" w:color="auto" w:fill="E6E6E6"/>
    </w:rPr>
  </w:style>
  <w:style w:type="paragraph" w:customStyle="1" w:styleId="Paragraf">
    <w:name w:val="Paragraf"/>
    <w:basedOn w:val="Normal"/>
    <w:qFormat/>
    <w:rsid w:val="00AC0232"/>
    <w:pPr>
      <w:spacing w:after="0" w:line="360" w:lineRule="auto"/>
      <w:ind w:firstLine="454"/>
      <w:jc w:val="both"/>
    </w:pPr>
    <w:rPr>
      <w:rFonts w:ascii="Arial" w:eastAsiaTheme="minorHAnsi" w:hAnsi="Arial" w:cstheme="minorBidi"/>
      <w:lang w:val="id-ID"/>
    </w:rPr>
  </w:style>
  <w:style w:type="paragraph" w:customStyle="1" w:styleId="MS">
    <w:name w:val="MS바탕글"/>
    <w:basedOn w:val="Normal"/>
    <w:rsid w:val="00B2664F"/>
    <w:pPr>
      <w:snapToGrid w:val="0"/>
      <w:spacing w:after="0" w:line="384" w:lineRule="auto"/>
      <w:jc w:val="both"/>
      <w:textAlignment w:val="baseline"/>
    </w:pPr>
    <w:rPr>
      <w:rFonts w:ascii="Gulim" w:eastAsia="Gulim" w:hAnsi="Gulim" w:cs="Gulim"/>
      <w:color w:val="000000"/>
      <w:sz w:val="20"/>
      <w:szCs w:val="20"/>
      <w:lang w:val="en-US" w:eastAsia="ko-KR"/>
    </w:rPr>
  </w:style>
  <w:style w:type="paragraph" w:customStyle="1" w:styleId="a">
    <w:name w:val="바탕글"/>
    <w:basedOn w:val="Normal"/>
    <w:rsid w:val="00343C8A"/>
    <w:pPr>
      <w:snapToGrid w:val="0"/>
      <w:spacing w:after="0" w:line="384" w:lineRule="auto"/>
      <w:jc w:val="both"/>
      <w:textAlignment w:val="baseline"/>
    </w:pPr>
    <w:rPr>
      <w:rFonts w:ascii="Batang" w:eastAsia="Times New Roman" w:hAnsi="Times New Roman"/>
      <w:color w:val="000000"/>
      <w:sz w:val="20"/>
      <w:szCs w:val="20"/>
      <w:lang w:val="en-US" w:eastAsia="ja-JP"/>
    </w:rPr>
  </w:style>
  <w:style w:type="character" w:styleId="nfaseSutil">
    <w:name w:val="Subtle Emphasis"/>
    <w:basedOn w:val="Fontepargpadro"/>
    <w:uiPriority w:val="19"/>
    <w:qFormat/>
    <w:rsid w:val="009B0500"/>
    <w:rPr>
      <w:i/>
      <w:iCs/>
      <w:color w:val="404040" w:themeColor="text1" w:themeTint="BF"/>
    </w:rPr>
  </w:style>
  <w:style w:type="paragraph" w:customStyle="1" w:styleId="Acknowledgements">
    <w:name w:val="Acknowledgements"/>
    <w:basedOn w:val="Normal"/>
    <w:next w:val="Normal"/>
    <w:qFormat/>
    <w:rsid w:val="0092535C"/>
    <w:pPr>
      <w:spacing w:before="120" w:after="0" w:line="360" w:lineRule="auto"/>
    </w:pPr>
    <w:rPr>
      <w:rFonts w:ascii="Times New Roman" w:eastAsia="Times New Roman" w:hAnsi="Times New Roman"/>
      <w:szCs w:val="24"/>
      <w:lang w:val="en-GB" w:eastAsia="en-GB"/>
    </w:rPr>
  </w:style>
  <w:style w:type="paragraph" w:customStyle="1" w:styleId="a0">
    <w:name w:val="서론"/>
    <w:basedOn w:val="Normal"/>
    <w:rsid w:val="0092535C"/>
    <w:pPr>
      <w:snapToGrid w:val="0"/>
      <w:spacing w:after="0" w:line="600" w:lineRule="auto"/>
      <w:jc w:val="center"/>
      <w:textAlignment w:val="baseline"/>
    </w:pPr>
    <w:rPr>
      <w:rFonts w:ascii="Gulim" w:eastAsia="Gulim" w:hAnsi="Gulim" w:cs="Gulim"/>
      <w:color w:val="000000"/>
      <w:lang w:val="en-US" w:eastAsia="ko-KR"/>
    </w:rPr>
  </w:style>
  <w:style w:type="paragraph" w:customStyle="1" w:styleId="a1">
    <w:name w:val="참고문헌"/>
    <w:basedOn w:val="Normal"/>
    <w:rsid w:val="0092535C"/>
    <w:pPr>
      <w:spacing w:after="0" w:line="372" w:lineRule="auto"/>
      <w:ind w:left="612" w:hanging="306"/>
      <w:jc w:val="both"/>
      <w:textAlignment w:val="baseline"/>
    </w:pPr>
    <w:rPr>
      <w:rFonts w:ascii="Gulim" w:eastAsia="Gulim" w:hAnsi="Gulim" w:cs="Gulim"/>
      <w:color w:val="000000"/>
      <w:sz w:val="16"/>
      <w:szCs w:val="16"/>
      <w:lang w:val="en-US" w:eastAsia="ko-KR"/>
    </w:rPr>
  </w:style>
  <w:style w:type="character" w:customStyle="1" w:styleId="SemEspaamentoChar">
    <w:name w:val="Sem Espaçamento Char"/>
    <w:link w:val="SemEspaamento"/>
    <w:uiPriority w:val="1"/>
    <w:locked/>
    <w:rsid w:val="00D8683D"/>
    <w:rPr>
      <w:rFonts w:ascii="Arial" w:hAnsi="Arial"/>
      <w:sz w:val="24"/>
      <w:szCs w:val="22"/>
      <w:lang w:eastAsia="en-US"/>
    </w:rPr>
  </w:style>
  <w:style w:type="character" w:customStyle="1" w:styleId="Ttulo5Char">
    <w:name w:val="Título 5 Char"/>
    <w:basedOn w:val="Fontepargpadro"/>
    <w:link w:val="Ttulo5"/>
    <w:semiHidden/>
    <w:rsid w:val="002453A7"/>
    <w:rPr>
      <w:rFonts w:asciiTheme="majorHAnsi" w:eastAsiaTheme="majorEastAsia" w:hAnsiTheme="majorHAnsi" w:cstheme="majorBidi"/>
      <w:color w:val="365F91" w:themeColor="accent1" w:themeShade="BF"/>
      <w:sz w:val="22"/>
      <w:szCs w:val="22"/>
      <w:lang w:eastAsia="en-US"/>
    </w:rPr>
  </w:style>
  <w:style w:type="table" w:customStyle="1" w:styleId="TabeladeLista6Colorida1">
    <w:name w:val="Tabela de Lista 6 Colorida1"/>
    <w:basedOn w:val="Tabelanormal"/>
    <w:uiPriority w:val="51"/>
    <w:rsid w:val="002453A7"/>
    <w:rPr>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
    <w:name w:val="List Table 6 Colorful"/>
    <w:basedOn w:val="Tabelanormal"/>
    <w:uiPriority w:val="51"/>
    <w:rsid w:val="00D05F7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rgrafodaTese">
    <w:name w:val="Parágrafo_da_Tese"/>
    <w:basedOn w:val="Normal"/>
    <w:rsid w:val="007D326C"/>
    <w:pPr>
      <w:spacing w:after="0" w:line="360" w:lineRule="auto"/>
      <w:ind w:firstLine="851"/>
      <w:jc w:val="both"/>
    </w:pPr>
    <w:rPr>
      <w:rFonts w:ascii="Garamond" w:eastAsia="Times New Roman" w:hAnsi="Garamond" w:cs="Arial"/>
      <w:sz w:val="20"/>
      <w:szCs w:val="24"/>
      <w:lang w:eastAsia="pt-BR"/>
    </w:rPr>
  </w:style>
  <w:style w:type="paragraph" w:customStyle="1" w:styleId="Paragraph">
    <w:name w:val="Paragraph"/>
    <w:basedOn w:val="Normal"/>
    <w:next w:val="Normal"/>
    <w:qFormat/>
    <w:rsid w:val="00A41425"/>
    <w:pPr>
      <w:widowControl w:val="0"/>
      <w:spacing w:before="240" w:after="0" w:line="480" w:lineRule="auto"/>
    </w:pPr>
    <w:rPr>
      <w:rFonts w:ascii="Times New Roman" w:eastAsia="Times New Roman" w:hAnsi="Times New Roman"/>
      <w:sz w:val="24"/>
      <w:szCs w:val="24"/>
      <w:lang w:val="en-GB" w:eastAsia="en-GB"/>
    </w:rPr>
  </w:style>
  <w:style w:type="paragraph" w:customStyle="1" w:styleId="MDPI16affiliation">
    <w:name w:val="MDPI_1.6_affiliation"/>
    <w:basedOn w:val="Normal"/>
    <w:qFormat/>
    <w:rsid w:val="00F05D02"/>
    <w:pPr>
      <w:adjustRightInd w:val="0"/>
      <w:snapToGrid w:val="0"/>
      <w:spacing w:after="0" w:line="200" w:lineRule="atLeast"/>
      <w:ind w:left="311" w:hanging="198"/>
    </w:pPr>
    <w:rPr>
      <w:rFonts w:ascii="Palatino Linotype" w:eastAsia="Times New Roman" w:hAnsi="Palatino Linotype"/>
      <w:color w:val="000000"/>
      <w:sz w:val="18"/>
      <w:szCs w:val="18"/>
      <w:lang w:val="en-US" w:eastAsia="de-DE" w:bidi="en-US"/>
    </w:rPr>
  </w:style>
  <w:style w:type="paragraph" w:styleId="Reviso">
    <w:name w:val="Revision"/>
    <w:hidden/>
    <w:uiPriority w:val="99"/>
    <w:semiHidden/>
    <w:rsid w:val="00494445"/>
    <w:rPr>
      <w:rFonts w:asciiTheme="minorHAnsi" w:eastAsiaTheme="minorEastAsia" w:hAnsiTheme="minorHAnsi" w:cstheme="minorBidi"/>
      <w:sz w:val="22"/>
      <w:szCs w:val="22"/>
      <w:lang w:val="es-MX" w:eastAsia="es-MX"/>
    </w:rPr>
  </w:style>
  <w:style w:type="character" w:customStyle="1" w:styleId="Ninguno">
    <w:name w:val="Ninguno"/>
    <w:rsid w:val="00494445"/>
  </w:style>
  <w:style w:type="paragraph" w:customStyle="1" w:styleId="CuerpoA">
    <w:name w:val="Cuerpo A"/>
    <w:rsid w:val="00494445"/>
    <w:pPr>
      <w:pBdr>
        <w:top w:val="nil"/>
        <w:left w:val="nil"/>
        <w:bottom w:val="nil"/>
        <w:right w:val="nil"/>
        <w:between w:val="nil"/>
        <w:bar w:val="nil"/>
      </w:pBdr>
      <w:spacing w:before="80" w:after="180" w:line="288" w:lineRule="auto"/>
    </w:pPr>
    <w:rPr>
      <w:rFonts w:ascii="Georgia" w:eastAsia="Georgia" w:hAnsi="Georgia" w:cs="Georgia"/>
      <w:color w:val="000000"/>
      <w:sz w:val="24"/>
      <w:szCs w:val="24"/>
      <w:u w:color="000000"/>
      <w:bdr w:val="nil"/>
      <w:lang w:val="es-ES_tradnl" w:eastAsia="es-MX"/>
    </w:rPr>
  </w:style>
  <w:style w:type="numbering" w:customStyle="1" w:styleId="Nmero">
    <w:name w:val="Número"/>
    <w:rsid w:val="00494445"/>
    <w:pPr>
      <w:numPr>
        <w:numId w:val="2"/>
      </w:numPr>
    </w:pPr>
  </w:style>
  <w:style w:type="character" w:customStyle="1" w:styleId="Mencinsinresolver1">
    <w:name w:val="Mención sin resolver1"/>
    <w:basedOn w:val="Fontepargpadro"/>
    <w:uiPriority w:val="99"/>
    <w:semiHidden/>
    <w:unhideWhenUsed/>
    <w:rsid w:val="00494445"/>
    <w:rPr>
      <w:color w:val="605E5C"/>
      <w:shd w:val="clear" w:color="auto" w:fill="E1DFDD"/>
    </w:rPr>
  </w:style>
  <w:style w:type="character" w:customStyle="1" w:styleId="Mencinsinresolver2">
    <w:name w:val="Mención sin resolver2"/>
    <w:basedOn w:val="Fontepargpadro"/>
    <w:uiPriority w:val="99"/>
    <w:semiHidden/>
    <w:unhideWhenUsed/>
    <w:rsid w:val="00494445"/>
    <w:rPr>
      <w:color w:val="605E5C"/>
      <w:shd w:val="clear" w:color="auto" w:fill="E1DFDD"/>
    </w:rPr>
  </w:style>
  <w:style w:type="character" w:customStyle="1" w:styleId="PargrafodaListaChar">
    <w:name w:val="Parágrafo da Lista Char"/>
    <w:basedOn w:val="Fontepargpadro"/>
    <w:link w:val="PargrafodaLista"/>
    <w:uiPriority w:val="34"/>
    <w:rsid w:val="00D35310"/>
    <w:rPr>
      <w:sz w:val="22"/>
      <w:szCs w:val="22"/>
      <w:lang w:eastAsia="en-US"/>
    </w:rPr>
  </w:style>
  <w:style w:type="paragraph" w:customStyle="1" w:styleId="EndNoteBibliography">
    <w:name w:val="EndNote Bibliography"/>
    <w:basedOn w:val="Normal"/>
    <w:rsid w:val="00D35310"/>
    <w:pPr>
      <w:spacing w:after="0" w:line="240" w:lineRule="auto"/>
    </w:pPr>
    <w:rPr>
      <w:rFonts w:ascii="Times New Roman" w:eastAsiaTheme="minorHAnsi" w:hAnsi="Times New Roman"/>
      <w:sz w:val="24"/>
      <w:szCs w:val="24"/>
      <w:lang w:val="es-ES_tradnl" w:eastAsia="es-ES_tradnl"/>
    </w:rPr>
  </w:style>
  <w:style w:type="paragraph" w:customStyle="1" w:styleId="Affiliation">
    <w:name w:val="Affiliation"/>
    <w:basedOn w:val="Normal"/>
    <w:qFormat/>
    <w:rsid w:val="00D35310"/>
    <w:pPr>
      <w:spacing w:before="240" w:after="0" w:line="360" w:lineRule="auto"/>
    </w:pPr>
    <w:rPr>
      <w:rFonts w:ascii="Times New Roman" w:eastAsia="Times New Roman" w:hAnsi="Times New Roman"/>
      <w:i/>
      <w:sz w:val="24"/>
      <w:szCs w:val="24"/>
      <w:lang w:val="en-GB" w:eastAsia="en-GB"/>
    </w:rPr>
  </w:style>
  <w:style w:type="character" w:customStyle="1" w:styleId="hithilite">
    <w:name w:val="hithilite"/>
    <w:basedOn w:val="Fontepargpadro"/>
    <w:rsid w:val="00D35310"/>
  </w:style>
  <w:style w:type="character" w:customStyle="1" w:styleId="label">
    <w:name w:val="label"/>
    <w:basedOn w:val="Fontepargpadro"/>
    <w:rsid w:val="00D35310"/>
  </w:style>
  <w:style w:type="character" w:customStyle="1" w:styleId="databold">
    <w:name w:val="data_bold"/>
    <w:basedOn w:val="Fontepargpadro"/>
    <w:rsid w:val="00D35310"/>
  </w:style>
  <w:style w:type="character" w:styleId="HiperlinkVisitado">
    <w:name w:val="FollowedHyperlink"/>
    <w:basedOn w:val="Fontepargpadro"/>
    <w:uiPriority w:val="99"/>
    <w:semiHidden/>
    <w:unhideWhenUsed/>
    <w:rsid w:val="00D35310"/>
    <w:rPr>
      <w:color w:val="800080" w:themeColor="followedHyperlink"/>
      <w:u w:val="single"/>
    </w:rPr>
  </w:style>
  <w:style w:type="paragraph" w:customStyle="1" w:styleId="Normal1">
    <w:name w:val="Normal1"/>
    <w:rsid w:val="00D35310"/>
    <w:pPr>
      <w:spacing w:line="276" w:lineRule="auto"/>
    </w:pPr>
    <w:rPr>
      <w:rFonts w:ascii="Arial" w:eastAsia="Arial" w:hAnsi="Arial" w:cs="Arial"/>
      <w:sz w:val="22"/>
      <w:szCs w:val="22"/>
      <w:lang w:val="es-MX" w:eastAsia="es-MX"/>
    </w:rPr>
  </w:style>
  <w:style w:type="character" w:customStyle="1" w:styleId="tlid-translation">
    <w:name w:val="tlid-translation"/>
    <w:basedOn w:val="Fontepargpadro"/>
    <w:rsid w:val="00D35310"/>
  </w:style>
  <w:style w:type="paragraph" w:customStyle="1" w:styleId="Normal2">
    <w:name w:val="Normal2"/>
    <w:rsid w:val="00D35310"/>
    <w:pPr>
      <w:spacing w:line="276" w:lineRule="auto"/>
    </w:pPr>
    <w:rPr>
      <w:rFonts w:ascii="Arial" w:eastAsia="Arial" w:hAnsi="Arial" w:cs="Arial"/>
      <w:sz w:val="22"/>
      <w:szCs w:val="22"/>
      <w:lang w:val="es-MX" w:eastAsia="es-MX"/>
    </w:rPr>
  </w:style>
  <w:style w:type="paragraph" w:customStyle="1" w:styleId="CuerpoB">
    <w:name w:val="Cuerpo B"/>
    <w:rsid w:val="0095249C"/>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es-ES_tradnl" w:eastAsia="es-MX"/>
    </w:rPr>
  </w:style>
  <w:style w:type="paragraph" w:customStyle="1" w:styleId="CuerpoAA">
    <w:name w:val="Cuerpo A A"/>
    <w:rsid w:val="00C16F30"/>
    <w:pPr>
      <w:pBdr>
        <w:top w:val="nil"/>
        <w:left w:val="nil"/>
        <w:bottom w:val="nil"/>
        <w:right w:val="nil"/>
        <w:between w:val="nil"/>
        <w:bar w:val="nil"/>
      </w:pBdr>
      <w:spacing w:after="160" w:line="256" w:lineRule="auto"/>
    </w:pPr>
    <w:rPr>
      <w:rFonts w:cs="Calibri"/>
      <w:color w:val="000000"/>
      <w:sz w:val="22"/>
      <w:szCs w:val="22"/>
      <w:u w:color="000000"/>
      <w:bdr w:val="nil"/>
      <w:lang w:val="en-US" w:eastAsia="es-MX"/>
    </w:rPr>
  </w:style>
  <w:style w:type="character" w:customStyle="1" w:styleId="author">
    <w:name w:val="author"/>
    <w:basedOn w:val="Fontepargpadro"/>
    <w:rsid w:val="00740CB6"/>
  </w:style>
  <w:style w:type="character" w:customStyle="1" w:styleId="ilfuvd">
    <w:name w:val="ilfuvd"/>
    <w:basedOn w:val="Fontepargpadro"/>
    <w:rsid w:val="00740CB6"/>
  </w:style>
  <w:style w:type="paragraph" w:customStyle="1" w:styleId="Cuerpo">
    <w:name w:val="Cuerpo"/>
    <w:rsid w:val="00740CB6"/>
    <w:pPr>
      <w:pBdr>
        <w:top w:val="nil"/>
        <w:left w:val="nil"/>
        <w:bottom w:val="nil"/>
        <w:right w:val="nil"/>
        <w:between w:val="nil"/>
        <w:bar w:val="nil"/>
      </w:pBdr>
    </w:pPr>
    <w:rPr>
      <w:rFonts w:cs="Calibri"/>
      <w:color w:val="000000"/>
      <w:sz w:val="24"/>
      <w:szCs w:val="24"/>
      <w:u w:color="000000"/>
      <w:bdr w:val="nil"/>
      <w:lang w:val="pt-PT" w:eastAsia="es-MX"/>
    </w:rPr>
  </w:style>
  <w:style w:type="paragraph" w:styleId="Bibliografia">
    <w:name w:val="Bibliography"/>
    <w:basedOn w:val="Normal"/>
    <w:next w:val="Normal"/>
    <w:uiPriority w:val="37"/>
    <w:semiHidden/>
    <w:unhideWhenUsed/>
    <w:rsid w:val="007D0472"/>
  </w:style>
  <w:style w:type="table" w:customStyle="1" w:styleId="Tablaconcuadrcula3">
    <w:name w:val="Tabla con cuadrícula3"/>
    <w:basedOn w:val="Tabelanormal"/>
    <w:next w:val="Tabelacomgrade"/>
    <w:uiPriority w:val="39"/>
    <w:rsid w:val="00F3102B"/>
    <w:rPr>
      <w:rFonts w:cs="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2">
    <w:name w:val="List Table 2"/>
    <w:basedOn w:val="Tabelanormal"/>
    <w:uiPriority w:val="47"/>
    <w:rsid w:val="0020698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oPendente">
    <w:name w:val="Unresolved Mention"/>
    <w:basedOn w:val="Fontepargpadro"/>
    <w:uiPriority w:val="99"/>
    <w:semiHidden/>
    <w:unhideWhenUsed/>
    <w:rsid w:val="00EB4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4829">
      <w:bodyDiv w:val="1"/>
      <w:marLeft w:val="0"/>
      <w:marRight w:val="0"/>
      <w:marTop w:val="0"/>
      <w:marBottom w:val="0"/>
      <w:divBdr>
        <w:top w:val="none" w:sz="0" w:space="0" w:color="auto"/>
        <w:left w:val="none" w:sz="0" w:space="0" w:color="auto"/>
        <w:bottom w:val="none" w:sz="0" w:space="0" w:color="auto"/>
        <w:right w:val="none" w:sz="0" w:space="0" w:color="auto"/>
      </w:divBdr>
    </w:div>
    <w:div w:id="103883730">
      <w:bodyDiv w:val="1"/>
      <w:marLeft w:val="0"/>
      <w:marRight w:val="0"/>
      <w:marTop w:val="0"/>
      <w:marBottom w:val="0"/>
      <w:divBdr>
        <w:top w:val="none" w:sz="0" w:space="0" w:color="auto"/>
        <w:left w:val="none" w:sz="0" w:space="0" w:color="auto"/>
        <w:bottom w:val="none" w:sz="0" w:space="0" w:color="auto"/>
        <w:right w:val="none" w:sz="0" w:space="0" w:color="auto"/>
      </w:divBdr>
    </w:div>
    <w:div w:id="106775455">
      <w:bodyDiv w:val="1"/>
      <w:marLeft w:val="0"/>
      <w:marRight w:val="0"/>
      <w:marTop w:val="0"/>
      <w:marBottom w:val="0"/>
      <w:divBdr>
        <w:top w:val="none" w:sz="0" w:space="0" w:color="auto"/>
        <w:left w:val="none" w:sz="0" w:space="0" w:color="auto"/>
        <w:bottom w:val="none" w:sz="0" w:space="0" w:color="auto"/>
        <w:right w:val="none" w:sz="0" w:space="0" w:color="auto"/>
      </w:divBdr>
    </w:div>
    <w:div w:id="122311826">
      <w:bodyDiv w:val="1"/>
      <w:marLeft w:val="0"/>
      <w:marRight w:val="0"/>
      <w:marTop w:val="0"/>
      <w:marBottom w:val="0"/>
      <w:divBdr>
        <w:top w:val="none" w:sz="0" w:space="0" w:color="auto"/>
        <w:left w:val="none" w:sz="0" w:space="0" w:color="auto"/>
        <w:bottom w:val="none" w:sz="0" w:space="0" w:color="auto"/>
        <w:right w:val="none" w:sz="0" w:space="0" w:color="auto"/>
      </w:divBdr>
    </w:div>
    <w:div w:id="146938198">
      <w:bodyDiv w:val="1"/>
      <w:marLeft w:val="0"/>
      <w:marRight w:val="0"/>
      <w:marTop w:val="0"/>
      <w:marBottom w:val="0"/>
      <w:divBdr>
        <w:top w:val="none" w:sz="0" w:space="0" w:color="auto"/>
        <w:left w:val="none" w:sz="0" w:space="0" w:color="auto"/>
        <w:bottom w:val="none" w:sz="0" w:space="0" w:color="auto"/>
        <w:right w:val="none" w:sz="0" w:space="0" w:color="auto"/>
      </w:divBdr>
    </w:div>
    <w:div w:id="261957753">
      <w:bodyDiv w:val="1"/>
      <w:marLeft w:val="0"/>
      <w:marRight w:val="0"/>
      <w:marTop w:val="0"/>
      <w:marBottom w:val="0"/>
      <w:divBdr>
        <w:top w:val="none" w:sz="0" w:space="0" w:color="auto"/>
        <w:left w:val="none" w:sz="0" w:space="0" w:color="auto"/>
        <w:bottom w:val="none" w:sz="0" w:space="0" w:color="auto"/>
        <w:right w:val="none" w:sz="0" w:space="0" w:color="auto"/>
      </w:divBdr>
    </w:div>
    <w:div w:id="282731338">
      <w:bodyDiv w:val="1"/>
      <w:marLeft w:val="0"/>
      <w:marRight w:val="0"/>
      <w:marTop w:val="0"/>
      <w:marBottom w:val="0"/>
      <w:divBdr>
        <w:top w:val="none" w:sz="0" w:space="0" w:color="auto"/>
        <w:left w:val="none" w:sz="0" w:space="0" w:color="auto"/>
        <w:bottom w:val="none" w:sz="0" w:space="0" w:color="auto"/>
        <w:right w:val="none" w:sz="0" w:space="0" w:color="auto"/>
      </w:divBdr>
    </w:div>
    <w:div w:id="723529093">
      <w:bodyDiv w:val="1"/>
      <w:marLeft w:val="0"/>
      <w:marRight w:val="0"/>
      <w:marTop w:val="0"/>
      <w:marBottom w:val="0"/>
      <w:divBdr>
        <w:top w:val="none" w:sz="0" w:space="0" w:color="auto"/>
        <w:left w:val="none" w:sz="0" w:space="0" w:color="auto"/>
        <w:bottom w:val="none" w:sz="0" w:space="0" w:color="auto"/>
        <w:right w:val="none" w:sz="0" w:space="0" w:color="auto"/>
      </w:divBdr>
    </w:div>
    <w:div w:id="758912403">
      <w:bodyDiv w:val="1"/>
      <w:marLeft w:val="0"/>
      <w:marRight w:val="0"/>
      <w:marTop w:val="0"/>
      <w:marBottom w:val="0"/>
      <w:divBdr>
        <w:top w:val="none" w:sz="0" w:space="0" w:color="auto"/>
        <w:left w:val="none" w:sz="0" w:space="0" w:color="auto"/>
        <w:bottom w:val="none" w:sz="0" w:space="0" w:color="auto"/>
        <w:right w:val="none" w:sz="0" w:space="0" w:color="auto"/>
      </w:divBdr>
    </w:div>
    <w:div w:id="765544199">
      <w:bodyDiv w:val="1"/>
      <w:marLeft w:val="0"/>
      <w:marRight w:val="0"/>
      <w:marTop w:val="0"/>
      <w:marBottom w:val="0"/>
      <w:divBdr>
        <w:top w:val="none" w:sz="0" w:space="0" w:color="auto"/>
        <w:left w:val="none" w:sz="0" w:space="0" w:color="auto"/>
        <w:bottom w:val="none" w:sz="0" w:space="0" w:color="auto"/>
        <w:right w:val="none" w:sz="0" w:space="0" w:color="auto"/>
      </w:divBdr>
    </w:div>
    <w:div w:id="793523496">
      <w:bodyDiv w:val="1"/>
      <w:marLeft w:val="0"/>
      <w:marRight w:val="0"/>
      <w:marTop w:val="0"/>
      <w:marBottom w:val="0"/>
      <w:divBdr>
        <w:top w:val="none" w:sz="0" w:space="0" w:color="auto"/>
        <w:left w:val="none" w:sz="0" w:space="0" w:color="auto"/>
        <w:bottom w:val="none" w:sz="0" w:space="0" w:color="auto"/>
        <w:right w:val="none" w:sz="0" w:space="0" w:color="auto"/>
      </w:divBdr>
    </w:div>
    <w:div w:id="1182891146">
      <w:bodyDiv w:val="1"/>
      <w:marLeft w:val="0"/>
      <w:marRight w:val="0"/>
      <w:marTop w:val="0"/>
      <w:marBottom w:val="0"/>
      <w:divBdr>
        <w:top w:val="none" w:sz="0" w:space="0" w:color="auto"/>
        <w:left w:val="none" w:sz="0" w:space="0" w:color="auto"/>
        <w:bottom w:val="none" w:sz="0" w:space="0" w:color="auto"/>
        <w:right w:val="none" w:sz="0" w:space="0" w:color="auto"/>
      </w:divBdr>
    </w:div>
    <w:div w:id="1191187429">
      <w:bodyDiv w:val="1"/>
      <w:marLeft w:val="0"/>
      <w:marRight w:val="0"/>
      <w:marTop w:val="0"/>
      <w:marBottom w:val="0"/>
      <w:divBdr>
        <w:top w:val="none" w:sz="0" w:space="0" w:color="auto"/>
        <w:left w:val="none" w:sz="0" w:space="0" w:color="auto"/>
        <w:bottom w:val="none" w:sz="0" w:space="0" w:color="auto"/>
        <w:right w:val="none" w:sz="0" w:space="0" w:color="auto"/>
      </w:divBdr>
    </w:div>
    <w:div w:id="1219367399">
      <w:bodyDiv w:val="1"/>
      <w:marLeft w:val="0"/>
      <w:marRight w:val="0"/>
      <w:marTop w:val="0"/>
      <w:marBottom w:val="0"/>
      <w:divBdr>
        <w:top w:val="none" w:sz="0" w:space="0" w:color="auto"/>
        <w:left w:val="none" w:sz="0" w:space="0" w:color="auto"/>
        <w:bottom w:val="none" w:sz="0" w:space="0" w:color="auto"/>
        <w:right w:val="none" w:sz="0" w:space="0" w:color="auto"/>
      </w:divBdr>
    </w:div>
    <w:div w:id="1364210938">
      <w:bodyDiv w:val="1"/>
      <w:marLeft w:val="0"/>
      <w:marRight w:val="0"/>
      <w:marTop w:val="0"/>
      <w:marBottom w:val="0"/>
      <w:divBdr>
        <w:top w:val="none" w:sz="0" w:space="0" w:color="auto"/>
        <w:left w:val="none" w:sz="0" w:space="0" w:color="auto"/>
        <w:bottom w:val="none" w:sz="0" w:space="0" w:color="auto"/>
        <w:right w:val="none" w:sz="0" w:space="0" w:color="auto"/>
      </w:divBdr>
    </w:div>
    <w:div w:id="1370574054">
      <w:bodyDiv w:val="1"/>
      <w:marLeft w:val="0"/>
      <w:marRight w:val="0"/>
      <w:marTop w:val="0"/>
      <w:marBottom w:val="0"/>
      <w:divBdr>
        <w:top w:val="none" w:sz="0" w:space="0" w:color="auto"/>
        <w:left w:val="none" w:sz="0" w:space="0" w:color="auto"/>
        <w:bottom w:val="none" w:sz="0" w:space="0" w:color="auto"/>
        <w:right w:val="none" w:sz="0" w:space="0" w:color="auto"/>
      </w:divBdr>
    </w:div>
    <w:div w:id="1385518340">
      <w:bodyDiv w:val="1"/>
      <w:marLeft w:val="0"/>
      <w:marRight w:val="0"/>
      <w:marTop w:val="0"/>
      <w:marBottom w:val="0"/>
      <w:divBdr>
        <w:top w:val="none" w:sz="0" w:space="0" w:color="auto"/>
        <w:left w:val="none" w:sz="0" w:space="0" w:color="auto"/>
        <w:bottom w:val="none" w:sz="0" w:space="0" w:color="auto"/>
        <w:right w:val="none" w:sz="0" w:space="0" w:color="auto"/>
      </w:divBdr>
    </w:div>
    <w:div w:id="1447851245">
      <w:bodyDiv w:val="1"/>
      <w:marLeft w:val="0"/>
      <w:marRight w:val="0"/>
      <w:marTop w:val="0"/>
      <w:marBottom w:val="0"/>
      <w:divBdr>
        <w:top w:val="none" w:sz="0" w:space="0" w:color="auto"/>
        <w:left w:val="none" w:sz="0" w:space="0" w:color="auto"/>
        <w:bottom w:val="none" w:sz="0" w:space="0" w:color="auto"/>
        <w:right w:val="none" w:sz="0" w:space="0" w:color="auto"/>
      </w:divBdr>
    </w:div>
    <w:div w:id="1460032562">
      <w:bodyDiv w:val="1"/>
      <w:marLeft w:val="0"/>
      <w:marRight w:val="0"/>
      <w:marTop w:val="0"/>
      <w:marBottom w:val="0"/>
      <w:divBdr>
        <w:top w:val="none" w:sz="0" w:space="0" w:color="auto"/>
        <w:left w:val="none" w:sz="0" w:space="0" w:color="auto"/>
        <w:bottom w:val="none" w:sz="0" w:space="0" w:color="auto"/>
        <w:right w:val="none" w:sz="0" w:space="0" w:color="auto"/>
      </w:divBdr>
    </w:div>
    <w:div w:id="1468550854">
      <w:bodyDiv w:val="1"/>
      <w:marLeft w:val="0"/>
      <w:marRight w:val="0"/>
      <w:marTop w:val="0"/>
      <w:marBottom w:val="0"/>
      <w:divBdr>
        <w:top w:val="none" w:sz="0" w:space="0" w:color="auto"/>
        <w:left w:val="none" w:sz="0" w:space="0" w:color="auto"/>
        <w:bottom w:val="none" w:sz="0" w:space="0" w:color="auto"/>
        <w:right w:val="none" w:sz="0" w:space="0" w:color="auto"/>
      </w:divBdr>
    </w:div>
    <w:div w:id="1509245970">
      <w:bodyDiv w:val="1"/>
      <w:marLeft w:val="0"/>
      <w:marRight w:val="0"/>
      <w:marTop w:val="0"/>
      <w:marBottom w:val="0"/>
      <w:divBdr>
        <w:top w:val="none" w:sz="0" w:space="0" w:color="auto"/>
        <w:left w:val="none" w:sz="0" w:space="0" w:color="auto"/>
        <w:bottom w:val="none" w:sz="0" w:space="0" w:color="auto"/>
        <w:right w:val="none" w:sz="0" w:space="0" w:color="auto"/>
      </w:divBdr>
    </w:div>
    <w:div w:id="1552811998">
      <w:bodyDiv w:val="1"/>
      <w:marLeft w:val="0"/>
      <w:marRight w:val="0"/>
      <w:marTop w:val="0"/>
      <w:marBottom w:val="0"/>
      <w:divBdr>
        <w:top w:val="none" w:sz="0" w:space="0" w:color="auto"/>
        <w:left w:val="none" w:sz="0" w:space="0" w:color="auto"/>
        <w:bottom w:val="none" w:sz="0" w:space="0" w:color="auto"/>
        <w:right w:val="none" w:sz="0" w:space="0" w:color="auto"/>
      </w:divBdr>
    </w:div>
    <w:div w:id="1594775445">
      <w:bodyDiv w:val="1"/>
      <w:marLeft w:val="0"/>
      <w:marRight w:val="0"/>
      <w:marTop w:val="0"/>
      <w:marBottom w:val="0"/>
      <w:divBdr>
        <w:top w:val="none" w:sz="0" w:space="0" w:color="auto"/>
        <w:left w:val="none" w:sz="0" w:space="0" w:color="auto"/>
        <w:bottom w:val="none" w:sz="0" w:space="0" w:color="auto"/>
        <w:right w:val="none" w:sz="0" w:space="0" w:color="auto"/>
      </w:divBdr>
    </w:div>
    <w:div w:id="1692145263">
      <w:bodyDiv w:val="1"/>
      <w:marLeft w:val="0"/>
      <w:marRight w:val="0"/>
      <w:marTop w:val="0"/>
      <w:marBottom w:val="0"/>
      <w:divBdr>
        <w:top w:val="none" w:sz="0" w:space="0" w:color="auto"/>
        <w:left w:val="none" w:sz="0" w:space="0" w:color="auto"/>
        <w:bottom w:val="none" w:sz="0" w:space="0" w:color="auto"/>
        <w:right w:val="none" w:sz="0" w:space="0" w:color="auto"/>
      </w:divBdr>
      <w:divsChild>
        <w:div w:id="628970938">
          <w:marLeft w:val="0"/>
          <w:marRight w:val="0"/>
          <w:marTop w:val="90"/>
          <w:marBottom w:val="0"/>
          <w:divBdr>
            <w:top w:val="none" w:sz="0" w:space="0" w:color="auto"/>
            <w:left w:val="none" w:sz="0" w:space="0" w:color="auto"/>
            <w:bottom w:val="none" w:sz="0" w:space="0" w:color="auto"/>
            <w:right w:val="none" w:sz="0" w:space="0" w:color="auto"/>
          </w:divBdr>
          <w:divsChild>
            <w:div w:id="527447658">
              <w:marLeft w:val="0"/>
              <w:marRight w:val="0"/>
              <w:marTop w:val="0"/>
              <w:marBottom w:val="420"/>
              <w:divBdr>
                <w:top w:val="none" w:sz="0" w:space="0" w:color="auto"/>
                <w:left w:val="none" w:sz="0" w:space="0" w:color="auto"/>
                <w:bottom w:val="none" w:sz="0" w:space="0" w:color="auto"/>
                <w:right w:val="none" w:sz="0" w:space="0" w:color="auto"/>
              </w:divBdr>
              <w:divsChild>
                <w:div w:id="2134203636">
                  <w:marLeft w:val="0"/>
                  <w:marRight w:val="0"/>
                  <w:marTop w:val="0"/>
                  <w:marBottom w:val="0"/>
                  <w:divBdr>
                    <w:top w:val="none" w:sz="0" w:space="0" w:color="auto"/>
                    <w:left w:val="none" w:sz="0" w:space="0" w:color="auto"/>
                    <w:bottom w:val="none" w:sz="0" w:space="0" w:color="auto"/>
                    <w:right w:val="none" w:sz="0" w:space="0" w:color="auto"/>
                  </w:divBdr>
                  <w:divsChild>
                    <w:div w:id="192882547">
                      <w:marLeft w:val="0"/>
                      <w:marRight w:val="0"/>
                      <w:marTop w:val="0"/>
                      <w:marBottom w:val="0"/>
                      <w:divBdr>
                        <w:top w:val="none" w:sz="0" w:space="0" w:color="auto"/>
                        <w:left w:val="none" w:sz="0" w:space="0" w:color="auto"/>
                        <w:bottom w:val="none" w:sz="0" w:space="0" w:color="auto"/>
                        <w:right w:val="none" w:sz="0" w:space="0" w:color="auto"/>
                      </w:divBdr>
                      <w:divsChild>
                        <w:div w:id="6112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13000">
      <w:bodyDiv w:val="1"/>
      <w:marLeft w:val="0"/>
      <w:marRight w:val="0"/>
      <w:marTop w:val="0"/>
      <w:marBottom w:val="0"/>
      <w:divBdr>
        <w:top w:val="none" w:sz="0" w:space="0" w:color="auto"/>
        <w:left w:val="none" w:sz="0" w:space="0" w:color="auto"/>
        <w:bottom w:val="none" w:sz="0" w:space="0" w:color="auto"/>
        <w:right w:val="none" w:sz="0" w:space="0" w:color="auto"/>
      </w:divBdr>
    </w:div>
    <w:div w:id="1894267683">
      <w:bodyDiv w:val="1"/>
      <w:marLeft w:val="0"/>
      <w:marRight w:val="0"/>
      <w:marTop w:val="0"/>
      <w:marBottom w:val="0"/>
      <w:divBdr>
        <w:top w:val="none" w:sz="0" w:space="0" w:color="auto"/>
        <w:left w:val="none" w:sz="0" w:space="0" w:color="auto"/>
        <w:bottom w:val="none" w:sz="0" w:space="0" w:color="auto"/>
        <w:right w:val="none" w:sz="0" w:space="0" w:color="auto"/>
      </w:divBdr>
    </w:div>
    <w:div w:id="1908106239">
      <w:bodyDiv w:val="1"/>
      <w:marLeft w:val="0"/>
      <w:marRight w:val="0"/>
      <w:marTop w:val="0"/>
      <w:marBottom w:val="0"/>
      <w:divBdr>
        <w:top w:val="none" w:sz="0" w:space="0" w:color="auto"/>
        <w:left w:val="none" w:sz="0" w:space="0" w:color="auto"/>
        <w:bottom w:val="none" w:sz="0" w:space="0" w:color="auto"/>
        <w:right w:val="none" w:sz="0" w:space="0" w:color="auto"/>
      </w:divBdr>
    </w:div>
    <w:div w:id="1962761252">
      <w:bodyDiv w:val="1"/>
      <w:marLeft w:val="0"/>
      <w:marRight w:val="0"/>
      <w:marTop w:val="0"/>
      <w:marBottom w:val="0"/>
      <w:divBdr>
        <w:top w:val="none" w:sz="0" w:space="0" w:color="auto"/>
        <w:left w:val="none" w:sz="0" w:space="0" w:color="auto"/>
        <w:bottom w:val="none" w:sz="0" w:space="0" w:color="auto"/>
        <w:right w:val="none" w:sz="0" w:space="0" w:color="auto"/>
      </w:divBdr>
    </w:div>
    <w:div w:id="2036760507">
      <w:bodyDiv w:val="1"/>
      <w:marLeft w:val="0"/>
      <w:marRight w:val="0"/>
      <w:marTop w:val="0"/>
      <w:marBottom w:val="0"/>
      <w:divBdr>
        <w:top w:val="none" w:sz="0" w:space="0" w:color="auto"/>
        <w:left w:val="none" w:sz="0" w:space="0" w:color="auto"/>
        <w:bottom w:val="none" w:sz="0" w:space="0" w:color="auto"/>
        <w:right w:val="none" w:sz="0" w:space="0" w:color="auto"/>
      </w:divBdr>
    </w:div>
    <w:div w:id="2043020706">
      <w:bodyDiv w:val="1"/>
      <w:marLeft w:val="0"/>
      <w:marRight w:val="0"/>
      <w:marTop w:val="0"/>
      <w:marBottom w:val="0"/>
      <w:divBdr>
        <w:top w:val="none" w:sz="0" w:space="0" w:color="auto"/>
        <w:left w:val="none" w:sz="0" w:space="0" w:color="auto"/>
        <w:bottom w:val="none" w:sz="0" w:space="0" w:color="auto"/>
        <w:right w:val="none" w:sz="0" w:space="0" w:color="auto"/>
      </w:divBdr>
    </w:div>
    <w:div w:id="2064938720">
      <w:bodyDiv w:val="1"/>
      <w:marLeft w:val="0"/>
      <w:marRight w:val="0"/>
      <w:marTop w:val="0"/>
      <w:marBottom w:val="0"/>
      <w:divBdr>
        <w:top w:val="none" w:sz="0" w:space="0" w:color="auto"/>
        <w:left w:val="none" w:sz="0" w:space="0" w:color="auto"/>
        <w:bottom w:val="none" w:sz="0" w:space="0" w:color="auto"/>
        <w:right w:val="none" w:sz="0" w:space="0" w:color="auto"/>
      </w:divBdr>
    </w:div>
    <w:div w:id="213243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ossmark.crossref.org/dialog/?doi=10.31893/multiscience.2024xxx&amp;domain=pdf" TargetMode="Externa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mailto:"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malque.pub/ojs/index.php/msj/eth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hyperlink" Target="https://orcid.org/" TargetMode="External"/><Relationship Id="rId19" Type="http://schemas.openxmlformats.org/officeDocument/2006/relationships/hyperlink" Target="https://www.malque.pub/ojs/index.php/msj/guid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svg"/><Relationship Id="rId22" Type="http://schemas.openxmlformats.org/officeDocument/2006/relationships/hyperlink" Target="https://malque.pub/ojs/index.php/msj/ethics" TargetMode="External"/><Relationship Id="rId25" Type="http://schemas.openxmlformats.org/officeDocument/2006/relationships/hyperlink" Target="https://orcid.org/0009-0007-0042-2835" TargetMode="External"/><Relationship Id="rId26" Type="http://schemas.openxmlformats.org/officeDocument/2006/relationships/hyperlink" Target="https://orcid.org/0009-0008-3307-6569" TargetMode="External"/><Relationship Id="rId27" Type="http://schemas.openxmlformats.org/officeDocument/2006/relationships/hyperlink" Target="mailto:kontrungcany@gmail.com" TargetMode="External"/><Relationship Id="rId28" Type="http://schemas.openxmlformats.org/officeDocument/2006/relationships/hyperlink" Target="https://orcid.org/0000-0003-3581-6571" TargetMode="External"/><Relationship Id="rId29" Type="http://schemas.openxmlformats.org/officeDocument/2006/relationships/hyperlink" Target="https://orcid.org/0009-0003-0967-7528" TargetMode="External"/><Relationship Id="rId30" Type="http://schemas.openxmlformats.org/officeDocument/2006/relationships/image" Target="media/image9.png"/><Relationship Id="rId31" Type="http://schemas.openxmlformats.org/officeDocument/2006/relationships/image" Target="media/image10.png"/></Relationships>
</file>

<file path=word/_rels/footer1.xml.rels><?xml version='1.0' encoding='UTF-8' standalone='yes'?>
<Relationships xmlns="http://schemas.openxmlformats.org/package/2006/relationships"><Relationship Id="rId3" Type="http://schemas.openxmlformats.org/officeDocument/2006/relationships/hyperlink" Target="https://www.malque.pub/ojs/index.php/msj" TargetMode="External"/><Relationship Id="rId2" Type="http://schemas.openxmlformats.org/officeDocument/2006/relationships/image" Target="media/image5.png"/><Relationship Id="rId1" Type="http://schemas.openxmlformats.org/officeDocument/2006/relationships/hyperlink" Target="https://www.malque.pub" TargetMode="External"/><Relationship Id="rId4" Type="http://schemas.openxmlformats.org/officeDocument/2006/relationships/hyperlink" Target="https://www.malque.pub/ojs/index.php/msj" TargetMode="External"/></Relationships>
</file>

<file path=word/_rels/foot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7.png"/><Relationship Id="rId1" Type="http://schemas.openxmlformats.org/officeDocument/2006/relationships/hyperlink" Target="https://www.malque.pub"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doi.org/10.31893/jabb.21001" TargetMode="External"/><Relationship Id="rId1" Type="http://schemas.openxmlformats.org/officeDocument/2006/relationships/hyperlink" Target="https://doi.org/10.31893/jabb.21001"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s://malque.pub/ojs/index.php/msj/index" TargetMode="External"/><Relationship Id="rId2" Type="http://schemas.openxmlformats.org/officeDocument/2006/relationships/hyperlink" Target="https://doi.org/10.31893/multiscience.2026xxx" TargetMode="External"/><Relationship Id="rId1" Type="http://schemas.openxmlformats.org/officeDocument/2006/relationships/hyperlink" Target="https://doi.org/10.31893/multiscience.2026xxx" TargetMode="External"/><Relationship Id="rId4"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C1F50-F304-414B-B3CA-890330C54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2950</Words>
  <Characters>15935</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Dayanne</dc:creator>
  <cp:lastModifiedBy>Microsoft Office User</cp:lastModifiedBy>
  <cp:revision>16</cp:revision>
  <cp:lastPrinted>2021-04-25T14:28:00Z</cp:lastPrinted>
  <dcterms:created xsi:type="dcterms:W3CDTF">2023-10-20T18:19:00Z</dcterms:created>
  <dcterms:modified xsi:type="dcterms:W3CDTF">2026-09-22T19:30:00Z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0ba2c21447cd7cd887107512ab0bf1c224e9f18955b8338954429a6a53db44a1</vt:lpwstr>
  </property>
</Properties>
</file>