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rId32.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9672e987b7b89f1b9846f5fc9496b777bef1343"/>
    <w:p>
      <w:pPr>
        <w:pStyle w:val="Heading1"/>
      </w:pPr>
      <w:r>
        <w:t xml:space="preserve">Who gains from a market upgrade? Stock liquidity and prices around Vietnam’s FTSE Russell reclassification</w:t>
      </w:r>
    </w:p>
    <w:bookmarkStart w:id="20" w:name="abstract"/>
    <w:p>
      <w:pPr>
        <w:pStyle w:val="Heading2"/>
      </w:pPr>
      <w:r>
        <w:t xml:space="preserve">Abstract</w:t>
      </w:r>
    </w:p>
    <w:p>
      <w:pPr>
        <w:pStyle w:val="FirstParagraph"/>
      </w:pPr>
      <w:r>
        <w:t xml:space="preserve">FTSE Russell reclassified Vietnam from frontier to secondary emerging status in four public steps between October 2025 and September 2026. Such upgrades promise new foreign demand, but studies of aggregate indices or country-level flows do not show which stocks gain or when. Using daily data on 366 Ho Chi Minh City Stock Exchange stocks, we trace liquidity and prices at each step. Because FTSE chose the final constituents on mid-2026 data, we estimate effects for the 24 eventual constituents and, as an intention-to-treat design, for the 27 stocks FTSE had screened as eligible on data from before the announcement. Relative to never-named stocks, the Amihud illiquidity of the pre-announcement eligible group fell by 24%, 43% and 56% after the announcement, the confirmation and the constituent list; for the constituents the declines were 32%, 59% and 68%. Constituents earned cumulative abnormal returns of 3.9% to 7.8% in the announcement week and 2.7% to 4.5% around the confirmation, significant under four benchmarks and a test that allows for the common event dates; the constituent list and the first 10% index tranche produced no reliable price effect. Trading value surged at the rebalancing close for included stocks but not for stocks FTSE named and then excluded. The liquidity and price responses came with FTSE’s disclosures, before index funds had to buy.</w:t>
      </w:r>
    </w:p>
    <w:p>
      <w:pPr>
        <w:pStyle w:val="BodyText"/>
      </w:pPr>
      <w:r>
        <w:rPr>
          <w:bCs/>
          <w:b/>
        </w:rPr>
        <w:t xml:space="preserve">Keywords</w:t>
      </w:r>
      <w:r>
        <w:t xml:space="preserve">: market reclassification; index effect; stock liquidity; frontier markets; intention to treat; Vietnam</w:t>
      </w:r>
    </w:p>
    <w:p>
      <w:pPr>
        <w:pStyle w:val="BodyText"/>
      </w:pPr>
      <w:r>
        <w:rPr>
          <w:bCs/>
          <w:b/>
        </w:rPr>
        <w:t xml:space="preserve">JEL classification</w:t>
      </w:r>
      <w:r>
        <w:t xml:space="preserve">: G12; G14; G15</w:t>
      </w:r>
    </w:p>
    <w:bookmarkEnd w:id="20"/>
    <w:bookmarkStart w:id="21" w:name="introduction"/>
    <w:p>
      <w:pPr>
        <w:pStyle w:val="Heading2"/>
      </w:pPr>
      <w:r>
        <w:t xml:space="preserve">1. Introduction</w:t>
      </w:r>
    </w:p>
    <w:p>
      <w:pPr>
        <w:pStyle w:val="FirstParagraph"/>
      </w:pPr>
      <w:r>
        <w:t xml:space="preserve">The liquidity of likely index stocks improved from the announcement of Vietnam’s market upgrade onward, before index funds had to buy. Relative to never-named stocks on the Ho Chi Minh City Stock Exchange (HOSE), the Amihud (2002) illiquidity of the 27 stocks FTSE Russell had screened as eligible on 2024 data fell by 43% after the April 2026 confirmation and by 56% after the August 2026 constituent list. For the final constituents, the declines were 59% and 68%. At the first index tranche, prices showed no reliable change, while trading value surged at the rebalancing close for included stocks only.</w:t>
      </w:r>
    </w:p>
    <w:p>
      <w:pPr>
        <w:pStyle w:val="BodyText"/>
      </w:pPr>
      <w:r>
        <w:t xml:space="preserve">Market classification decides which benchmarks a country’s stocks can enter, and benchmark weights steer international portfolio allocations (Raddatz et al., 2017). An upgrade to emerging status therefore promises new foreign demand. Because liquidity is priced in emerging markets (Bekaert et al., 2007), the cost of capital of issuers depends in part on which stocks that demand reaches, and when.</w:t>
      </w:r>
    </w:p>
    <w:p>
      <w:pPr>
        <w:pStyle w:val="BodyText"/>
      </w:pPr>
      <w:r>
        <w:t xml:space="preserve">Existing evidence says little about this for frontier markets. Additions to the S&amp;P 500 raise trading activity and narrow spreads persistently (Hegde &amp; McDermott, 2003). In frontier markets, index additions raise prices persistently, and Biktimirov and Afego (2026) attribute the gains to institutional demand. Studies of market reclassification mostly use aggregate indices or country-level flows (e.g., Burnham et al., 2018; Raddatz et al., 2017), which pool all stocks and so cannot separate the stocks an upgrade targets from market-wide trends. An earlier study of the same market by the present authors (anonymized for review) found no structural breaks in index-level liquidity at FTSE watch-list reviews but could not identify which stocks gained.</w:t>
      </w:r>
    </w:p>
    <w:p>
      <w:pPr>
        <w:pStyle w:val="BodyText"/>
      </w:pPr>
      <w:r>
        <w:t xml:space="preserve">Vietnam’s reclassification offers a cleaner test. FTSE disclosed it in four dated steps, each resolving a different uncertainty: the announcement (7 October 2025), the confirmation (7 April 2026), the constituent list (21 August 2026) and the effective date (21 September 2026). Hundreds of HOSE stocks outside the index form a comparison group. FTSE also published a preliminary list of eligible stocks screened on data as of 31 December 2024, before the announcement, which supports intention-to-treat (ITT) estimates that do not depend on its later choice. That choice used liquidity data up to June 2026 (FTSE Russell, n.d.), in the middle of our sample, so comparing final constituents with other stocks could mistake selection for an upgrade effect. We therefore drop from the comparison group every stock FTSE named as eligible but did not include.</w:t>
      </w:r>
    </w:p>
    <w:p>
      <w:pPr>
        <w:pStyle w:val="BodyText"/>
      </w:pPr>
      <w:r>
        <w:t xml:space="preserve">We estimate difference-in-differences and event-study regressions on 35,752 stock-weeks and on daily returns from October 2024 to September 2026. The main liquidity measure is the Amihud ratio on traded value in Vietnamese dong (VND); we also report trading value, the Corwin and Schultz (2012) high-low spread (CS spread), volatility and cumulative abnormal returns (CARs). We test CARs at the portfolio level to account for the common event dates (Brown &amp; Warner, 1985) and call them reliable only if significant at 5% under all four benchmarks.</w:t>
      </w:r>
    </w:p>
    <w:p>
      <w:pPr>
        <w:pStyle w:val="BodyText"/>
      </w:pPr>
      <w:r>
        <w:t xml:space="preserve">We make one contribution: we decompose the stock-level liquidity and price effects of a frontier-to-emerging reclassification by disclosure stage, with a treatment group also fixed before the upgrade. In a search bounded to Crossref records and the literature cited here, we found no earlier stock-level estimate of this effect with a comparison group and a pre-determined treatment list, and unlike Biktimirov and Afego (2026) we follow liquidity stage by stage within one market. Four findings support the decomposition. First, the illiquidity of the ITT group fell by 0.27, 0.55 and 0.81 log points across the three windows, about two thirds of the constituent declines; for constituents, the confirmation brought a discrete step beyond a gradual post-announcement drift, and the constituent list did not (Section 4.1). Second, prices rose reliably in the announcement week and at the confirmation, and the confirmation gain persisted under three of four benchmarks (Section 4.2). Third, trading value surged by 0.79 log points at the rebalancing close, rising with FTSE size segment, with no surge for named-but-excluded stocks (Sections 4.3 and 4.4). Fourth, FTSE’s eligibility lists partly followed rising liquidity (Section 5.2), which limits causal readings of the constituent estimates.</w:t>
      </w:r>
    </w:p>
    <w:p>
      <w:pPr>
        <w:pStyle w:val="BodyText"/>
      </w:pPr>
      <w:r>
        <w:t xml:space="preserve">The remainder of the paper is organized as follows. Section 2 describes the setting, reviews the literature and states the hypotheses. Section 3 presents the data and design, Section 4 the results and Section 5 the robustness checks and the selection evidence. Section 6 concludes.</w:t>
      </w:r>
    </w:p>
    <w:bookmarkEnd w:id="21"/>
    <w:bookmarkStart w:id="26" w:name="setting-literature-and-hypotheses"/>
    <w:p>
      <w:pPr>
        <w:pStyle w:val="Heading2"/>
      </w:pPr>
      <w:r>
        <w:t xml:space="preserve">2. Setting, literature and hypotheses</w:t>
      </w:r>
    </w:p>
    <w:bookmarkStart w:id="22" w:name="X6f3be4994b6f010c59c6d2c2f4b077e168202ba"/>
    <w:p>
      <w:pPr>
        <w:pStyle w:val="Heading3"/>
      </w:pPr>
      <w:r>
        <w:t xml:space="preserve">2.1 FTSE Russell’s four-step reclassification of Vietnam</w:t>
      </w:r>
    </w:p>
    <w:p>
      <w:pPr>
        <w:pStyle w:val="FirstParagraph"/>
      </w:pPr>
      <w:r>
        <w:t xml:space="preserve">FTSE Russell added Vietnam to its watch list in September 2018 (FTSE Russell, 2018). On 7 October 2025 it announced an upgrade to secondary emerging status effective 21 September 2026, subject to an interim review in March 2026 (LSEG, 2025), and on 7 April 2026 it confirmed the upgrade and the date (LSEG, 2026). Inclusion is phased in tranches of 10%, 20%, 35% and 35% of the index weight on 21 September 2026, 22 March 2027, 21 June 2027 and 20 September 2027 (FTSE Russell, 2026), so the effective date we study carried only the first tenth.</w:t>
      </w:r>
    </w:p>
    <w:p>
      <w:pPr>
        <w:pStyle w:val="BodyText"/>
      </w:pPr>
      <w:r>
        <w:t xml:space="preserve">Between these dates the financial press reported FTSE’s lists of eligible stocks. A preliminary list of 28 names appeared in November 2025 (Viet Nam News, 2025); it was screened on data as of 31 December 2024 (The Investor, 2026a). A list of 32 names, screened on data as of 31 December 2025, followed in April 2026, dropping Petrolimex (PLX) and adding BID, FPT, NVL, GEE and BSR (The Investor, 2026b). On 21 August 2026 FTSE published 27 constituents, effective after the close of 18 September 2026 (FTSE Russell, 2026; VIR, 2026) and screened on liquidity data up to the last business day of June (FTSE Russell, n.d.). FTSE applies liquidity, minimum-size and foreign-headroom screens, and in the liquidity test it uses the investability weight of each security, which reflects its free float and foreign-ownership limits (FTSE Russell, 2026). The same weight scales the index weight of a security, and each tranche applies a fraction of it. A security with a 49% investability weight thus enters at 4.9% after the first tranche (10% of 49%) and at 49% after the last, so index weight and passive demand rise with free-float market capitalization. Appendix Table A.1 lists the stocks.</w:t>
      </w:r>
    </w:p>
    <w:bookmarkEnd w:id="22"/>
    <w:bookmarkStart w:id="23" w:name="index-inclusion-and-liquidity"/>
    <w:p>
      <w:pPr>
        <w:pStyle w:val="Heading3"/>
      </w:pPr>
      <w:r>
        <w:t xml:space="preserve">2.2 Index inclusion and liquidity</w:t>
      </w:r>
    </w:p>
    <w:p>
      <w:pPr>
        <w:pStyle w:val="FirstParagraph"/>
      </w:pPr>
      <w:r>
        <w:t xml:space="preserve">Two channels link index membership to liquidity and prices. Under the price-pressure channel, additions lead index funds to buy, which produces temporary volume and price effects that reverse afterwards (Harris &amp; Gurel, 1986). Under the demand and recognition channel, the investor base changes lastingly. Shleifer (1986) interprets excess returns that persist for at least ten days after inclusion as evidence that demand curves for stocks slope down. Chen et al. (2004) find asymmetric effects of additions and deletions that fit a gain in investor awareness, and Hegde and McDermott (2003) attribute the persistent liquidity gains of S&amp;P 500 additions mainly to lower direct trading costs.</w:t>
      </w:r>
    </w:p>
    <w:p>
      <w:pPr>
        <w:pStyle w:val="BodyText"/>
      </w:pPr>
      <w:r>
        <w:t xml:space="preserve">Liquidity gains from inclusion also have real consequences: S&amp;P 500 additions with larger liquidity improvements increase capital investment (Becker-Blease &amp; Paul, 2006), whereas the liquidity lost after FTSE 100 deletions has no significant effect on investment (Gregoriou &amp; Nguyen, 2010). Because liquidity co-moves across stocks (Chordia et al., 2000), such studies must separate stock-specific changes from market-wide liquidity shocks.</w:t>
      </w:r>
    </w:p>
    <w:bookmarkEnd w:id="23"/>
    <w:bookmarkStart w:id="24" w:name="X58c81944038358bcfc25798ed6558a49acd92a0"/>
    <w:p>
      <w:pPr>
        <w:pStyle w:val="Heading3"/>
      </w:pPr>
      <w:r>
        <w:t xml:space="preserve">2.3 Market reclassification and frontier markets</w:t>
      </w:r>
    </w:p>
    <w:p>
      <w:pPr>
        <w:pStyle w:val="FirstParagraph"/>
      </w:pPr>
      <w:r>
        <w:t xml:space="preserve">Reclassification moves a whole market between benchmark families. Because mutual funds allocate across countries with reference to benchmark weights, a change in classification changes capital flows (Raddatz et al., 2017) and can move currency values (Hau et al., 2010). Burnham et al. (2018) show that, when MSCI moves a country to a different index family, its stock prices move sharply in the direction implied by the new benchmark before implementation and give back most of that move in the following year. After MSCI included China A-shares in its Emerging Markets Index, the included stocks earned abnormal returns around the announcement, and market quality changed over the longer run through liquidity, turnover and price synchronization (Dong et al., 2023); beyond that study, we did not locate a stock-level study of liquidity around the China A-share inclusion. Frontier-market evidence is thinner. Biktimirov and Afego (2026) study changes to the FTSE Frontier 50 Index from 2008 to 2025; they find persistent price gains for additions and returns and trading volume that respond differently when a country changes class, and they trace the gains to institutional demand rather than to trading pressure or liquidity.</w:t>
      </w:r>
    </w:p>
    <w:p>
      <w:pPr>
        <w:pStyle w:val="BodyText"/>
      </w:pPr>
      <w:r>
        <w:t xml:space="preserve">Liquidity carries particular weight in these markets. Local market liquidity predicts returns in emerging markets, where segmentation from global capital is only partial (Bekaert et al., 2007). Stereńczak et al. (2020) ask whether frontier-market investors demand compensation for illiquidity. A liquidity gain for some stocks could therefore shift their cost of capital, although we do not measure that shift. Vietnamese evidence from before the upgrade concerns market-wide shocks such as the COVID-19 outbreak (Nguyen et al., 2021), not classification events.</w:t>
      </w:r>
    </w:p>
    <w:bookmarkEnd w:id="24"/>
    <w:bookmarkStart w:id="25" w:name="hypotheses"/>
    <w:p>
      <w:pPr>
        <w:pStyle w:val="Heading3"/>
      </w:pPr>
      <w:r>
        <w:t xml:space="preserve">2.4 Hypotheses</w:t>
      </w:r>
    </w:p>
    <w:p>
      <w:pPr>
        <w:pStyle w:val="FirstParagraph"/>
      </w:pPr>
      <w:r>
        <w:t xml:space="preserve">The recognition channel predicts that liquidity and prices respond when information reaches investors, at the announcement, the confirmation and the constituent list; the price-pressure channel predicts a trading and price spike when index funds rebalance, followed by reversal.</w:t>
      </w:r>
    </w:p>
    <w:p>
      <w:pPr>
        <w:pStyle w:val="BodyText"/>
      </w:pPr>
      <w:r>
        <w:t xml:space="preserve">H1. After the reclassification announcement, stocks likely to enter the index become less illiquid than other HOSE stocks.</w:t>
      </w:r>
    </w:p>
    <w:p>
      <w:pPr>
        <w:pStyle w:val="BodyText"/>
      </w:pPr>
      <w:r>
        <w:t xml:space="preserve">H2. The liquidity gap widens at each later disclosure that resolves uncertainty about the upgrade and its constituents.</w:t>
      </w:r>
    </w:p>
    <w:p>
      <w:pPr>
        <w:pStyle w:val="BodyText"/>
      </w:pPr>
      <w:r>
        <w:t xml:space="preserve">H3. Likely constituents earn abnormal returns at the disclosures, and the first index tranche adds no further price effect.</w:t>
      </w:r>
    </w:p>
    <w:p>
      <w:pPr>
        <w:pStyle w:val="BodyText"/>
      </w:pPr>
      <w:r>
        <w:t xml:space="preserve">H4. The rebalancing session produces a trading-value surge for constituents, and not for excluded stocks, that scales with index weight.</w:t>
      </w:r>
    </w:p>
    <w:bookmarkEnd w:id="25"/>
    <w:bookmarkEnd w:id="26"/>
    <w:bookmarkStart w:id="31" w:name="data-and-empirical-design"/>
    <w:p>
      <w:pPr>
        <w:pStyle w:val="Heading2"/>
      </w:pPr>
      <w:r>
        <w:t xml:space="preserve">3. Data and empirical design</w:t>
      </w:r>
    </w:p>
    <w:bookmarkStart w:id="27" w:name="sample-and-groups"/>
    <w:p>
      <w:pPr>
        <w:pStyle w:val="Heading3"/>
      </w:pPr>
      <w:r>
        <w:t xml:space="preserve">3.1 Sample and groups</w:t>
      </w:r>
    </w:p>
    <w:p>
      <w:pPr>
        <w:pStyle w:val="FirstParagraph"/>
      </w:pPr>
      <w:r>
        <w:t xml:space="preserve">We collect daily open, high, low and close prices and share volume for all 405 common stocks listed on HOSE on 24 September 2026, from 1 October 2024 to 23 September 2026, from the Vietcap Securities (VCI) feed through the open-source vnstock library; the sample therefore omits stocks delisted during the period. We keep stocks with at least 200 trading days before 7 October 2025, zero volume on fewer than 20% of those days, and a median price of at least VND 1,000, which leaves 366 stocks.</w:t>
      </w:r>
    </w:p>
    <w:p>
      <w:pPr>
        <w:pStyle w:val="BodyText"/>
      </w:pPr>
      <w:r>
        <w:t xml:space="preserve">We sort the stocks into three groups (Appendix Table A.1). Constituents are the 24 of the final 27 with a full pre-period (TCX, VPL and VCK listed after October 2025). Named-but-excluded stocks are the 14 HOSE stocks on the November 2025 or April 2026 eligible list that FTSE did not include; a fifteenth, Tasco (HUT), trades on the Hanoi exchange. The remaining 328 never-named stocks form the comparison group. The ITT group consists of the 27 HOSE stocks on the preliminary list, 15 of which became constituents. BSR traded on the Unlisted Public Company Market (UPCoM) until 6 January 2025 and on HOSE from 17 January 2025 (VietnamPlus, 2024), so its pre-period spans two venues; Section 5.2 reports results without it.</w:t>
      </w:r>
    </w:p>
    <w:p>
      <w:pPr>
        <w:pStyle w:val="BodyText"/>
      </w:pPr>
      <w:r>
        <w:t xml:space="preserve">Table 1 compares the groups before the announcement. Constituents traded a mean of 6.82 log VND billion per week against 2.19 for never-named stocks, with a mean Amihud ratio about three orders of magnitude lower, and named-but-excluded stocks sit between the two; spreads and absolute returns are similar. This size gap motivates the matched sample and the size-specific checks.</w:t>
      </w:r>
    </w:p>
    <w:p>
      <w:pPr>
        <w:pStyle w:val="BodyText"/>
      </w:pPr>
      <w:r>
        <w:rPr>
          <w:bCs/>
          <w:b/>
        </w:rPr>
        <w:t xml:space="preserve">Table 1. Pre-announcement characteristics by group, October 2024 to 6 October 2025</w:t>
      </w:r>
    </w:p>
    <w:tbl>
      <w:tblPr>
        <w:tblStyle w:val="Table"/>
        <w:tblW w:type="pct" w:w="5000"/>
        <w:tblLook w:firstRow="1" w:lastRow="0" w:firstColumn="0" w:lastColumn="0" w:noHBand="0" w:noVBand="0" w:val="0020"/>
        <w:jc w:val="start"/>
      </w:tblPr>
      <w:tblGrid>
        <w:gridCol w:w="931"/>
        <w:gridCol w:w="1164"/>
        <w:gridCol w:w="1164"/>
        <w:gridCol w:w="1164"/>
        <w:gridCol w:w="1164"/>
        <w:gridCol w:w="1164"/>
        <w:gridCol w:w="1164"/>
      </w:tblGrid>
      <w:tr>
        <w:trPr>
          <w:tblHeader w:val="true"/>
        </w:trPr>
        <w:tc>
          <w:tcPr/>
          <w:p>
            <w:pPr>
              <w:pStyle w:val="Compact"/>
              <w:jc w:val="left"/>
            </w:pPr>
            <w:r>
              <w:t xml:space="preserve">Group</w:t>
            </w:r>
          </w:p>
        </w:tc>
        <w:tc>
          <w:tcPr/>
          <w:p>
            <w:pPr>
              <w:pStyle w:val="Compact"/>
              <w:jc w:val="center"/>
            </w:pPr>
            <w:r>
              <w:t xml:space="preserve">Stocks</w:t>
            </w:r>
          </w:p>
        </w:tc>
        <w:tc>
          <w:tcPr/>
          <w:p>
            <w:pPr>
              <w:pStyle w:val="Compact"/>
              <w:jc w:val="center"/>
            </w:pPr>
            <w:r>
              <w:t xml:space="preserve">Stock-weeks</w:t>
            </w:r>
          </w:p>
        </w:tc>
        <w:tc>
          <w:tcPr/>
          <w:p>
            <w:pPr>
              <w:pStyle w:val="Compact"/>
              <w:jc w:val="center"/>
            </w:pPr>
            <w:r>
              <w:t xml:space="preserve">Amihud</w:t>
            </w:r>
          </w:p>
        </w:tc>
        <w:tc>
          <w:tcPr/>
          <w:p>
            <w:pPr>
              <w:pStyle w:val="Compact"/>
              <w:jc w:val="center"/>
            </w:pPr>
            <w:r>
              <w:t xml:space="preserve">log trading value</w:t>
            </w:r>
          </w:p>
        </w:tc>
        <w:tc>
          <w:tcPr/>
          <w:p>
            <w:pPr>
              <w:pStyle w:val="Compact"/>
              <w:jc w:val="center"/>
            </w:pPr>
            <w:r>
              <w:t xml:space="preserve">CS spread (%)</w:t>
            </w:r>
          </w:p>
        </w:tc>
        <w:tc>
          <w:tcPr/>
          <w:p>
            <w:pPr>
              <w:pStyle w:val="Compact"/>
              <w:jc w:val="center"/>
            </w:pPr>
            <w:r>
              <w:t xml:space="preserve">Absolute return (%)</w:t>
            </w:r>
          </w:p>
        </w:tc>
      </w:tr>
      <w:tr>
        <w:tc>
          <w:tcPr/>
          <w:p>
            <w:pPr>
              <w:pStyle w:val="Compact"/>
              <w:jc w:val="left"/>
            </w:pPr>
            <w:r>
              <w:t xml:space="preserve">Constituents</w:t>
            </w:r>
          </w:p>
        </w:tc>
        <w:tc>
          <w:tcPr/>
          <w:p>
            <w:pPr>
              <w:pStyle w:val="Compact"/>
              <w:jc w:val="center"/>
            </w:pPr>
            <w:r>
              <w:t xml:space="preserve">24</w:t>
            </w:r>
          </w:p>
        </w:tc>
        <w:tc>
          <w:tcPr/>
          <w:p>
            <w:pPr>
              <w:pStyle w:val="Compact"/>
              <w:jc w:val="center"/>
            </w:pPr>
            <w:r>
              <w:t xml:space="preserve">1,248</w:t>
            </w:r>
          </w:p>
        </w:tc>
        <w:tc>
          <w:tcPr/>
          <w:p>
            <w:pPr>
              <w:pStyle w:val="Compact"/>
              <w:jc w:val="center"/>
            </w:pPr>
            <w:r>
              <w:t xml:space="preserve">0.00017</w:t>
            </w:r>
          </w:p>
        </w:tc>
        <w:tc>
          <w:tcPr/>
          <w:p>
            <w:pPr>
              <w:pStyle w:val="Compact"/>
              <w:jc w:val="center"/>
            </w:pPr>
            <w:r>
              <w:t xml:space="preserve">6.82</w:t>
            </w:r>
          </w:p>
        </w:tc>
        <w:tc>
          <w:tcPr/>
          <w:p>
            <w:pPr>
              <w:pStyle w:val="Compact"/>
              <w:jc w:val="center"/>
            </w:pPr>
            <w:r>
              <w:t xml:space="preserve">0.57</w:t>
            </w:r>
          </w:p>
        </w:tc>
        <w:tc>
          <w:tcPr/>
          <w:p>
            <w:pPr>
              <w:pStyle w:val="Compact"/>
              <w:jc w:val="center"/>
            </w:pPr>
            <w:r>
              <w:t xml:space="preserve">1.40</w:t>
            </w:r>
          </w:p>
        </w:tc>
      </w:tr>
      <w:tr>
        <w:tc>
          <w:tcPr/>
          <w:p>
            <w:pPr>
              <w:pStyle w:val="Compact"/>
              <w:jc w:val="left"/>
            </w:pPr>
            <w:r>
              <w:t xml:space="preserve">Named, not included</w:t>
            </w:r>
          </w:p>
        </w:tc>
        <w:tc>
          <w:tcPr/>
          <w:p>
            <w:pPr>
              <w:pStyle w:val="Compact"/>
              <w:jc w:val="center"/>
            </w:pPr>
            <w:r>
              <w:t xml:space="preserve">14</w:t>
            </w:r>
          </w:p>
        </w:tc>
        <w:tc>
          <w:tcPr/>
          <w:p>
            <w:pPr>
              <w:pStyle w:val="Compact"/>
              <w:jc w:val="center"/>
            </w:pPr>
            <w:r>
              <w:t xml:space="preserve">726</w:t>
            </w:r>
          </w:p>
        </w:tc>
        <w:tc>
          <w:tcPr/>
          <w:p>
            <w:pPr>
              <w:pStyle w:val="Compact"/>
              <w:jc w:val="center"/>
            </w:pPr>
            <w:r>
              <w:t xml:space="preserve">0.0033</w:t>
            </w:r>
          </w:p>
        </w:tc>
        <w:tc>
          <w:tcPr/>
          <w:p>
            <w:pPr>
              <w:pStyle w:val="Compact"/>
              <w:jc w:val="center"/>
            </w:pPr>
            <w:r>
              <w:t xml:space="preserve">5.96</w:t>
            </w:r>
          </w:p>
        </w:tc>
        <w:tc>
          <w:tcPr/>
          <w:p>
            <w:pPr>
              <w:pStyle w:val="Compact"/>
              <w:jc w:val="center"/>
            </w:pPr>
            <w:r>
              <w:t xml:space="preserve">0.61</w:t>
            </w:r>
          </w:p>
        </w:tc>
        <w:tc>
          <w:tcPr/>
          <w:p>
            <w:pPr>
              <w:pStyle w:val="Compact"/>
              <w:jc w:val="center"/>
            </w:pPr>
            <w:r>
              <w:t xml:space="preserve">1.49</w:t>
            </w:r>
          </w:p>
        </w:tc>
      </w:tr>
      <w:tr>
        <w:tc>
          <w:tcPr/>
          <w:p>
            <w:pPr>
              <w:pStyle w:val="Compact"/>
              <w:jc w:val="left"/>
            </w:pPr>
            <w:r>
              <w:t xml:space="preserve">Never-named</w:t>
            </w:r>
          </w:p>
        </w:tc>
        <w:tc>
          <w:tcPr/>
          <w:p>
            <w:pPr>
              <w:pStyle w:val="Compact"/>
              <w:jc w:val="center"/>
            </w:pPr>
            <w:r>
              <w:t xml:space="preserve">328</w:t>
            </w:r>
          </w:p>
        </w:tc>
        <w:tc>
          <w:tcPr/>
          <w:p>
            <w:pPr>
              <w:pStyle w:val="Compact"/>
              <w:jc w:val="center"/>
            </w:pPr>
            <w:r>
              <w:t xml:space="preserve">16,915</w:t>
            </w:r>
          </w:p>
        </w:tc>
        <w:tc>
          <w:tcPr/>
          <w:p>
            <w:pPr>
              <w:pStyle w:val="Compact"/>
              <w:jc w:val="center"/>
            </w:pPr>
            <w:r>
              <w:t xml:space="preserve">0.195</w:t>
            </w:r>
          </w:p>
        </w:tc>
        <w:tc>
          <w:tcPr/>
          <w:p>
            <w:pPr>
              <w:pStyle w:val="Compact"/>
              <w:jc w:val="center"/>
            </w:pPr>
            <w:r>
              <w:t xml:space="preserve">2.19</w:t>
            </w:r>
          </w:p>
        </w:tc>
        <w:tc>
          <w:tcPr/>
          <w:p>
            <w:pPr>
              <w:pStyle w:val="Compact"/>
              <w:jc w:val="center"/>
            </w:pPr>
            <w:r>
              <w:t xml:space="preserve">0.61</w:t>
            </w:r>
          </w:p>
        </w:tc>
        <w:tc>
          <w:tcPr/>
          <w:p>
            <w:pPr>
              <w:pStyle w:val="Compact"/>
              <w:jc w:val="center"/>
            </w:pPr>
            <w:r>
              <w:t xml:space="preserve">1.37</w:t>
            </w:r>
          </w:p>
        </w:tc>
      </w:tr>
    </w:tbl>
    <w:p>
      <w:pPr>
        <w:pStyle w:val="BodyText"/>
      </w:pPr>
      <w:r>
        <w:rPr>
          <w:iCs/>
          <w:i/>
        </w:rPr>
        <w:t xml:space="preserve">Notes</w:t>
      </w:r>
      <w:r>
        <w:t xml:space="preserve">: Weekly means, with Amihud from Eq. (1) and the Corwin–Schultz (CS) spread from Eqs. (2)–(3). Source: Authors’ calculations.</w:t>
      </w:r>
    </w:p>
    <w:bookmarkEnd w:id="27"/>
    <w:bookmarkStart w:id="28" w:name="liquidity-and-return-measures"/>
    <w:p>
      <w:pPr>
        <w:pStyle w:val="Heading3"/>
      </w:pPr>
      <w:r>
        <w:t xml:space="preserve">3.2 Liquidity and return measures</w:t>
      </w:r>
    </w:p>
    <w:p>
      <w:pPr>
        <w:pStyle w:val="FirstParagraph"/>
      </w:pPr>
      <w:r>
        <w:t xml:space="preserve">Daily traded value</w:t>
      </w:r>
      <w:r>
        <w:t xml:space="preserve"> </w:t>
      </w:r>
      <m:oMath>
        <m:sSub>
          <m:e>
            <m:r>
              <m:rPr>
                <m:sty m:val="p"/>
              </m:rPr>
              <m:t>V</m:t>
            </m:r>
            <m:r>
              <m:rPr>
                <m:sty m:val="p"/>
              </m:rPr>
              <m:t>A</m:t>
            </m:r>
            <m:r>
              <m:rPr>
                <m:sty m:val="p"/>
              </m:rPr>
              <m:t>L</m:t>
            </m:r>
          </m:e>
          <m:sub>
            <m:r>
              <m:t>i</m:t>
            </m:r>
            <m:r>
              <m:t>t</m:t>
            </m:r>
          </m:sub>
        </m:sSub>
      </m:oMath>
      <w:r>
        <w:t xml:space="preserve"> </w:t>
      </w:r>
      <w:r>
        <w:t xml:space="preserve">is the closing price times share volume of stock</w:t>
      </w:r>
      <w:r>
        <w:t xml:space="preserve"> </w:t>
      </w:r>
      <m:oMath>
        <m:r>
          <m:t>i</m:t>
        </m:r>
      </m:oMath>
      <w:r>
        <w:t xml:space="preserve"> </w:t>
      </w:r>
      <w:r>
        <w:t xml:space="preserve">on day</w:t>
      </w:r>
      <w:r>
        <w:t xml:space="preserve"> </w:t>
      </w:r>
      <m:oMath>
        <m:r>
          <m:t>t</m:t>
        </m:r>
      </m:oMath>
      <w:r>
        <w:t xml:space="preserve">, in VND billion, and</w:t>
      </w:r>
      <w:r>
        <w:t xml:space="preserve"> </w:t>
      </w:r>
      <m:oMath>
        <m:sSub>
          <m:e>
            <m:r>
              <m:t>R</m:t>
            </m:r>
          </m:e>
          <m:sub>
            <m:r>
              <m:t>i</m:t>
            </m:r>
            <m:r>
              <m:t>t</m:t>
            </m:r>
          </m:sub>
        </m:sSub>
      </m:oMath>
      <w:r>
        <w:t xml:space="preserve"> </w:t>
      </w:r>
      <w:r>
        <w:t xml:space="preserve">is its daily log return. Following Amihud (2002), who divides the absolute daily return by dollar volume, we define daily illiquidity as</w:t>
      </w:r>
    </w:p>
    <w:p>
      <w:pPr>
        <w:pStyle w:val="BodyText"/>
      </w:pPr>
      <m:oMathPara>
        <m:oMathParaPr>
          <m:jc m:val="center"/>
        </m:oMathParaPr>
        <m:oMath>
          <m:sSub>
            <m:e>
              <m:r>
                <m:rPr>
                  <m:sty m:val="p"/>
                </m:rPr>
                <m:t>I</m:t>
              </m:r>
              <m:r>
                <m:rPr>
                  <m:sty m:val="p"/>
                </m:rPr>
                <m:t>L</m:t>
              </m:r>
              <m:r>
                <m:rPr>
                  <m:sty m:val="p"/>
                </m:rPr>
                <m:t>L</m:t>
              </m:r>
              <m:r>
                <m:rPr>
                  <m:sty m:val="p"/>
                </m:rPr>
                <m:t>I</m:t>
              </m:r>
              <m:r>
                <m:rPr>
                  <m:sty m:val="p"/>
                </m:rPr>
                <m:t>Q</m:t>
              </m:r>
            </m:e>
            <m:sub>
              <m:r>
                <m:t>i</m:t>
              </m:r>
              <m:r>
                <m:t>t</m:t>
              </m:r>
            </m:sub>
          </m:sSub>
          <m:r>
            <m:rPr>
              <m:sty m:val="p"/>
            </m:rPr>
            <m:t>=</m:t>
          </m:r>
          <m:f>
            <m:fPr>
              <m:type m:val="bar"/>
            </m:fPr>
            <m:num>
              <m:d>
                <m:dPr>
                  <m:begChr m:val="|"/>
                  <m:endChr m:val="|"/>
                  <m:sepChr m:val=""/>
                  <m:grow/>
                </m:dPr>
                <m:e>
                  <m:sSub>
                    <m:e>
                      <m:r>
                        <m:t>R</m:t>
                      </m:r>
                    </m:e>
                    <m:sub>
                      <m:r>
                        <m:t>i</m:t>
                      </m:r>
                      <m:r>
                        <m:t>t</m:t>
                      </m:r>
                    </m:sub>
                  </m:sSub>
                </m:e>
              </m:d>
            </m:num>
            <m:den>
              <m:sSub>
                <m:e>
                  <m:r>
                    <m:rPr>
                      <m:sty m:val="p"/>
                    </m:rPr>
                    <m:t>V</m:t>
                  </m:r>
                  <m:r>
                    <m:rPr>
                      <m:sty m:val="p"/>
                    </m:rPr>
                    <m:t>A</m:t>
                  </m:r>
                  <m:r>
                    <m:rPr>
                      <m:sty m:val="p"/>
                    </m:rPr>
                    <m:t>L</m:t>
                  </m:r>
                </m:e>
                <m:sub>
                  <m:r>
                    <m:t>i</m:t>
                  </m:r>
                  <m:r>
                    <m:t>t</m:t>
                  </m:r>
                </m:sub>
              </m:sSub>
            </m:den>
          </m:f>
          <m:r>
            <m:rPr>
              <m:sty m:val="p"/>
            </m:rPr>
            <m:t>.</m:t>
          </m:r>
          <m:r>
            <m:t>  </m:t>
          </m:r>
          <m:d>
            <m:dPr>
              <m:begChr m:val="("/>
              <m:endChr m:val=")"/>
              <m:sepChr m:val=""/>
              <m:grow/>
            </m:dPr>
            <m:e>
              <m:r>
                <m:t>1</m:t>
              </m:r>
            </m:e>
          </m:d>
        </m:oMath>
      </m:oMathPara>
    </w:p>
    <w:p>
      <w:pPr>
        <w:pStyle w:val="FirstParagraph"/>
      </w:pPr>
      <w:r>
        <w:t xml:space="preserve">Traded value makes the ratio comparable across price levels, and our volume filter limits the loss of accuracy that Kang and Zhang (2014) document for the Amihud ratio in emerging markets with many zero-volume days. The CS spread uses the daily high</w:t>
      </w:r>
      <w:r>
        <w:t xml:space="preserve"> </w:t>
      </w:r>
      <m:oMath>
        <m:sSub>
          <m:e>
            <m:r>
              <m:t>H</m:t>
            </m:r>
          </m:e>
          <m:sub>
            <m:r>
              <m:t>i</m:t>
            </m:r>
            <m:r>
              <m:t>t</m:t>
            </m:r>
          </m:sub>
        </m:sSub>
      </m:oMath>
      <w:r>
        <w:t xml:space="preserve"> </w:t>
      </w:r>
      <w:r>
        <w:t xml:space="preserve">and low</w:t>
      </w:r>
      <w:r>
        <w:t xml:space="preserve"> </w:t>
      </w:r>
      <m:oMath>
        <m:sSub>
          <m:e>
            <m:r>
              <m:t>L</m:t>
            </m:r>
          </m:e>
          <m:sub>
            <m:r>
              <m:t>i</m:t>
            </m:r>
            <m:r>
              <m:t>t</m:t>
            </m:r>
          </m:sub>
        </m:sSub>
      </m:oMath>
      <w:r>
        <w:t xml:space="preserve"> </w:t>
      </w:r>
      <w:r>
        <w:t xml:space="preserve">over two consecutive days (Corwin &amp; Schultz, 2012):</w:t>
      </w:r>
    </w:p>
    <w:p>
      <w:pPr>
        <w:pStyle w:val="BodyText"/>
      </w:pPr>
      <m:oMathPara>
        <m:oMathParaPr>
          <m:jc m:val="center"/>
        </m:oMathParaPr>
        <m:oMath>
          <m:sSub>
            <m:e>
              <m:r>
                <m:t>ϕ</m:t>
              </m:r>
            </m:e>
            <m:sub>
              <m:r>
                <m:t>i</m:t>
              </m:r>
              <m:r>
                <m:t>t</m:t>
              </m:r>
            </m:sub>
          </m:sSub>
          <m:r>
            <m:rPr>
              <m:sty m:val="p"/>
            </m:rPr>
            <m:t>=</m:t>
          </m:r>
          <m:sSup>
            <m:e>
              <m:d>
                <m:dPr>
                  <m:begChr m:val="["/>
                  <m:endChr m:val="]"/>
                  <m:sepChr m:val=""/>
                  <m:grow/>
                </m:dPr>
                <m:e>
                  <m:r>
                    <m:rPr>
                      <m:sty m:val="p"/>
                    </m:rPr>
                    <m:t>ln</m:t>
                  </m:r>
                  <m:f>
                    <m:fPr>
                      <m:type m:val="bar"/>
                    </m:fPr>
                    <m:num>
                      <m:sSub>
                        <m:e>
                          <m:r>
                            <m:t>H</m:t>
                          </m:r>
                        </m:e>
                        <m:sub>
                          <m:r>
                            <m:t>i</m:t>
                          </m:r>
                          <m:r>
                            <m:t>t</m:t>
                          </m:r>
                        </m:sub>
                      </m:sSub>
                    </m:num>
                    <m:den>
                      <m:sSub>
                        <m:e>
                          <m:r>
                            <m:t>L</m:t>
                          </m:r>
                        </m:e>
                        <m:sub>
                          <m:r>
                            <m:t>i</m:t>
                          </m:r>
                          <m:r>
                            <m:t>t</m:t>
                          </m:r>
                        </m:sub>
                      </m:sSub>
                    </m:den>
                  </m:f>
                </m:e>
              </m:d>
            </m:e>
            <m:sup>
              <m:r>
                <m:t>2</m:t>
              </m:r>
            </m:sup>
          </m:sSup>
          <m:r>
            <m:rPr>
              <m:sty m:val="p"/>
            </m:rPr>
            <m:t>+</m:t>
          </m:r>
          <m:sSup>
            <m:e>
              <m:d>
                <m:dPr>
                  <m:begChr m:val="["/>
                  <m:endChr m:val="]"/>
                  <m:sepChr m:val=""/>
                  <m:grow/>
                </m:dPr>
                <m:e>
                  <m:r>
                    <m:rPr>
                      <m:sty m:val="p"/>
                    </m:rPr>
                    <m:t>ln</m:t>
                  </m:r>
                  <m:f>
                    <m:fPr>
                      <m:type m:val="bar"/>
                    </m:fPr>
                    <m:num>
                      <m:sSub>
                        <m:e>
                          <m:r>
                            <m:t>H</m:t>
                          </m:r>
                        </m:e>
                        <m:sub>
                          <m:r>
                            <m:t>i</m:t>
                          </m:r>
                          <m:r>
                            <m:rPr>
                              <m:sty m:val="p"/>
                            </m:rPr>
                            <m:t>,</m:t>
                          </m:r>
                          <m:r>
                            <m:t>t</m:t>
                          </m:r>
                          <m:r>
                            <m:rPr>
                              <m:sty m:val="p"/>
                            </m:rPr>
                            <m:t>−</m:t>
                          </m:r>
                          <m:r>
                            <m:t>1</m:t>
                          </m:r>
                        </m:sub>
                      </m:sSub>
                    </m:num>
                    <m:den>
                      <m:sSub>
                        <m:e>
                          <m:r>
                            <m:t>L</m:t>
                          </m:r>
                        </m:e>
                        <m:sub>
                          <m:r>
                            <m:t>i</m:t>
                          </m:r>
                          <m:r>
                            <m:rPr>
                              <m:sty m:val="p"/>
                            </m:rPr>
                            <m:t>,</m:t>
                          </m:r>
                          <m:r>
                            <m:t>t</m:t>
                          </m:r>
                          <m:r>
                            <m:rPr>
                              <m:sty m:val="p"/>
                            </m:rPr>
                            <m:t>−</m:t>
                          </m:r>
                          <m:r>
                            <m:t>1</m:t>
                          </m:r>
                        </m:sub>
                      </m:sSub>
                    </m:den>
                  </m:f>
                </m:e>
              </m:d>
            </m:e>
            <m:sup>
              <m:r>
                <m:t>2</m:t>
              </m:r>
            </m:sup>
          </m:sSup>
          <m:r>
            <m:rPr>
              <m:sty m:val="p"/>
            </m:rPr>
            <m:t>,</m:t>
          </m:r>
          <m:r>
            <m:t>  </m:t>
          </m:r>
          <m:sSub>
            <m:e>
              <m:r>
                <m:t>ψ</m:t>
              </m:r>
            </m:e>
            <m:sub>
              <m:r>
                <m:t>i</m:t>
              </m:r>
              <m:r>
                <m:t>t</m:t>
              </m:r>
            </m:sub>
          </m:sSub>
          <m:r>
            <m:rPr>
              <m:sty m:val="p"/>
            </m:rPr>
            <m:t>=</m:t>
          </m:r>
          <m:sSup>
            <m:e>
              <m:d>
                <m:dPr>
                  <m:begChr m:val="["/>
                  <m:endChr m:val="]"/>
                  <m:sepChr m:val=""/>
                  <m:grow/>
                </m:dPr>
                <m:e>
                  <m:r>
                    <m:rPr>
                      <m:sty m:val="p"/>
                    </m:rPr>
                    <m:t>ln</m:t>
                  </m:r>
                  <m:f>
                    <m:fPr>
                      <m:type m:val="bar"/>
                    </m:fPr>
                    <m:num>
                      <m:r>
                        <m:rPr>
                          <m:sty m:val="p"/>
                        </m:rPr>
                        <m:t>max</m:t>
                      </m:r>
                      <m:d>
                        <m:dPr>
                          <m:begChr m:val="("/>
                          <m:endChr m:val=")"/>
                          <m:sepChr m:val=""/>
                          <m:grow/>
                        </m:dPr>
                        <m:e>
                          <m:sSub>
                            <m:e>
                              <m:r>
                                <m:t>H</m:t>
                              </m:r>
                            </m:e>
                            <m:sub>
                              <m:r>
                                <m:t>i</m:t>
                              </m:r>
                              <m:r>
                                <m:t>t</m:t>
                              </m:r>
                            </m:sub>
                          </m:sSub>
                          <m:r>
                            <m:rPr>
                              <m:sty m:val="p"/>
                            </m:rPr>
                            <m:t>,</m:t>
                          </m:r>
                          <m:sSub>
                            <m:e>
                              <m:r>
                                <m:t>H</m:t>
                              </m:r>
                            </m:e>
                            <m:sub>
                              <m:r>
                                <m:t>i</m:t>
                              </m:r>
                              <m:r>
                                <m:rPr>
                                  <m:sty m:val="p"/>
                                </m:rPr>
                                <m:t>,</m:t>
                              </m:r>
                              <m:r>
                                <m:t>t</m:t>
                              </m:r>
                              <m:r>
                                <m:rPr>
                                  <m:sty m:val="p"/>
                                </m:rPr>
                                <m:t>−</m:t>
                              </m:r>
                              <m:r>
                                <m:t>1</m:t>
                              </m:r>
                            </m:sub>
                          </m:sSub>
                        </m:e>
                      </m:d>
                    </m:num>
                    <m:den>
                      <m:r>
                        <m:rPr>
                          <m:sty m:val="p"/>
                        </m:rPr>
                        <m:t>min</m:t>
                      </m:r>
                      <m:d>
                        <m:dPr>
                          <m:begChr m:val="("/>
                          <m:endChr m:val=")"/>
                          <m:sepChr m:val=""/>
                          <m:grow/>
                        </m:dPr>
                        <m:e>
                          <m:sSub>
                            <m:e>
                              <m:r>
                                <m:t>L</m:t>
                              </m:r>
                            </m:e>
                            <m:sub>
                              <m:r>
                                <m:t>i</m:t>
                              </m:r>
                              <m:r>
                                <m:t>t</m:t>
                              </m:r>
                            </m:sub>
                          </m:sSub>
                          <m:r>
                            <m:rPr>
                              <m:sty m:val="p"/>
                            </m:rPr>
                            <m:t>,</m:t>
                          </m:r>
                          <m:sSub>
                            <m:e>
                              <m:r>
                                <m:t>L</m:t>
                              </m:r>
                            </m:e>
                            <m:sub>
                              <m:r>
                                <m:t>i</m:t>
                              </m:r>
                              <m:r>
                                <m:rPr>
                                  <m:sty m:val="p"/>
                                </m:rPr>
                                <m:t>,</m:t>
                              </m:r>
                              <m:r>
                                <m:t>t</m:t>
                              </m:r>
                              <m:r>
                                <m:rPr>
                                  <m:sty m:val="p"/>
                                </m:rPr>
                                <m:t>−</m:t>
                              </m:r>
                              <m:r>
                                <m:t>1</m:t>
                              </m:r>
                            </m:sub>
                          </m:sSub>
                        </m:e>
                      </m:d>
                    </m:den>
                  </m:f>
                </m:e>
              </m:d>
            </m:e>
            <m:sup>
              <m:r>
                <m:t>2</m:t>
              </m:r>
            </m:sup>
          </m:sSup>
          <m:r>
            <m:rPr>
              <m:sty m:val="p"/>
            </m:rPr>
            <m:t>,</m:t>
          </m:r>
          <m:r>
            <m:t>  </m:t>
          </m:r>
          <m:d>
            <m:dPr>
              <m:begChr m:val="("/>
              <m:endChr m:val=")"/>
              <m:sepChr m:val=""/>
              <m:grow/>
            </m:dPr>
            <m:e>
              <m:r>
                <m:t>2</m:t>
              </m:r>
            </m:e>
          </m:d>
        </m:oMath>
      </m:oMathPara>
    </w:p>
    <w:p>
      <w:pPr>
        <w:pStyle w:val="FirstParagraph"/>
      </w:pPr>
      <m:oMathPara>
        <m:oMathParaPr>
          <m:jc m:val="center"/>
        </m:oMathParaPr>
        <m:oMath>
          <m:sSub>
            <m:e>
              <m:r>
                <m:t>η</m:t>
              </m:r>
            </m:e>
            <m:sub>
              <m:r>
                <m:t>i</m:t>
              </m:r>
              <m:r>
                <m:t>t</m:t>
              </m:r>
            </m:sub>
          </m:sSub>
          <m:r>
            <m:rPr>
              <m:sty m:val="p"/>
            </m:rPr>
            <m:t>=</m:t>
          </m:r>
          <m:f>
            <m:fPr>
              <m:type m:val="bar"/>
            </m:fPr>
            <m:num>
              <m:rad>
                <m:radPr>
                  <m:degHide m:val="on"/>
                </m:radPr>
                <m:deg/>
                <m:e>
                  <m:r>
                    <m:t>2</m:t>
                  </m:r>
                  <m:sSub>
                    <m:e>
                      <m:r>
                        <m:t>ϕ</m:t>
                      </m:r>
                    </m:e>
                    <m:sub>
                      <m:r>
                        <m:t>i</m:t>
                      </m:r>
                      <m:r>
                        <m:t>t</m:t>
                      </m:r>
                    </m:sub>
                  </m:sSub>
                </m:e>
              </m:rad>
              <m:r>
                <m:rPr>
                  <m:sty m:val="p"/>
                </m:rPr>
                <m:t>−</m:t>
              </m:r>
              <m:rad>
                <m:radPr>
                  <m:degHide m:val="on"/>
                </m:radPr>
                <m:deg/>
                <m:e>
                  <m:sSub>
                    <m:e>
                      <m:r>
                        <m:t>ϕ</m:t>
                      </m:r>
                    </m:e>
                    <m:sub>
                      <m:r>
                        <m:t>i</m:t>
                      </m:r>
                      <m:r>
                        <m:t>t</m:t>
                      </m:r>
                    </m:sub>
                  </m:sSub>
                </m:e>
              </m:rad>
            </m:num>
            <m:den>
              <m:r>
                <m:t>3</m:t>
              </m:r>
              <m:r>
                <m:rPr>
                  <m:sty m:val="p"/>
                </m:rPr>
                <m:t>−</m:t>
              </m:r>
              <m:r>
                <m:t>2</m:t>
              </m:r>
              <m:rad>
                <m:radPr>
                  <m:degHide m:val="on"/>
                </m:radPr>
                <m:deg/>
                <m:e>
                  <m:r>
                    <m:t>2</m:t>
                  </m:r>
                </m:e>
              </m:rad>
            </m:den>
          </m:f>
          <m:r>
            <m:rPr>
              <m:sty m:val="p"/>
            </m:rPr>
            <m:t>−</m:t>
          </m:r>
          <m:rad>
            <m:radPr>
              <m:degHide m:val="on"/>
            </m:radPr>
            <m:deg/>
            <m:e>
              <m:f>
                <m:fPr>
                  <m:type m:val="bar"/>
                </m:fPr>
                <m:num>
                  <m:sSub>
                    <m:e>
                      <m:r>
                        <m:t>ψ</m:t>
                      </m:r>
                    </m:e>
                    <m:sub>
                      <m:r>
                        <m:t>i</m:t>
                      </m:r>
                      <m:r>
                        <m:t>t</m:t>
                      </m:r>
                    </m:sub>
                  </m:sSub>
                </m:num>
                <m:den>
                  <m:r>
                    <m:t>3</m:t>
                  </m:r>
                  <m:r>
                    <m:rPr>
                      <m:sty m:val="p"/>
                    </m:rPr>
                    <m:t>−</m:t>
                  </m:r>
                  <m:r>
                    <m:t>2</m:t>
                  </m:r>
                  <m:rad>
                    <m:radPr>
                      <m:degHide m:val="on"/>
                    </m:radPr>
                    <m:deg/>
                    <m:e>
                      <m:r>
                        <m:t>2</m:t>
                      </m:r>
                    </m:e>
                  </m:rad>
                </m:den>
              </m:f>
            </m:e>
          </m:rad>
          <m:r>
            <m:rPr>
              <m:sty m:val="p"/>
            </m:rPr>
            <m:t>,</m:t>
          </m:r>
          <m:r>
            <m:t>  </m:t>
          </m:r>
          <m:sSub>
            <m:e>
              <m:r>
                <m:t>S</m:t>
              </m:r>
            </m:e>
            <m:sub>
              <m:r>
                <m:t>i</m:t>
              </m:r>
              <m:r>
                <m:t>t</m:t>
              </m:r>
            </m:sub>
          </m:sSub>
          <m:r>
            <m:rPr>
              <m:sty m:val="p"/>
            </m:rPr>
            <m:t>=</m:t>
          </m:r>
          <m:r>
            <m:rPr>
              <m:sty m:val="p"/>
            </m:rPr>
            <m:t>max</m:t>
          </m:r>
          <m:d>
            <m:dPr>
              <m:begChr m:val="{"/>
              <m:endChr m:val="}"/>
              <m:sepChr m:val=""/>
              <m:grow/>
            </m:dPr>
            <m:e>
              <m:r>
                <m:t>0</m:t>
              </m:r>
              <m:r>
                <m:rPr>
                  <m:sty m:val="p"/>
                </m:rPr>
                <m:t>,</m:t>
              </m:r>
              <m:r>
                <m:t> </m:t>
              </m:r>
              <m:f>
                <m:fPr>
                  <m:type m:val="bar"/>
                </m:fPr>
                <m:num>
                  <m:r>
                    <m:t>2</m:t>
                  </m:r>
                  <m:d>
                    <m:dPr>
                      <m:begChr m:val="("/>
                      <m:endChr m:val=")"/>
                      <m:sepChr m:val=""/>
                      <m:grow/>
                    </m:dPr>
                    <m:e>
                      <m:sSup>
                        <m:e>
                          <m:r>
                            <m:t>e</m:t>
                          </m:r>
                        </m:e>
                        <m:sup>
                          <m:sSub>
                            <m:e>
                              <m:r>
                                <m:t>η</m:t>
                              </m:r>
                            </m:e>
                            <m:sub>
                              <m:r>
                                <m:t>i</m:t>
                              </m:r>
                              <m:r>
                                <m:t>t</m:t>
                              </m:r>
                            </m:sub>
                          </m:sSub>
                        </m:sup>
                      </m:sSup>
                      <m:r>
                        <m:rPr>
                          <m:sty m:val="p"/>
                        </m:rPr>
                        <m:t>−</m:t>
                      </m:r>
                      <m:r>
                        <m:t>1</m:t>
                      </m:r>
                    </m:e>
                  </m:d>
                </m:num>
                <m:den>
                  <m:r>
                    <m:t>1</m:t>
                  </m:r>
                  <m:r>
                    <m:rPr>
                      <m:sty m:val="p"/>
                    </m:rPr>
                    <m:t>+</m:t>
                  </m:r>
                  <m:sSup>
                    <m:e>
                      <m:r>
                        <m:t>e</m:t>
                      </m:r>
                    </m:e>
                    <m:sup>
                      <m:sSub>
                        <m:e>
                          <m:r>
                            <m:t>η</m:t>
                          </m:r>
                        </m:e>
                        <m:sub>
                          <m:r>
                            <m:t>i</m:t>
                          </m:r>
                          <m:r>
                            <m:t>t</m:t>
                          </m:r>
                        </m:sub>
                      </m:sSub>
                    </m:sup>
                  </m:sSup>
                </m:den>
              </m:f>
            </m:e>
          </m:d>
          <m:r>
            <m:rPr>
              <m:sty m:val="p"/>
            </m:rPr>
            <m:t>,</m:t>
          </m:r>
          <m:r>
            <m:t>  </m:t>
          </m:r>
          <m:d>
            <m:dPr>
              <m:begChr m:val="("/>
              <m:endChr m:val=")"/>
              <m:sepChr m:val=""/>
              <m:grow/>
            </m:dPr>
            <m:e>
              <m:r>
                <m:t>3</m:t>
              </m:r>
            </m:e>
          </m:d>
        </m:oMath>
      </m:oMathPara>
    </w:p>
    <w:p>
      <w:pPr>
        <w:pStyle w:val="FirstParagraph"/>
      </w:pPr>
      <w:r>
        <w:t xml:space="preserve">where</w:t>
      </w:r>
      <w:r>
        <w:t xml:space="preserve"> </w:t>
      </w:r>
      <m:oMath>
        <m:sSub>
          <m:e>
            <m:r>
              <m:t>ϕ</m:t>
            </m:r>
          </m:e>
          <m:sub>
            <m:r>
              <m:t>i</m:t>
            </m:r>
            <m:r>
              <m:t>t</m:t>
            </m:r>
          </m:sub>
        </m:sSub>
      </m:oMath>
      <w:r>
        <w:t xml:space="preserve"> </w:t>
      </w:r>
      <w:r>
        <w:t xml:space="preserve">sums the squared log high-low ranges of days</w:t>
      </w:r>
      <w:r>
        <w:t xml:space="preserve"> </w:t>
      </w:r>
      <m:oMath>
        <m:r>
          <m:t>t</m:t>
        </m:r>
        <m:r>
          <m:rPr>
            <m:sty m:val="p"/>
          </m:rPr>
          <m:t>−</m:t>
        </m:r>
        <m:r>
          <m:t>1</m:t>
        </m:r>
      </m:oMath>
      <w:r>
        <w:t xml:space="preserve"> </w:t>
      </w:r>
      <w:r>
        <w:t xml:space="preserve">and</w:t>
      </w:r>
      <w:r>
        <w:t xml:space="preserve"> </w:t>
      </w:r>
      <m:oMath>
        <m:r>
          <m:t>t</m:t>
        </m:r>
      </m:oMath>
      <w:r>
        <w:t xml:space="preserve">,</w:t>
      </w:r>
      <w:r>
        <w:t xml:space="preserve"> </w:t>
      </w:r>
      <m:oMath>
        <m:sSub>
          <m:e>
            <m:r>
              <m:t>ψ</m:t>
            </m:r>
          </m:e>
          <m:sub>
            <m:r>
              <m:t>i</m:t>
            </m:r>
            <m:r>
              <m:t>t</m:t>
            </m:r>
          </m:sub>
        </m:sSub>
      </m:oMath>
      <w:r>
        <w:t xml:space="preserve"> </w:t>
      </w:r>
      <w:r>
        <w:t xml:space="preserve">is the squared log range over the two days combined, and</w:t>
      </w:r>
      <w:r>
        <w:t xml:space="preserve"> </w:t>
      </w:r>
      <m:oMath>
        <m:sSub>
          <m:e>
            <m:r>
              <m:t>S</m:t>
            </m:r>
          </m:e>
          <m:sub>
            <m:r>
              <m:t>i</m:t>
            </m:r>
            <m:r>
              <m:t>t</m:t>
            </m:r>
          </m:sub>
        </m:sSub>
      </m:oMath>
      <w:r>
        <w:t xml:space="preserve"> </w:t>
      </w:r>
      <w:r>
        <w:t xml:space="preserve">is the resulting spread estimate, set to zero when negative. We winsorize</w:t>
      </w:r>
      <w:r>
        <w:t xml:space="preserve"> </w:t>
      </w:r>
      <m:oMath>
        <m:sSub>
          <m:e>
            <m:r>
              <m:rPr>
                <m:sty m:val="p"/>
              </m:rPr>
              <m:t>I</m:t>
            </m:r>
            <m:r>
              <m:rPr>
                <m:sty m:val="p"/>
              </m:rPr>
              <m:t>L</m:t>
            </m:r>
            <m:r>
              <m:rPr>
                <m:sty m:val="p"/>
              </m:rPr>
              <m:t>L</m:t>
            </m:r>
            <m:r>
              <m:rPr>
                <m:sty m:val="p"/>
              </m:rPr>
              <m:t>I</m:t>
            </m:r>
            <m:r>
              <m:rPr>
                <m:sty m:val="p"/>
              </m:rPr>
              <m:t>Q</m:t>
            </m:r>
          </m:e>
          <m:sub>
            <m:r>
              <m:t>i</m:t>
            </m:r>
            <m:r>
              <m:t>t</m:t>
            </m:r>
          </m:sub>
        </m:sSub>
      </m:oMath>
      <w:r>
        <w:t xml:space="preserve"> </w:t>
      </w:r>
      <w:r>
        <w:t xml:space="preserve">and</w:t>
      </w:r>
      <w:r>
        <w:t xml:space="preserve"> </w:t>
      </w:r>
      <m:oMath>
        <m:sSub>
          <m:e>
            <m:r>
              <m:t>S</m:t>
            </m:r>
          </m:e>
          <m:sub>
            <m:r>
              <m:t>i</m:t>
            </m:r>
            <m:r>
              <m:t>t</m:t>
            </m:r>
          </m:sub>
        </m:sSub>
      </m:oMath>
      <w:r>
        <w:t xml:space="preserve"> </w:t>
      </w:r>
      <w:r>
        <w:t xml:space="preserve">at the 1st and 99th percentiles of each day and keep stock-weeks with at least three trading days and a positive Amihud ratio. For stock</w:t>
      </w:r>
      <w:r>
        <w:t xml:space="preserve"> </w:t>
      </w:r>
      <m:oMath>
        <m:r>
          <m:t>i</m:t>
        </m:r>
      </m:oMath>
      <w:r>
        <w:t xml:space="preserve"> </w:t>
      </w:r>
      <w:r>
        <w:t xml:space="preserve">in week</w:t>
      </w:r>
      <w:r>
        <w:t xml:space="preserve"> </w:t>
      </w:r>
      <m:oMath>
        <m:r>
          <m:t>w</m:t>
        </m:r>
      </m:oMath>
      <w:r>
        <w:t xml:space="preserve"> </w:t>
      </w:r>
      <w:r>
        <w:t xml:space="preserve">with</w:t>
      </w:r>
      <w:r>
        <w:t xml:space="preserve"> </w:t>
      </w:r>
      <m:oMath>
        <m:sSub>
          <m:e>
            <m:r>
              <m:t>N</m:t>
            </m:r>
          </m:e>
          <m:sub>
            <m:r>
              <m:t>i</m:t>
            </m:r>
            <m:r>
              <m:t>w</m:t>
            </m:r>
          </m:sub>
        </m:sSub>
      </m:oMath>
      <w:r>
        <w:t xml:space="preserve"> </w:t>
      </w:r>
      <w:r>
        <w:t xml:space="preserve">trading days,</w:t>
      </w:r>
    </w:p>
    <w:p>
      <w:pPr>
        <w:pStyle w:val="BodyText"/>
      </w:pPr>
      <m:oMathPara>
        <m:oMathParaPr>
          <m:jc m:val="center"/>
        </m:oMathParaPr>
        <m:oMath>
          <m:m>
            <m:mPr>
              <m:baseJc m:val="center"/>
              <m:plcHide m:val="on"/>
              <m:mcs>
                <m:mc>
                  <m:mcPr>
                    <m:mcJc m:val="right"/>
                    <m:count m:val="1"/>
                  </m:mcPr>
                </m:mc>
                <m:mc>
                  <m:mcPr>
                    <m:mcJc m:val="left"/>
                    <m:count m:val="1"/>
                  </m:mcPr>
                </m:mc>
              </m:mcs>
            </m:mPr>
            <m:mr>
              <m:e>
                <m:sSub>
                  <m:e>
                    <m:r>
                      <m:rPr>
                        <m:sty m:val="p"/>
                      </m:rPr>
                      <m:t>A</m:t>
                    </m:r>
                    <m:r>
                      <m:rPr>
                        <m:sty m:val="p"/>
                      </m:rPr>
                      <m:t>m</m:t>
                    </m:r>
                    <m:r>
                      <m:rPr>
                        <m:sty m:val="p"/>
                      </m:rPr>
                      <m:t>i</m:t>
                    </m:r>
                    <m:r>
                      <m:rPr>
                        <m:sty m:val="p"/>
                      </m:rPr>
                      <m:t>h</m:t>
                    </m:r>
                    <m:r>
                      <m:rPr>
                        <m:sty m:val="p"/>
                      </m:rPr>
                      <m:t>u</m:t>
                    </m:r>
                    <m:r>
                      <m:rPr>
                        <m:sty m:val="p"/>
                      </m:rPr>
                      <m:t>d</m:t>
                    </m:r>
                  </m:e>
                  <m:sub>
                    <m:r>
                      <m:t>i</m:t>
                    </m:r>
                    <m:r>
                      <m:t>w</m:t>
                    </m:r>
                  </m:sub>
                </m:sSub>
              </m:e>
              <m:e>
                <m:r>
                  <m:rPr>
                    <m:sty m:val="p"/>
                  </m:rPr>
                  <m:t>=</m:t>
                </m:r>
                <m:r>
                  <m:rPr>
                    <m:sty m:val="p"/>
                  </m:rPr>
                  <m:t>ln</m:t>
                </m:r>
                <m:d>
                  <m:dPr>
                    <m:begChr m:val="("/>
                    <m:endChr m:val=")"/>
                    <m:sepChr m:val=""/>
                    <m:grow/>
                  </m:dPr>
                  <m:e>
                    <m:f>
                      <m:fPr>
                        <m:type m:val="bar"/>
                      </m:fPr>
                      <m:num>
                        <m:r>
                          <m:t>1</m:t>
                        </m:r>
                      </m:num>
                      <m:den>
                        <m:sSub>
                          <m:e>
                            <m:r>
                              <m:t>N</m:t>
                            </m:r>
                          </m:e>
                          <m:sub>
                            <m:r>
                              <m:t>i</m:t>
                            </m:r>
                            <m:r>
                              <m:t>w</m:t>
                            </m:r>
                          </m:sub>
                        </m:sSub>
                      </m:den>
                    </m:f>
                    <m:nary>
                      <m:naryPr>
                        <m:chr m:val="∑"/>
                        <m:limLoc m:val="undOvr"/>
                        <m:subHide m:val="off"/>
                        <m:supHide m:val="on"/>
                      </m:naryPr>
                      <m:sub>
                        <m:r>
                          <m:t>t</m:t>
                        </m:r>
                        <m:r>
                          <m:rPr>
                            <m:sty m:val="p"/>
                          </m:rPr>
                          <m:t>∈</m:t>
                        </m:r>
                        <m:r>
                          <m:t>w</m:t>
                        </m:r>
                      </m:sub>
                      <m:sup>
                        <m:r>
                          <m:t>​</m:t>
                        </m:r>
                      </m:sup>
                      <m:e>
                        <m:sSub>
                          <m:e>
                            <m:r>
                              <m:rPr>
                                <m:sty m:val="p"/>
                              </m:rPr>
                              <m:t>I</m:t>
                            </m:r>
                            <m:r>
                              <m:rPr>
                                <m:sty m:val="p"/>
                              </m:rPr>
                              <m:t>L</m:t>
                            </m:r>
                            <m:r>
                              <m:rPr>
                                <m:sty m:val="p"/>
                              </m:rPr>
                              <m:t>L</m:t>
                            </m:r>
                            <m:r>
                              <m:rPr>
                                <m:sty m:val="p"/>
                              </m:rPr>
                              <m:t>I</m:t>
                            </m:r>
                            <m:r>
                              <m:rPr>
                                <m:sty m:val="p"/>
                              </m:rPr>
                              <m:t>Q</m:t>
                            </m:r>
                          </m:e>
                          <m:sub>
                            <m:r>
                              <m:t>i</m:t>
                            </m:r>
                            <m:r>
                              <m:t>t</m:t>
                            </m:r>
                          </m:sub>
                        </m:sSub>
                      </m:e>
                    </m:nary>
                  </m:e>
                </m:d>
                <m:r>
                  <m:rPr>
                    <m:sty m:val="p"/>
                  </m:rPr>
                  <m:t>,</m:t>
                </m:r>
              </m:e>
            </m:mr>
            <m:mr>
              <m:e>
                <m:sSub>
                  <m:e>
                    <m:r>
                      <m:rPr>
                        <m:sty m:val="p"/>
                      </m:rPr>
                      <m:t>T</m:t>
                    </m:r>
                    <m:r>
                      <m:rPr>
                        <m:sty m:val="p"/>
                      </m:rPr>
                      <m:t>V</m:t>
                    </m:r>
                  </m:e>
                  <m:sub>
                    <m:r>
                      <m:t>i</m:t>
                    </m:r>
                    <m:r>
                      <m:t>w</m:t>
                    </m:r>
                  </m:sub>
                </m:sSub>
              </m:e>
              <m:e>
                <m:r>
                  <m:rPr>
                    <m:sty m:val="p"/>
                  </m:rPr>
                  <m:t>=</m:t>
                </m:r>
                <m:r>
                  <m:rPr>
                    <m:sty m:val="p"/>
                  </m:rPr>
                  <m:t>ln</m:t>
                </m:r>
                <m:d>
                  <m:dPr>
                    <m:begChr m:val="("/>
                    <m:endChr m:val=")"/>
                    <m:sepChr m:val=""/>
                    <m:grow/>
                  </m:dPr>
                  <m:e>
                    <m:nary>
                      <m:naryPr>
                        <m:chr m:val="∑"/>
                        <m:limLoc m:val="undOvr"/>
                        <m:subHide m:val="off"/>
                        <m:supHide m:val="on"/>
                      </m:naryPr>
                      <m:sub>
                        <m:r>
                          <m:t>t</m:t>
                        </m:r>
                        <m:r>
                          <m:rPr>
                            <m:sty m:val="p"/>
                          </m:rPr>
                          <m:t>∈</m:t>
                        </m:r>
                        <m:r>
                          <m:t>w</m:t>
                        </m:r>
                      </m:sub>
                      <m:sup>
                        <m:r>
                          <m:t>​</m:t>
                        </m:r>
                      </m:sup>
                      <m:e>
                        <m:sSub>
                          <m:e>
                            <m:r>
                              <m:rPr>
                                <m:sty m:val="p"/>
                              </m:rPr>
                              <m:t>V</m:t>
                            </m:r>
                            <m:r>
                              <m:rPr>
                                <m:sty m:val="p"/>
                              </m:rPr>
                              <m:t>A</m:t>
                            </m:r>
                            <m:r>
                              <m:rPr>
                                <m:sty m:val="p"/>
                              </m:rPr>
                              <m:t>L</m:t>
                            </m:r>
                          </m:e>
                          <m:sub>
                            <m:r>
                              <m:t>i</m:t>
                            </m:r>
                            <m:r>
                              <m:t>t</m:t>
                            </m:r>
                          </m:sub>
                        </m:sSub>
                      </m:e>
                    </m:nary>
                    <m:r>
                      <m:rPr>
                        <m:sty m:val="p"/>
                      </m:rPr>
                      <m:t>+</m:t>
                    </m:r>
                    <m:sSup>
                      <m:e>
                        <m:r>
                          <m:t>10</m:t>
                        </m:r>
                      </m:e>
                      <m:sup>
                        <m:r>
                          <m:rPr>
                            <m:sty m:val="p"/>
                          </m:rPr>
                          <m:t>−</m:t>
                        </m:r>
                        <m:r>
                          <m:t>6</m:t>
                        </m:r>
                      </m:sup>
                    </m:sSup>
                  </m:e>
                </m:d>
                <m:r>
                  <m:rPr>
                    <m:sty m:val="p"/>
                  </m:rPr>
                  <m:t>,</m:t>
                </m:r>
                <m:r>
                  <m:t>  </m:t>
                </m:r>
                <m:d>
                  <m:dPr>
                    <m:begChr m:val="("/>
                    <m:endChr m:val=")"/>
                    <m:sepChr m:val=""/>
                    <m:grow/>
                  </m:dPr>
                  <m:e>
                    <m:r>
                      <m:t>4</m:t>
                    </m:r>
                  </m:e>
                </m:d>
              </m:e>
            </m:mr>
            <m:mr>
              <m:e>
                <m:sSub>
                  <m:e>
                    <m:r>
                      <m:rPr>
                        <m:sty m:val="p"/>
                      </m:rPr>
                      <m:t>V</m:t>
                    </m:r>
                    <m:r>
                      <m:rPr>
                        <m:sty m:val="p"/>
                      </m:rPr>
                      <m:t>o</m:t>
                    </m:r>
                    <m:r>
                      <m:rPr>
                        <m:sty m:val="p"/>
                      </m:rPr>
                      <m:t>l</m:t>
                    </m:r>
                  </m:e>
                  <m:sub>
                    <m:r>
                      <m:t>i</m:t>
                    </m:r>
                    <m:r>
                      <m:t>w</m:t>
                    </m:r>
                  </m:sub>
                </m:sSub>
              </m:e>
              <m:e>
                <m:r>
                  <m:rPr>
                    <m:sty m:val="p"/>
                  </m:rPr>
                  <m:t>=</m:t>
                </m:r>
                <m:r>
                  <m:rPr>
                    <m:sty m:val="p"/>
                  </m:rPr>
                  <m:t>ln</m:t>
                </m:r>
                <m:d>
                  <m:dPr>
                    <m:begChr m:val="("/>
                    <m:endChr m:val=")"/>
                    <m:sepChr m:val=""/>
                    <m:grow/>
                  </m:dPr>
                  <m:e>
                    <m:f>
                      <m:fPr>
                        <m:type m:val="bar"/>
                      </m:fPr>
                      <m:num>
                        <m:r>
                          <m:t>1</m:t>
                        </m:r>
                      </m:num>
                      <m:den>
                        <m:sSub>
                          <m:e>
                            <m:r>
                              <m:t>N</m:t>
                            </m:r>
                          </m:e>
                          <m:sub>
                            <m:r>
                              <m:t>i</m:t>
                            </m:r>
                            <m:r>
                              <m:t>w</m:t>
                            </m:r>
                          </m:sub>
                        </m:sSub>
                      </m:den>
                    </m:f>
                    <m:nary>
                      <m:naryPr>
                        <m:chr m:val="∑"/>
                        <m:limLoc m:val="undOvr"/>
                        <m:subHide m:val="off"/>
                        <m:supHide m:val="on"/>
                      </m:naryPr>
                      <m:sub>
                        <m:r>
                          <m:t>t</m:t>
                        </m:r>
                        <m:r>
                          <m:rPr>
                            <m:sty m:val="p"/>
                          </m:rPr>
                          <m:t>∈</m:t>
                        </m:r>
                        <m:r>
                          <m:t>w</m:t>
                        </m:r>
                      </m:sub>
                      <m:sup>
                        <m:r>
                          <m:t>​</m:t>
                        </m:r>
                      </m:sup>
                      <m:e>
                        <m:d>
                          <m:dPr>
                            <m:begChr m:val="|"/>
                            <m:endChr m:val="|"/>
                            <m:sepChr m:val=""/>
                            <m:grow/>
                          </m:dPr>
                          <m:e>
                            <m:sSub>
                              <m:e>
                                <m:r>
                                  <m:t>R</m:t>
                                </m:r>
                              </m:e>
                              <m:sub>
                                <m:r>
                                  <m:t>i</m:t>
                                </m:r>
                                <m:r>
                                  <m:t>t</m:t>
                                </m:r>
                              </m:sub>
                            </m:sSub>
                          </m:e>
                        </m:d>
                      </m:e>
                    </m:nary>
                  </m:e>
                </m:d>
                <m:r>
                  <m:rPr>
                    <m:sty m:val="p"/>
                  </m:rPr>
                  <m:t>,</m:t>
                </m:r>
              </m:e>
            </m:mr>
          </m:m>
        </m:oMath>
      </m:oMathPara>
    </w:p>
    <w:p>
      <w:pPr>
        <w:pStyle w:val="FirstParagraph"/>
      </w:pPr>
      <w:r>
        <w:t xml:space="preserve">and the weekly spread is the mean of</w:t>
      </w:r>
      <w:r>
        <w:t xml:space="preserve"> </w:t>
      </w:r>
      <m:oMath>
        <m:sSub>
          <m:e>
            <m:r>
              <m:t>S</m:t>
            </m:r>
          </m:e>
          <m:sub>
            <m:r>
              <m:t>i</m:t>
            </m:r>
            <m:r>
              <m:t>t</m:t>
            </m:r>
          </m:sub>
        </m:sSub>
      </m:oMath>
      <w:r>
        <w:t xml:space="preserve"> </w:t>
      </w:r>
      <w:r>
        <w:t xml:space="preserve">within the week.</w:t>
      </w:r>
    </w:p>
    <w:p>
      <w:pPr>
        <w:pStyle w:val="BodyText"/>
      </w:pPr>
      <w:r>
        <w:t xml:space="preserve">For prices, the abnormal return of stock</w:t>
      </w:r>
      <w:r>
        <w:t xml:space="preserve"> </w:t>
      </w:r>
      <m:oMath>
        <m:r>
          <m:t>i</m:t>
        </m:r>
      </m:oMath>
      <w:r>
        <w:t xml:space="preserve"> </w:t>
      </w:r>
      <w:r>
        <w:t xml:space="preserve">on day</w:t>
      </w:r>
      <w:r>
        <w:t xml:space="preserve"> </w:t>
      </w:r>
      <m:oMath>
        <m:r>
          <m:t>t</m:t>
        </m:r>
      </m:oMath>
      <w:r>
        <w:t xml:space="preserve"> </w:t>
      </w:r>
      <w:r>
        <w:t xml:space="preserve">against benchmark return</w:t>
      </w:r>
      <w:r>
        <w:t xml:space="preserve"> </w:t>
      </w:r>
      <m:oMath>
        <m:sSub>
          <m:e>
            <m:r>
              <m:t>R</m:t>
            </m:r>
          </m:e>
          <m:sub>
            <m:r>
              <m:t>b</m:t>
            </m:r>
            <m:r>
              <m:t>t</m:t>
            </m:r>
          </m:sub>
        </m:sSub>
      </m:oMath>
      <w:r>
        <w:t xml:space="preserve"> </w:t>
      </w:r>
      <w:r>
        <w:t xml:space="preserve">is</w:t>
      </w:r>
    </w:p>
    <w:p>
      <w:pPr>
        <w:pStyle w:val="BodyText"/>
      </w:pPr>
      <m:oMathPara>
        <m:oMathParaPr>
          <m:jc m:val="center"/>
        </m:oMathParaPr>
        <m:oMath>
          <m:sSub>
            <m:e>
              <m:r>
                <m:rPr>
                  <m:sty m:val="p"/>
                </m:rPr>
                <m:t>A</m:t>
              </m:r>
              <m:r>
                <m:rPr>
                  <m:sty m:val="p"/>
                </m:rPr>
                <m:t>R</m:t>
              </m:r>
            </m:e>
            <m:sub>
              <m:r>
                <m:t>i</m:t>
              </m:r>
              <m:r>
                <m:t>t</m:t>
              </m:r>
            </m:sub>
          </m:sSub>
          <m:r>
            <m:rPr>
              <m:sty m:val="p"/>
            </m:rPr>
            <m:t>=</m:t>
          </m:r>
          <m:sSub>
            <m:e>
              <m:r>
                <m:t>R</m:t>
              </m:r>
            </m:e>
            <m:sub>
              <m:r>
                <m:t>i</m:t>
              </m:r>
              <m:r>
                <m:t>t</m:t>
              </m:r>
            </m:sub>
          </m:sSub>
          <m:r>
            <m:rPr>
              <m:sty m:val="p"/>
            </m:rPr>
            <m:t>−</m:t>
          </m:r>
          <m:sSub>
            <m:e>
              <m:r>
                <m:t>R</m:t>
              </m:r>
            </m:e>
            <m:sub>
              <m:r>
                <m:t>b</m:t>
              </m:r>
              <m:r>
                <m:t>t</m:t>
              </m:r>
            </m:sub>
          </m:sSub>
          <m:r>
            <m:t> </m:t>
          </m:r>
          <m:r>
            <m:rPr>
              <m:nor/>
              <m:sty m:val="p"/>
            </m:rPr>
            <m:t>or, in the market model,</m:t>
          </m:r>
          <m:r>
            <m:t> </m:t>
          </m:r>
          <m:sSub>
            <m:e>
              <m:r>
                <m:rPr>
                  <m:sty m:val="p"/>
                </m:rPr>
                <m:t>A</m:t>
              </m:r>
              <m:r>
                <m:rPr>
                  <m:sty m:val="p"/>
                </m:rPr>
                <m:t>R</m:t>
              </m:r>
            </m:e>
            <m:sub>
              <m:r>
                <m:t>i</m:t>
              </m:r>
              <m:r>
                <m:t>t</m:t>
              </m:r>
            </m:sub>
          </m:sSub>
          <m:r>
            <m:rPr>
              <m:sty m:val="p"/>
            </m:rPr>
            <m:t>=</m:t>
          </m:r>
          <m:sSub>
            <m:e>
              <m:r>
                <m:t>R</m:t>
              </m:r>
            </m:e>
            <m:sub>
              <m:r>
                <m:t>i</m:t>
              </m:r>
              <m:r>
                <m:t>t</m:t>
              </m:r>
            </m:sub>
          </m:sSub>
          <m:r>
            <m:rPr>
              <m:sty m:val="p"/>
            </m:rPr>
            <m:t>−</m:t>
          </m:r>
          <m:d>
            <m:dPr>
              <m:begChr m:val="("/>
              <m:endChr m:val=")"/>
              <m:sepChr m:val=""/>
              <m:grow/>
            </m:dPr>
            <m:e>
              <m:sSub>
                <m:e>
                  <m:acc>
                    <m:accPr>
                      <m:chr m:val="̂"/>
                    </m:accPr>
                    <m:e>
                      <m:r>
                        <m:t>a</m:t>
                      </m:r>
                    </m:e>
                  </m:acc>
                </m:e>
                <m:sub>
                  <m:r>
                    <m:t>i</m:t>
                  </m:r>
                </m:sub>
              </m:sSub>
              <m:r>
                <m:rPr>
                  <m:sty m:val="p"/>
                </m:rPr>
                <m:t>+</m:t>
              </m:r>
              <m:sSub>
                <m:e>
                  <m:acc>
                    <m:accPr>
                      <m:chr m:val="̂"/>
                    </m:accPr>
                    <m:e>
                      <m:r>
                        <m:t>b</m:t>
                      </m:r>
                    </m:e>
                  </m:acc>
                </m:e>
                <m:sub>
                  <m:r>
                    <m:t>i</m:t>
                  </m:r>
                </m:sub>
              </m:sSub>
              <m:sSub>
                <m:e>
                  <m:r>
                    <m:t>R</m:t>
                  </m:r>
                </m:e>
                <m:sub>
                  <m:r>
                    <m:t>b</m:t>
                  </m:r>
                  <m:r>
                    <m:t>t</m:t>
                  </m:r>
                </m:sub>
              </m:sSub>
            </m:e>
          </m:d>
          <m:r>
            <m:rPr>
              <m:sty m:val="p"/>
            </m:rPr>
            <m:t>.</m:t>
          </m:r>
          <m:r>
            <m:t>  </m:t>
          </m:r>
          <m:d>
            <m:dPr>
              <m:begChr m:val="("/>
              <m:endChr m:val=")"/>
              <m:sepChr m:val=""/>
              <m:grow/>
            </m:dPr>
            <m:e>
              <m:r>
                <m:t>5</m:t>
              </m:r>
            </m:e>
          </m:d>
        </m:oMath>
      </m:oMathPara>
    </w:p>
    <w:p>
      <w:pPr>
        <w:pStyle w:val="FirstParagraph"/>
      </w:pPr>
      <w:r>
        <w:t xml:space="preserve">The four benchmarks are the equal-weighted mean of the 328 never-named stocks, the matched controls described below weighted by their matching weights, the equal-weighted mean of the 110 never-named stocks in the top tercile of pre-period trading value among never-named stocks, and a market model whose</w:t>
      </w:r>
      <w:r>
        <w:t xml:space="preserve"> </w:t>
      </w:r>
      <m:oMath>
        <m:sSub>
          <m:e>
            <m:acc>
              <m:accPr>
                <m:chr m:val="̂"/>
              </m:accPr>
              <m:e>
                <m:r>
                  <m:t>a</m:t>
                </m:r>
              </m:e>
            </m:acc>
          </m:e>
          <m:sub>
            <m:r>
              <m:t>i</m:t>
            </m:r>
          </m:sub>
        </m:sSub>
      </m:oMath>
      <w:r>
        <w:t xml:space="preserve"> </w:t>
      </w:r>
      <w:r>
        <w:t xml:space="preserve">and</w:t>
      </w:r>
      <w:r>
        <w:t xml:space="preserve"> </w:t>
      </w:r>
      <m:oMath>
        <m:sSub>
          <m:e>
            <m:acc>
              <m:accPr>
                <m:chr m:val="̂"/>
              </m:accPr>
              <m:e>
                <m:r>
                  <m:t>b</m:t>
                </m:r>
              </m:e>
            </m:acc>
          </m:e>
          <m:sub>
            <m:r>
              <m:t>i</m:t>
            </m:r>
          </m:sub>
        </m:sSub>
      </m:oMath>
      <w:r>
        <w:t xml:space="preserve"> </w:t>
      </w:r>
      <w:r>
        <w:t xml:space="preserve">are estimated for each stock against the first benchmark. Because constituents share event dates, their abnormal returns are correlated, so we test CARs on the equal-weighted portfolio</w:t>
      </w:r>
      <w:r>
        <w:t xml:space="preserve"> </w:t>
      </w:r>
      <m:oMath>
        <m:r>
          <m:t>p</m:t>
        </m:r>
      </m:oMath>
      <w:r>
        <w:t xml:space="preserve"> </w:t>
      </w:r>
      <w:r>
        <w:t xml:space="preserve">of the</w:t>
      </w:r>
      <w:r>
        <w:t xml:space="preserve"> </w:t>
      </w:r>
      <m:oMath>
        <m:sSub>
          <m:e>
            <m:r>
              <m:t>N</m:t>
            </m:r>
          </m:e>
          <m:sub>
            <m:r>
              <m:t>g</m:t>
            </m:r>
          </m:sub>
        </m:sSub>
      </m:oMath>
      <w:r>
        <w:t xml:space="preserve"> </w:t>
      </w:r>
      <w:r>
        <w:t xml:space="preserve">stocks in group</w:t>
      </w:r>
      <w:r>
        <w:t xml:space="preserve"> </w:t>
      </w:r>
      <m:oMath>
        <m:r>
          <m:t>g</m:t>
        </m:r>
      </m:oMath>
      <w:r>
        <w:t xml:space="preserve">, which addresses cross-sectional dependence (Brown &amp; Warner, 1985). With trading days indexed by</w:t>
      </w:r>
      <w:r>
        <w:t xml:space="preserve"> </w:t>
      </w:r>
      <m:oMath>
        <m:r>
          <m:t>s</m:t>
        </m:r>
      </m:oMath>
      <w:r>
        <w:t xml:space="preserve"> </w:t>
      </w:r>
      <w:r>
        <w:t xml:space="preserve">relative to the disclosure date (</w:t>
      </w:r>
      <m:oMath>
        <m:r>
          <m:t>s</m:t>
        </m:r>
        <m:r>
          <m:rPr>
            <m:sty m:val="p"/>
          </m:rPr>
          <m:t>=</m:t>
        </m:r>
        <m:r>
          <m:t>0</m:t>
        </m:r>
      </m:oMath>
      <w: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sSub>
                  <m:e>
                    <m:r>
                      <m:rPr>
                        <m:sty m:val="p"/>
                      </m:rPr>
                      <m:t>A</m:t>
                    </m:r>
                    <m:r>
                      <m:rPr>
                        <m:sty m:val="p"/>
                      </m:rPr>
                      <m:t>R</m:t>
                    </m:r>
                  </m:e>
                  <m:sub>
                    <m:r>
                      <m:t>p</m:t>
                    </m:r>
                    <m:r>
                      <m:t>s</m:t>
                    </m:r>
                  </m:sub>
                </m:sSub>
              </m:e>
              <m:e>
                <m:r>
                  <m:rPr>
                    <m:sty m:val="p"/>
                  </m:rPr>
                  <m:t>=</m:t>
                </m:r>
                <m:f>
                  <m:fPr>
                    <m:type m:val="bar"/>
                  </m:fPr>
                  <m:num>
                    <m:r>
                      <m:t>1</m:t>
                    </m:r>
                  </m:num>
                  <m:den>
                    <m:sSub>
                      <m:e>
                        <m:r>
                          <m:t>N</m:t>
                        </m:r>
                      </m:e>
                      <m:sub>
                        <m:r>
                          <m:t>g</m:t>
                        </m:r>
                      </m:sub>
                    </m:sSub>
                  </m:den>
                </m:f>
                <m:nary>
                  <m:naryPr>
                    <m:chr m:val="∑"/>
                    <m:limLoc m:val="undOvr"/>
                    <m:subHide m:val="off"/>
                    <m:supHide m:val="on"/>
                  </m:naryPr>
                  <m:sub>
                    <m:r>
                      <m:t>i</m:t>
                    </m:r>
                    <m:r>
                      <m:rPr>
                        <m:sty m:val="p"/>
                      </m:rPr>
                      <m:t>∈</m:t>
                    </m:r>
                    <m:r>
                      <m:t>g</m:t>
                    </m:r>
                  </m:sub>
                  <m:sup>
                    <m:r>
                      <m:t>​</m:t>
                    </m:r>
                  </m:sup>
                  <m:e>
                    <m:sSub>
                      <m:e>
                        <m:r>
                          <m:rPr>
                            <m:sty m:val="p"/>
                          </m:rPr>
                          <m:t>A</m:t>
                        </m:r>
                        <m:r>
                          <m:rPr>
                            <m:sty m:val="p"/>
                          </m:rPr>
                          <m:t>R</m:t>
                        </m:r>
                      </m:e>
                      <m:sub>
                        <m:r>
                          <m:t>i</m:t>
                        </m:r>
                        <m:r>
                          <m:t>s</m:t>
                        </m:r>
                      </m:sub>
                    </m:sSub>
                  </m:e>
                </m:nary>
                <m:r>
                  <m:rPr>
                    <m:sty m:val="p"/>
                  </m:rPr>
                  <m:t>,</m:t>
                </m:r>
                <m:r>
                  <m:t>  </m:t>
                </m:r>
                <m:sSub>
                  <m:e>
                    <m:r>
                      <m:rPr>
                        <m:sty m:val="p"/>
                      </m:rPr>
                      <m:t>C</m:t>
                    </m:r>
                    <m:r>
                      <m:rPr>
                        <m:sty m:val="p"/>
                      </m:rPr>
                      <m:t>A</m:t>
                    </m:r>
                    <m:r>
                      <m:rPr>
                        <m:sty m:val="p"/>
                      </m:rPr>
                      <m:t>R</m:t>
                    </m:r>
                  </m:e>
                  <m:sub>
                    <m:r>
                      <m:t>p</m:t>
                    </m:r>
                  </m:sub>
                </m:sSub>
                <m:d>
                  <m:dPr>
                    <m:begChr m:val="("/>
                    <m:endChr m:val=")"/>
                    <m:sepChr m:val=""/>
                    <m:grow/>
                  </m:dPr>
                  <m:e>
                    <m:sSub>
                      <m:e>
                        <m:r>
                          <m:t>τ</m:t>
                        </m:r>
                      </m:e>
                      <m:sub>
                        <m:r>
                          <m:t>1</m:t>
                        </m:r>
                      </m:sub>
                    </m:sSub>
                    <m:r>
                      <m:rPr>
                        <m:sty m:val="p"/>
                      </m:rPr>
                      <m:t>,</m:t>
                    </m:r>
                    <m:sSub>
                      <m:e>
                        <m:r>
                          <m:t>τ</m:t>
                        </m:r>
                      </m:e>
                      <m:sub>
                        <m:r>
                          <m:t>2</m:t>
                        </m:r>
                      </m:sub>
                    </m:sSub>
                  </m:e>
                </m:d>
                <m:r>
                  <m:rPr>
                    <m:sty m:val="p"/>
                  </m:rPr>
                  <m:t>=</m:t>
                </m:r>
                <m:nary>
                  <m:naryPr>
                    <m:chr m:val="∑"/>
                    <m:limLoc m:val="undOvr"/>
                    <m:subHide m:val="off"/>
                    <m:supHide m:val="off"/>
                  </m:naryPr>
                  <m:sub>
                    <m:r>
                      <m:t>s</m:t>
                    </m:r>
                    <m:r>
                      <m:rPr>
                        <m:sty m:val="p"/>
                      </m:rPr>
                      <m:t>=</m:t>
                    </m:r>
                    <m:sSub>
                      <m:e>
                        <m:r>
                          <m:t>τ</m:t>
                        </m:r>
                      </m:e>
                      <m:sub>
                        <m:r>
                          <m:t>1</m:t>
                        </m:r>
                      </m:sub>
                    </m:sSub>
                  </m:sub>
                  <m:sup>
                    <m:sSub>
                      <m:e>
                        <m:r>
                          <m:t>τ</m:t>
                        </m:r>
                      </m:e>
                      <m:sub>
                        <m:r>
                          <m:t>2</m:t>
                        </m:r>
                      </m:sub>
                    </m:sSub>
                  </m:sup>
                  <m:e>
                    <m:sSub>
                      <m:e>
                        <m:r>
                          <m:rPr>
                            <m:sty m:val="p"/>
                          </m:rPr>
                          <m:t>A</m:t>
                        </m:r>
                        <m:r>
                          <m:rPr>
                            <m:sty m:val="p"/>
                          </m:rPr>
                          <m:t>R</m:t>
                        </m:r>
                      </m:e>
                      <m:sub>
                        <m:r>
                          <m:t>p</m:t>
                        </m:r>
                        <m:r>
                          <m:t>s</m:t>
                        </m:r>
                      </m:sub>
                    </m:sSub>
                  </m:e>
                </m:nary>
                <m:r>
                  <m:rPr>
                    <m:sty m:val="p"/>
                  </m:rPr>
                  <m:t>,</m:t>
                </m:r>
                <m:r>
                  <m:t>  </m:t>
                </m:r>
                <m:d>
                  <m:dPr>
                    <m:begChr m:val="("/>
                    <m:endChr m:val=")"/>
                    <m:sepChr m:val=""/>
                    <m:grow/>
                  </m:dPr>
                  <m:e>
                    <m:r>
                      <m:t>6</m:t>
                    </m:r>
                  </m:e>
                </m:d>
              </m:e>
            </m:mr>
            <m:mr>
              <m:e>
                <m:sSub>
                  <m:e>
                    <m:r>
                      <m:t>t</m:t>
                    </m:r>
                  </m:e>
                  <m:sub>
                    <m:r>
                      <m:rPr>
                        <m:sty m:val="p"/>
                      </m:rPr>
                      <m:t>C</m:t>
                    </m:r>
                    <m:r>
                      <m:rPr>
                        <m:sty m:val="p"/>
                      </m:rPr>
                      <m:t>A</m:t>
                    </m:r>
                    <m:r>
                      <m:rPr>
                        <m:sty m:val="p"/>
                      </m:rPr>
                      <m:t>R</m:t>
                    </m:r>
                  </m:sub>
                </m:sSub>
              </m:e>
              <m:e>
                <m:r>
                  <m:rPr>
                    <m:sty m:val="p"/>
                  </m:rPr>
                  <m:t>=</m:t>
                </m:r>
                <m:f>
                  <m:fPr>
                    <m:type m:val="bar"/>
                  </m:fPr>
                  <m:num>
                    <m:sSub>
                      <m:e>
                        <m:r>
                          <m:rPr>
                            <m:sty m:val="p"/>
                          </m:rPr>
                          <m:t>C</m:t>
                        </m:r>
                        <m:r>
                          <m:rPr>
                            <m:sty m:val="p"/>
                          </m:rPr>
                          <m:t>A</m:t>
                        </m:r>
                        <m:r>
                          <m:rPr>
                            <m:sty m:val="p"/>
                          </m:rPr>
                          <m:t>R</m:t>
                        </m:r>
                      </m:e>
                      <m:sub>
                        <m:r>
                          <m:t>p</m:t>
                        </m:r>
                      </m:sub>
                    </m:sSub>
                    <m:d>
                      <m:dPr>
                        <m:begChr m:val="("/>
                        <m:endChr m:val=")"/>
                        <m:sepChr m:val=""/>
                        <m:grow/>
                      </m:dPr>
                      <m:e>
                        <m:sSub>
                          <m:e>
                            <m:r>
                              <m:t>τ</m:t>
                            </m:r>
                          </m:e>
                          <m:sub>
                            <m:r>
                              <m:t>1</m:t>
                            </m:r>
                          </m:sub>
                        </m:sSub>
                        <m:r>
                          <m:rPr>
                            <m:sty m:val="p"/>
                          </m:rPr>
                          <m:t>,</m:t>
                        </m:r>
                        <m:sSub>
                          <m:e>
                            <m:r>
                              <m:t>τ</m:t>
                            </m:r>
                          </m:e>
                          <m:sub>
                            <m:r>
                              <m:t>2</m:t>
                            </m:r>
                          </m:sub>
                        </m:sSub>
                      </m:e>
                    </m:d>
                  </m:num>
                  <m:den>
                    <m:sSub>
                      <m:e>
                        <m:acc>
                          <m:accPr>
                            <m:chr m:val="̂"/>
                          </m:accPr>
                          <m:e>
                            <m:r>
                              <m:t>σ</m:t>
                            </m:r>
                          </m:e>
                        </m:acc>
                      </m:e>
                      <m:sub>
                        <m:r>
                          <m:t>p</m:t>
                        </m:r>
                      </m:sub>
                    </m:sSub>
                    <m:rad>
                      <m:radPr>
                        <m:degHide m:val="on"/>
                      </m:radPr>
                      <m:deg/>
                      <m:e>
                        <m:r>
                          <m:t>D</m:t>
                        </m:r>
                      </m:e>
                    </m:rad>
                  </m:den>
                </m:f>
                <m:r>
                  <m:rPr>
                    <m:sty m:val="p"/>
                  </m:rPr>
                  <m:t>,</m:t>
                </m:r>
              </m:e>
            </m:mr>
          </m:m>
        </m:oMath>
      </m:oMathPara>
    </w:p>
    <w:p>
      <w:pPr>
        <w:pStyle w:val="FirstParagraph"/>
      </w:pPr>
      <w:r>
        <w:t xml:space="preserve">where</w:t>
      </w:r>
      <w:r>
        <w:t xml:space="preserve"> </w:t>
      </w:r>
      <m:oMath>
        <m:sSub>
          <m:e>
            <m:r>
              <m:t>τ</m:t>
            </m:r>
          </m:e>
          <m:sub>
            <m:r>
              <m:t>1</m:t>
            </m:r>
          </m:sub>
        </m:sSub>
      </m:oMath>
      <w:r>
        <w:t xml:space="preserve"> </w:t>
      </w:r>
      <w:r>
        <w:t xml:space="preserve">and</w:t>
      </w:r>
      <w:r>
        <w:t xml:space="preserve"> </w:t>
      </w:r>
      <m:oMath>
        <m:sSub>
          <m:e>
            <m:r>
              <m:t>τ</m:t>
            </m:r>
          </m:e>
          <m:sub>
            <m:r>
              <m:t>2</m:t>
            </m:r>
          </m:sub>
        </m:sSub>
      </m:oMath>
      <w:r>
        <w:t xml:space="preserve"> </w:t>
      </w:r>
      <w:r>
        <w:t xml:space="preserve">are the first and last days of the event window,</w:t>
      </w:r>
      <w:r>
        <w:t xml:space="preserve"> </w:t>
      </w:r>
      <m:oMath>
        <m:sSub>
          <m:e>
            <m:acc>
              <m:accPr>
                <m:chr m:val="̂"/>
              </m:accPr>
              <m:e>
                <m:r>
                  <m:t>σ</m:t>
                </m:r>
              </m:e>
            </m:acc>
          </m:e>
          <m:sub>
            <m:r>
              <m:t>p</m:t>
            </m:r>
          </m:sub>
        </m:sSub>
      </m:oMath>
      <w:r>
        <w:t xml:space="preserve"> </w:t>
      </w:r>
      <w:r>
        <w:t xml:space="preserve">is the standard deviation of</w:t>
      </w:r>
      <w:r>
        <w:t xml:space="preserve"> </w:t>
      </w:r>
      <m:oMath>
        <m:sSub>
          <m:e>
            <m:r>
              <m:rPr>
                <m:sty m:val="p"/>
              </m:rPr>
              <m:t>A</m:t>
            </m:r>
            <m:r>
              <m:rPr>
                <m:sty m:val="p"/>
              </m:rPr>
              <m:t>R</m:t>
            </m:r>
          </m:e>
          <m:sub>
            <m:r>
              <m:t>p</m:t>
            </m:r>
            <m:r>
              <m:t>s</m:t>
            </m:r>
          </m:sub>
        </m:sSub>
      </m:oMath>
      <w:r>
        <w:t xml:space="preserve"> </w:t>
      </w:r>
      <w:r>
        <w:t xml:space="preserve">in the estimation window and</w:t>
      </w:r>
      <w:r>
        <w:t xml:space="preserve"> </w:t>
      </w:r>
      <m:oMath>
        <m:r>
          <m:t>D</m:t>
        </m:r>
        <m:r>
          <m:rPr>
            <m:sty m:val="p"/>
          </m:rPr>
          <m:t>=</m:t>
        </m:r>
        <m:sSub>
          <m:e>
            <m:r>
              <m:t>τ</m:t>
            </m:r>
          </m:e>
          <m:sub>
            <m:r>
              <m:t>2</m:t>
            </m:r>
          </m:sub>
        </m:sSub>
        <m:r>
          <m:rPr>
            <m:sty m:val="p"/>
          </m:rPr>
          <m:t>−</m:t>
        </m:r>
        <m:sSub>
          <m:e>
            <m:r>
              <m:t>τ</m:t>
            </m:r>
          </m:e>
          <m:sub>
            <m:r>
              <m:t>1</m:t>
            </m:r>
          </m:sub>
        </m:sSub>
        <m:r>
          <m:rPr>
            <m:sty m:val="p"/>
          </m:rPr>
          <m:t>+</m:t>
        </m:r>
        <m:r>
          <m:t>1</m:t>
        </m:r>
      </m:oMath>
      <w:r>
        <w:t xml:space="preserve">; the statistic assumes independent daily abnormal returns. The estimation window runs from day −130 to day −11 and excludes days −1 to +20 around every earlier disclosure, which leaves 120 estimation days for the announcement, 98 for the confirmation and the constituent list, and 89 for the effective date. We pre-specify the windows [−1,+1], [−1,+5] and [0,+20] for every disclosure, report all of them and call a CAR reliable when it is significant at 5% under all four benchmarks.</w:t>
      </w:r>
    </w:p>
    <w:bookmarkEnd w:id="28"/>
    <w:bookmarkStart w:id="29" w:name="estimation"/>
    <w:p>
      <w:pPr>
        <w:pStyle w:val="Heading3"/>
      </w:pPr>
      <w:r>
        <w:t xml:space="preserve">3.3 Estimation</w:t>
      </w:r>
    </w:p>
    <w:p>
      <w:pPr>
        <w:pStyle w:val="FirstParagraph"/>
      </w:pPr>
      <w:r>
        <w:t xml:space="preserve">The baseline liquidity specification is</w:t>
      </w:r>
    </w:p>
    <w:p>
      <w:pPr>
        <w:pStyle w:val="BodyText"/>
      </w:pPr>
      <m:oMathPara>
        <m:oMathParaPr>
          <m:jc m:val="center"/>
        </m:oMathParaPr>
        <m:oMath>
          <m:sSub>
            <m:e>
              <m:r>
                <m:t>y</m:t>
              </m:r>
            </m:e>
            <m:sub>
              <m:r>
                <m:t>i</m:t>
              </m:r>
              <m:r>
                <m:t>w</m:t>
              </m:r>
            </m:sub>
          </m:sSub>
          <m:r>
            <m:rPr>
              <m:sty m:val="p"/>
            </m:rPr>
            <m:t>=</m:t>
          </m:r>
          <m:sSub>
            <m:e>
              <m:r>
                <m:t>α</m:t>
              </m:r>
            </m:e>
            <m:sub>
              <m:r>
                <m:t>i</m:t>
              </m:r>
            </m:sub>
          </m:sSub>
          <m:r>
            <m:rPr>
              <m:sty m:val="p"/>
            </m:rPr>
            <m:t>+</m:t>
          </m:r>
          <m:sSub>
            <m:e>
              <m:r>
                <m:t>λ</m:t>
              </m:r>
            </m:e>
            <m:sub>
              <m:r>
                <m:t>w</m:t>
              </m:r>
            </m:sub>
          </m:sSub>
          <m:r>
            <m:rPr>
              <m:sty m:val="p"/>
            </m:rPr>
            <m:t>+</m:t>
          </m:r>
          <m:nary>
            <m:naryPr>
              <m:chr m:val="∑"/>
              <m:limLoc m:val="undOvr"/>
              <m:subHide m:val="off"/>
              <m:supHide m:val="off"/>
            </m:naryPr>
            <m:sub>
              <m:r>
                <m:t>k</m:t>
              </m:r>
              <m:r>
                <m:rPr>
                  <m:sty m:val="p"/>
                </m:rPr>
                <m:t>=</m:t>
              </m:r>
              <m:r>
                <m:t>1</m:t>
              </m:r>
            </m:sub>
            <m:sup>
              <m:r>
                <m:t>3</m:t>
              </m:r>
            </m:sup>
            <m:e>
              <m:sSub>
                <m:e>
                  <m:r>
                    <m:t>β</m:t>
                  </m:r>
                </m:e>
                <m:sub>
                  <m:r>
                    <m:t>k</m:t>
                  </m:r>
                </m:sub>
              </m:sSub>
            </m:e>
          </m:nary>
          <m:d>
            <m:dPr>
              <m:begChr m:val="("/>
              <m:endChr m:val=")"/>
              <m:sepChr m:val=""/>
              <m:grow/>
            </m:dPr>
            <m:e>
              <m:sSub>
                <m:e>
                  <m:r>
                    <m:rPr>
                      <m:sty m:val="p"/>
                    </m:rPr>
                    <m:t>C</m:t>
                  </m:r>
                  <m:r>
                    <m:rPr>
                      <m:sty m:val="p"/>
                    </m:rPr>
                    <m:t>o</m:t>
                  </m:r>
                  <m:r>
                    <m:rPr>
                      <m:sty m:val="p"/>
                    </m:rPr>
                    <m:t>n</m:t>
                  </m:r>
                  <m:r>
                    <m:rPr>
                      <m:sty m:val="p"/>
                    </m:rPr>
                    <m:t>s</m:t>
                  </m:r>
                  <m:r>
                    <m:rPr>
                      <m:sty m:val="p"/>
                    </m:rPr>
                    <m:t>t</m:t>
                  </m:r>
                  <m:r>
                    <m:rPr>
                      <m:sty m:val="p"/>
                    </m:rPr>
                    <m:t>i</m:t>
                  </m:r>
                  <m:r>
                    <m:rPr>
                      <m:sty m:val="p"/>
                    </m:rPr>
                    <m:t>t</m:t>
                  </m:r>
                  <m:r>
                    <m:rPr>
                      <m:sty m:val="p"/>
                    </m:rPr>
                    <m:t>u</m:t>
                  </m:r>
                  <m:r>
                    <m:rPr>
                      <m:sty m:val="p"/>
                    </m:rPr>
                    <m:t>e</m:t>
                  </m:r>
                  <m:r>
                    <m:rPr>
                      <m:sty m:val="p"/>
                    </m:rPr>
                    <m:t>n</m:t>
                  </m:r>
                  <m:r>
                    <m:rPr>
                      <m:sty m:val="p"/>
                    </m:rPr>
                    <m:t>t</m:t>
                  </m:r>
                </m:e>
                <m:sub>
                  <m:r>
                    <m:t>i</m:t>
                  </m:r>
                </m:sub>
              </m:sSub>
              <m:r>
                <m:rPr>
                  <m:sty m:val="p"/>
                </m:rPr>
                <m:t>×</m:t>
              </m:r>
              <m:sSub>
                <m:e>
                  <m:r>
                    <m:t>P</m:t>
                  </m:r>
                </m:e>
                <m:sub>
                  <m:r>
                    <m:t>k</m:t>
                  </m:r>
                  <m:r>
                    <m:t>w</m:t>
                  </m:r>
                </m:sub>
              </m:sSub>
            </m:e>
          </m:d>
          <m:r>
            <m:rPr>
              <m:sty m:val="p"/>
            </m:rPr>
            <m:t>+</m:t>
          </m:r>
          <m:sSub>
            <m:e>
              <m:r>
                <m:t>ε</m:t>
              </m:r>
            </m:e>
            <m:sub>
              <m:r>
                <m:t>i</m:t>
              </m:r>
              <m:r>
                <m:t>w</m:t>
              </m:r>
            </m:sub>
          </m:sSub>
          <m:r>
            <m:rPr>
              <m:sty m:val="p"/>
            </m:rPr>
            <m:t>,</m:t>
          </m:r>
          <m:r>
            <m:t>  </m:t>
          </m:r>
          <m:d>
            <m:dPr>
              <m:begChr m:val="("/>
              <m:endChr m:val=")"/>
              <m:sepChr m:val=""/>
              <m:grow/>
            </m:dPr>
            <m:e>
              <m:r>
                <m:t>7</m:t>
              </m:r>
            </m:e>
          </m:d>
        </m:oMath>
      </m:oMathPara>
    </w:p>
    <w:p>
      <w:pPr>
        <w:pStyle w:val="FirstParagraph"/>
      </w:pPr>
      <w:r>
        <w:t xml:space="preserve">where</w:t>
      </w:r>
      <w:r>
        <w:t xml:space="preserve"> </w:t>
      </w:r>
      <m:oMath>
        <m:sSub>
          <m:e>
            <m:r>
              <m:t>y</m:t>
            </m:r>
          </m:e>
          <m:sub>
            <m:r>
              <m:t>i</m:t>
            </m:r>
            <m:r>
              <m:t>w</m:t>
            </m:r>
          </m:sub>
        </m:sSub>
      </m:oMath>
      <w:r>
        <w:t xml:space="preserve"> </w:t>
      </w:r>
      <w:r>
        <w:t xml:space="preserve">is an outcome from Eq. (4) or the weekly spread for stock</w:t>
      </w:r>
      <w:r>
        <w:t xml:space="preserve"> </w:t>
      </w:r>
      <m:oMath>
        <m:r>
          <m:t>i</m:t>
        </m:r>
      </m:oMath>
      <w:r>
        <w:t xml:space="preserve"> </w:t>
      </w:r>
      <w:r>
        <w:t xml:space="preserve">in week</w:t>
      </w:r>
      <w:r>
        <w:t xml:space="preserve"> </w:t>
      </w:r>
      <m:oMath>
        <m:r>
          <m:t>w</m:t>
        </m:r>
      </m:oMath>
      <w:r>
        <w:t xml:space="preserve">,</w:t>
      </w:r>
      <w:r>
        <w:t xml:space="preserve"> </w:t>
      </w:r>
      <m:oMath>
        <m:sSub>
          <m:e>
            <m:r>
              <m:t>α</m:t>
            </m:r>
          </m:e>
          <m:sub>
            <m:r>
              <m:t>i</m:t>
            </m:r>
          </m:sub>
        </m:sSub>
      </m:oMath>
      <w:r>
        <w:t xml:space="preserve"> </w:t>
      </w:r>
      <w:r>
        <w:t xml:space="preserve">and</w:t>
      </w:r>
      <w:r>
        <w:t xml:space="preserve"> </w:t>
      </w:r>
      <m:oMath>
        <m:sSub>
          <m:e>
            <m:r>
              <m:t>λ</m:t>
            </m:r>
          </m:e>
          <m:sub>
            <m:r>
              <m:t>w</m:t>
            </m:r>
          </m:sub>
        </m:sSub>
      </m:oMath>
      <w:r>
        <w:t xml:space="preserve"> </w:t>
      </w:r>
      <w:r>
        <w:t xml:space="preserve">are stock and week fixed effects,</w:t>
      </w:r>
      <w:r>
        <w:t xml:space="preserve"> </w:t>
      </w:r>
      <m:oMath>
        <m:sSub>
          <m:e>
            <m:r>
              <m:rPr>
                <m:sty m:val="p"/>
              </m:rPr>
              <m:t>C</m:t>
            </m:r>
            <m:r>
              <m:rPr>
                <m:sty m:val="p"/>
              </m:rPr>
              <m:t>o</m:t>
            </m:r>
            <m:r>
              <m:rPr>
                <m:sty m:val="p"/>
              </m:rPr>
              <m:t>n</m:t>
            </m:r>
            <m:r>
              <m:rPr>
                <m:sty m:val="p"/>
              </m:rPr>
              <m:t>s</m:t>
            </m:r>
            <m:r>
              <m:rPr>
                <m:sty m:val="p"/>
              </m:rPr>
              <m:t>t</m:t>
            </m:r>
            <m:r>
              <m:rPr>
                <m:sty m:val="p"/>
              </m:rPr>
              <m:t>i</m:t>
            </m:r>
            <m:r>
              <m:rPr>
                <m:sty m:val="p"/>
              </m:rPr>
              <m:t>t</m:t>
            </m:r>
            <m:r>
              <m:rPr>
                <m:sty m:val="p"/>
              </m:rPr>
              <m:t>u</m:t>
            </m:r>
            <m:r>
              <m:rPr>
                <m:sty m:val="p"/>
              </m:rPr>
              <m:t>e</m:t>
            </m:r>
            <m:r>
              <m:rPr>
                <m:sty m:val="p"/>
              </m:rPr>
              <m:t>n</m:t>
            </m:r>
            <m:r>
              <m:rPr>
                <m:sty m:val="p"/>
              </m:rPr>
              <m:t>t</m:t>
            </m:r>
          </m:e>
          <m:sub>
            <m:r>
              <m:t>i</m:t>
            </m:r>
          </m:sub>
        </m:sSub>
      </m:oMath>
      <w:r>
        <w:t xml:space="preserve"> </w:t>
      </w:r>
      <w:r>
        <w:t xml:space="preserve">equals one for the 24 constituents and zero otherwise,</w:t>
      </w:r>
      <w:r>
        <w:t xml:space="preserve"> </w:t>
      </w:r>
      <m:oMath>
        <m:sSub>
          <m:e>
            <m:r>
              <m:t>P</m:t>
            </m:r>
          </m:e>
          <m:sub>
            <m:r>
              <m:t>1</m:t>
            </m:r>
            <m:r>
              <m:t>w</m:t>
            </m:r>
          </m:sub>
        </m:sSub>
      </m:oMath>
      <w:r>
        <w:t xml:space="preserve">,</w:t>
      </w:r>
      <w:r>
        <w:t xml:space="preserve"> </w:t>
      </w:r>
      <m:oMath>
        <m:sSub>
          <m:e>
            <m:r>
              <m:t>P</m:t>
            </m:r>
          </m:e>
          <m:sub>
            <m:r>
              <m:t>2</m:t>
            </m:r>
            <m:r>
              <m:t>w</m:t>
            </m:r>
          </m:sub>
        </m:sSub>
      </m:oMath>
      <w:r>
        <w:t xml:space="preserve"> </w:t>
      </w:r>
      <w:r>
        <w:t xml:space="preserve">and</w:t>
      </w:r>
      <w:r>
        <w:t xml:space="preserve"> </w:t>
      </w:r>
      <m:oMath>
        <m:sSub>
          <m:e>
            <m:r>
              <m:t>P</m:t>
            </m:r>
          </m:e>
          <m:sub>
            <m:r>
              <m:t>3</m:t>
            </m:r>
            <m:r>
              <m:t>w</m:t>
            </m:r>
          </m:sub>
        </m:sSub>
      </m:oMath>
      <w:r>
        <w:t xml:space="preserve"> </w:t>
      </w:r>
      <w:r>
        <w:t xml:space="preserve">indicate the announcement window (7 October 2025 to 6 April 2026), the confirmation window (7 April to 20 August 2026) and the list-and-rebalancing window (21 August to 23 September 2026),</w:t>
      </w:r>
      <w:r>
        <w:t xml:space="preserve"> </w:t>
      </w:r>
      <m:oMath>
        <m:sSub>
          <m:e>
            <m:r>
              <m:t>β</m:t>
            </m:r>
          </m:e>
          <m:sub>
            <m:r>
              <m:t>k</m:t>
            </m:r>
          </m:sub>
        </m:sSub>
      </m:oMath>
      <w:r>
        <w:t xml:space="preserve"> </w:t>
      </w:r>
      <w:r>
        <w:t xml:space="preserve">is the change in the outcome of constituents relative to never-named stocks in window</w:t>
      </w:r>
      <w:r>
        <w:t xml:space="preserve"> </w:t>
      </w:r>
      <m:oMath>
        <m:r>
          <m:t>k</m:t>
        </m:r>
      </m:oMath>
      <w:r>
        <w:t xml:space="preserve">, and</w:t>
      </w:r>
      <w:r>
        <w:t xml:space="preserve"> </w:t>
      </w:r>
      <m:oMath>
        <m:sSub>
          <m:e>
            <m:r>
              <m:t>ε</m:t>
            </m:r>
          </m:e>
          <m:sub>
            <m:r>
              <m:t>i</m:t>
            </m:r>
            <m:r>
              <m:t>w</m:t>
            </m:r>
          </m:sub>
        </m:sSub>
      </m:oMath>
      <w:r>
        <w:t xml:space="preserve"> </w:t>
      </w:r>
      <w:r>
        <w:t xml:space="preserve">is the error term. Weeks start on Monday and enter a window only if they start on or after the disclosure date. FTSE did not state the hour at which it released the constituent list; both the weekly assignment and the [−1,+1] event window, which spans 20, 21 and 24 August, contain the first Vietnamese session after the release. The comparison group contains only never-named stocks. Week fixed effects absorb market-wide liquidity shocks, which co-move across stocks (Chordia et al., 2000), and we cluster standard errors by stock.</w:t>
      </w:r>
    </w:p>
    <w:p>
      <w:pPr>
        <w:pStyle w:val="BodyText"/>
      </w:pPr>
      <w:r>
        <w:t xml:space="preserve">The ITT specification replaces</w:t>
      </w:r>
      <w:r>
        <w:t xml:space="preserve"> </w:t>
      </w:r>
      <m:oMath>
        <m:sSub>
          <m:e>
            <m:r>
              <m:rPr>
                <m:sty m:val="p"/>
              </m:rPr>
              <m:t>C</m:t>
            </m:r>
            <m:r>
              <m:rPr>
                <m:sty m:val="p"/>
              </m:rPr>
              <m:t>o</m:t>
            </m:r>
            <m:r>
              <m:rPr>
                <m:sty m:val="p"/>
              </m:rPr>
              <m:t>n</m:t>
            </m:r>
            <m:r>
              <m:rPr>
                <m:sty m:val="p"/>
              </m:rPr>
              <m:t>s</m:t>
            </m:r>
            <m:r>
              <m:rPr>
                <m:sty m:val="p"/>
              </m:rPr>
              <m:t>t</m:t>
            </m:r>
            <m:r>
              <m:rPr>
                <m:sty m:val="p"/>
              </m:rPr>
              <m:t>i</m:t>
            </m:r>
            <m:r>
              <m:rPr>
                <m:sty m:val="p"/>
              </m:rPr>
              <m:t>t</m:t>
            </m:r>
            <m:r>
              <m:rPr>
                <m:sty m:val="p"/>
              </m:rPr>
              <m:t>u</m:t>
            </m:r>
            <m:r>
              <m:rPr>
                <m:sty m:val="p"/>
              </m:rPr>
              <m:t>e</m:t>
            </m:r>
            <m:r>
              <m:rPr>
                <m:sty m:val="p"/>
              </m:rPr>
              <m:t>n</m:t>
            </m:r>
            <m:r>
              <m:rPr>
                <m:sty m:val="p"/>
              </m:rPr>
              <m:t>t</m:t>
            </m:r>
          </m:e>
          <m:sub>
            <m:r>
              <m:t>i</m:t>
            </m:r>
          </m:sub>
        </m:sSub>
      </m:oMath>
      <w:r>
        <w:t xml:space="preserve"> </w:t>
      </w:r>
      <w:r>
        <w:t xml:space="preserve">in Eq. (7) with</w:t>
      </w:r>
      <w:r>
        <w:t xml:space="preserve"> </w:t>
      </w:r>
      <m:oMath>
        <m:sSub>
          <m:e>
            <m:r>
              <m:rPr>
                <m:sty m:val="p"/>
              </m:rPr>
              <m:t>I</m:t>
            </m:r>
            <m:r>
              <m:rPr>
                <m:sty m:val="p"/>
              </m:rPr>
              <m:t>T</m:t>
            </m:r>
            <m:r>
              <m:rPr>
                <m:sty m:val="p"/>
              </m:rPr>
              <m:t>T</m:t>
            </m:r>
          </m:e>
          <m:sub>
            <m:r>
              <m:t>i</m:t>
            </m:r>
          </m:sub>
        </m:sSub>
      </m:oMath>
      <w:r>
        <w:t xml:space="preserve">, which equals one for the 27 stocks on the preliminary list, and keeps all other stocks (in a variant, only never-named, never-included stocks) as controls. A third treatment group, the</w:t>
      </w:r>
      <w:r>
        <w:t xml:space="preserve"> </w:t>
      </w:r>
      <w:r>
        <w:t xml:space="preserve">“</w:t>
      </w:r>
      <w:r>
        <w:t xml:space="preserve">predicted constituents</w:t>
      </w:r>
      <w:r>
        <w:t xml:space="preserve">”</w:t>
      </w:r>
      <w:r>
        <w:t xml:space="preserve">, consists of the 27 stocks with the highest pre-announcement trading value, 16 of which became constituents. For timing, we estimate a monthly event study (Roth et al., 2023):</w:t>
      </w:r>
    </w:p>
    <w:p>
      <w:pPr>
        <w:pStyle w:val="BodyText"/>
      </w:pPr>
      <m:oMathPara>
        <m:oMathParaPr>
          <m:jc m:val="center"/>
        </m:oMathParaPr>
        <m:oMath>
          <m:sSub>
            <m:e>
              <m:r>
                <m:t>y</m:t>
              </m:r>
            </m:e>
            <m:sub>
              <m:r>
                <m:t>i</m:t>
              </m:r>
              <m:r>
                <m:t>w</m:t>
              </m:r>
            </m:sub>
          </m:sSub>
          <m:r>
            <m:rPr>
              <m:sty m:val="p"/>
            </m:rPr>
            <m:t>=</m:t>
          </m:r>
          <m:sSub>
            <m:e>
              <m:r>
                <m:t>α</m:t>
              </m:r>
            </m:e>
            <m:sub>
              <m:r>
                <m:t>i</m:t>
              </m:r>
            </m:sub>
          </m:sSub>
          <m:r>
            <m:rPr>
              <m:sty m:val="p"/>
            </m:rPr>
            <m:t>+</m:t>
          </m:r>
          <m:sSub>
            <m:e>
              <m:r>
                <m:t>λ</m:t>
              </m:r>
            </m:e>
            <m:sub>
              <m:r>
                <m:t>w</m:t>
              </m:r>
            </m:sub>
          </m:sSub>
          <m:r>
            <m:rPr>
              <m:sty m:val="p"/>
            </m:rPr>
            <m:t>+</m:t>
          </m:r>
          <m:nary>
            <m:naryPr>
              <m:chr m:val="∑"/>
              <m:limLoc m:val="undOvr"/>
              <m:subHide m:val="off"/>
              <m:supHide m:val="on"/>
            </m:naryPr>
            <m:sub>
              <m:r>
                <m:t>m</m:t>
              </m:r>
              <m:r>
                <m:rPr>
                  <m:sty m:val="p"/>
                </m:rPr>
                <m:t>≠</m:t>
              </m:r>
              <m:r>
                <m:rPr>
                  <m:sty m:val="p"/>
                </m:rPr>
                <m:t>−</m:t>
              </m:r>
              <m:r>
                <m:t>1</m:t>
              </m:r>
            </m:sub>
            <m:sup>
              <m:r>
                <m:t>​</m:t>
              </m:r>
            </m:sup>
            <m:e>
              <m:sSub>
                <m:e>
                  <m:r>
                    <m:t>δ</m:t>
                  </m:r>
                </m:e>
                <m:sub>
                  <m:r>
                    <m:t>m</m:t>
                  </m:r>
                </m:sub>
              </m:sSub>
            </m:e>
          </m:nary>
          <m:d>
            <m:dPr>
              <m:begChr m:val="("/>
              <m:endChr m:val=")"/>
              <m:sepChr m:val=""/>
              <m:grow/>
            </m:dPr>
            <m:e>
              <m:sSub>
                <m:e>
                  <m:r>
                    <m:rPr>
                      <m:sty m:val="p"/>
                    </m:rPr>
                    <m:t>C</m:t>
                  </m:r>
                  <m:r>
                    <m:rPr>
                      <m:sty m:val="p"/>
                    </m:rPr>
                    <m:t>o</m:t>
                  </m:r>
                  <m:r>
                    <m:rPr>
                      <m:sty m:val="p"/>
                    </m:rPr>
                    <m:t>n</m:t>
                  </m:r>
                  <m:r>
                    <m:rPr>
                      <m:sty m:val="p"/>
                    </m:rPr>
                    <m:t>s</m:t>
                  </m:r>
                  <m:r>
                    <m:rPr>
                      <m:sty m:val="p"/>
                    </m:rPr>
                    <m:t>t</m:t>
                  </m:r>
                  <m:r>
                    <m:rPr>
                      <m:sty m:val="p"/>
                    </m:rPr>
                    <m:t>i</m:t>
                  </m:r>
                  <m:r>
                    <m:rPr>
                      <m:sty m:val="p"/>
                    </m:rPr>
                    <m:t>t</m:t>
                  </m:r>
                  <m:r>
                    <m:rPr>
                      <m:sty m:val="p"/>
                    </m:rPr>
                    <m:t>u</m:t>
                  </m:r>
                  <m:r>
                    <m:rPr>
                      <m:sty m:val="p"/>
                    </m:rPr>
                    <m:t>e</m:t>
                  </m:r>
                  <m:r>
                    <m:rPr>
                      <m:sty m:val="p"/>
                    </m:rPr>
                    <m:t>n</m:t>
                  </m:r>
                  <m:r>
                    <m:rPr>
                      <m:sty m:val="p"/>
                    </m:rPr>
                    <m:t>t</m:t>
                  </m:r>
                </m:e>
                <m:sub>
                  <m:r>
                    <m:t>i</m:t>
                  </m:r>
                </m:sub>
              </m:sSub>
              <m:r>
                <m:rPr>
                  <m:sty m:val="p"/>
                </m:rPr>
                <m:t>×</m:t>
              </m:r>
              <m:sSub>
                <m:e>
                  <m:r>
                    <m:t>M</m:t>
                  </m:r>
                </m:e>
                <m:sub>
                  <m:r>
                    <m:t>m</m:t>
                  </m:r>
                  <m:r>
                    <m:t>w</m:t>
                  </m:r>
                </m:sub>
              </m:sSub>
            </m:e>
          </m:d>
          <m:r>
            <m:rPr>
              <m:sty m:val="p"/>
            </m:rPr>
            <m:t>+</m:t>
          </m:r>
          <m:sSub>
            <m:e>
              <m:r>
                <m:t>ε</m:t>
              </m:r>
            </m:e>
            <m:sub>
              <m:r>
                <m:t>i</m:t>
              </m:r>
              <m:r>
                <m:t>w</m:t>
              </m:r>
            </m:sub>
          </m:sSub>
          <m:r>
            <m:rPr>
              <m:sty m:val="p"/>
            </m:rPr>
            <m:t>,</m:t>
          </m:r>
          <m:r>
            <m:t>  </m:t>
          </m:r>
          <m:d>
            <m:dPr>
              <m:begChr m:val="("/>
              <m:endChr m:val=")"/>
              <m:sepChr m:val=""/>
              <m:grow/>
            </m:dPr>
            <m:e>
              <m:r>
                <m:t>8</m:t>
              </m:r>
            </m:e>
          </m:d>
        </m:oMath>
      </m:oMathPara>
    </w:p>
    <w:p>
      <w:pPr>
        <w:pStyle w:val="FirstParagraph"/>
      </w:pPr>
      <w:r>
        <w:t xml:space="preserve">where</w:t>
      </w:r>
      <w:r>
        <w:t xml:space="preserve"> </w:t>
      </w:r>
      <m:oMath>
        <m:sSub>
          <m:e>
            <m:r>
              <m:t>M</m:t>
            </m:r>
          </m:e>
          <m:sub>
            <m:r>
              <m:t>m</m:t>
            </m:r>
            <m:r>
              <m:t>w</m:t>
            </m:r>
          </m:sub>
        </m:sSub>
      </m:oMath>
      <w:r>
        <w:t xml:space="preserve"> </w:t>
      </w:r>
      <w:r>
        <w:t xml:space="preserve">equals one if week</w:t>
      </w:r>
      <w:r>
        <w:t xml:space="preserve"> </w:t>
      </w:r>
      <m:oMath>
        <m:r>
          <m:t>w</m:t>
        </m:r>
      </m:oMath>
      <w:r>
        <w:t xml:space="preserve"> </w:t>
      </w:r>
      <w:r>
        <w:t xml:space="preserve">starts in month</w:t>
      </w:r>
      <w:r>
        <w:t xml:space="preserve"> </w:t>
      </w:r>
      <m:oMath>
        <m:r>
          <m:t>m</m:t>
        </m:r>
      </m:oMath>
      <w:r>
        <w:t xml:space="preserve">, counted from October 2025 (</w:t>
      </w:r>
      <m:oMath>
        <m:r>
          <m:t>m</m:t>
        </m:r>
        <m:r>
          <m:rPr>
            <m:sty m:val="p"/>
          </m:rPr>
          <m:t>=</m:t>
        </m:r>
        <m:r>
          <m:t>0</m:t>
        </m:r>
      </m:oMath>
      <w:r>
        <w:t xml:space="preserve">), with</w:t>
      </w:r>
      <w:r>
        <w:t xml:space="preserve"> </w:t>
      </w:r>
      <m:oMath>
        <m:r>
          <m:t>m</m:t>
        </m:r>
      </m:oMath>
      <w:r>
        <w:t xml:space="preserve"> </w:t>
      </w:r>
      <w:r>
        <w:t xml:space="preserve">running from −13 (the week of 30 September 2024) to 11 and September 2025 (</w:t>
      </w:r>
      <m:oMath>
        <m:r>
          <m:t>m</m:t>
        </m:r>
        <m:r>
          <m:rPr>
            <m:sty m:val="p"/>
          </m:rPr>
          <m:t>=</m:t>
        </m:r>
        <m:r>
          <m:rPr>
            <m:sty m:val="p"/>
          </m:rPr>
          <m:t>−</m:t>
        </m:r>
        <m:r>
          <m:t>1</m:t>
        </m:r>
      </m:oMath>
      <w:r>
        <w:t xml:space="preserve">) as the omitted month. To separate a discrete step at each disclosure from gradual change, a drift variant adds</w:t>
      </w:r>
      <w:r>
        <w:t xml:space="preserve"> </w:t>
      </w:r>
      <m:oMath>
        <m:r>
          <m:t>κ</m:t>
        </m:r>
        <m:d>
          <m:dPr>
            <m:begChr m:val="("/>
            <m:endChr m:val=")"/>
            <m:sepChr m:val=""/>
            <m:grow/>
          </m:dPr>
          <m:e>
            <m:sSub>
              <m:e>
                <m:r>
                  <m:rPr>
                    <m:sty m:val="p"/>
                  </m:rPr>
                  <m:t>C</m:t>
                </m:r>
                <m:r>
                  <m:rPr>
                    <m:sty m:val="p"/>
                  </m:rPr>
                  <m:t>o</m:t>
                </m:r>
                <m:r>
                  <m:rPr>
                    <m:sty m:val="p"/>
                  </m:rPr>
                  <m:t>n</m:t>
                </m:r>
                <m:r>
                  <m:rPr>
                    <m:sty m:val="p"/>
                  </m:rPr>
                  <m:t>s</m:t>
                </m:r>
                <m:r>
                  <m:rPr>
                    <m:sty m:val="p"/>
                  </m:rPr>
                  <m:t>t</m:t>
                </m:r>
                <m:r>
                  <m:rPr>
                    <m:sty m:val="p"/>
                  </m:rPr>
                  <m:t>i</m:t>
                </m:r>
                <m:r>
                  <m:rPr>
                    <m:sty m:val="p"/>
                  </m:rPr>
                  <m:t>t</m:t>
                </m:r>
                <m:r>
                  <m:rPr>
                    <m:sty m:val="p"/>
                  </m:rPr>
                  <m:t>u</m:t>
                </m:r>
                <m:r>
                  <m:rPr>
                    <m:sty m:val="p"/>
                  </m:rPr>
                  <m:t>e</m:t>
                </m:r>
                <m:r>
                  <m:rPr>
                    <m:sty m:val="p"/>
                  </m:rPr>
                  <m:t>n</m:t>
                </m:r>
                <m:r>
                  <m:rPr>
                    <m:sty m:val="p"/>
                  </m:rPr>
                  <m:t>t</m:t>
                </m:r>
              </m:e>
              <m:sub>
                <m:r>
                  <m:t>i</m:t>
                </m:r>
              </m:sub>
            </m:sSub>
            <m:r>
              <m:rPr>
                <m:sty m:val="p"/>
              </m:rPr>
              <m:t>×</m:t>
            </m:r>
            <m:sSub>
              <m:e>
                <m:r>
                  <m:t>s</m:t>
                </m:r>
              </m:e>
              <m:sub>
                <m:r>
                  <m:t>w</m:t>
                </m:r>
              </m:sub>
            </m:sSub>
          </m:e>
        </m:d>
      </m:oMath>
      <w:r>
        <w:t xml:space="preserve"> </w:t>
      </w:r>
      <w:r>
        <w:t xml:space="preserve">to Eq. (7), where</w:t>
      </w:r>
      <w:r>
        <w:t xml:space="preserve"> </w:t>
      </w:r>
      <m:oMath>
        <m:sSub>
          <m:e>
            <m:r>
              <m:t>s</m:t>
            </m:r>
          </m:e>
          <m:sub>
            <m:r>
              <m:t>w</m:t>
            </m:r>
          </m:sub>
        </m:sSub>
      </m:oMath>
      <w:r>
        <w:t xml:space="preserve"> </w:t>
      </w:r>
      <w:r>
        <w:t xml:space="preserve">counts weeks since the announcement and is zero before it; a trend variant uses weeks since the start of the sample instead.</w:t>
      </w:r>
    </w:p>
    <w:p>
      <w:pPr>
        <w:pStyle w:val="BodyText"/>
      </w:pPr>
      <w:r>
        <w:t xml:space="preserve">Because constituents are the largest HOSE stocks, we also use a matched sample that pairs each constituent with three never-named stocks by nearest-neighbour propensity score, with replacement, on pre-period return volatility, price and traded value, weighting each control by its matching weight (Ho et al., 2007). Matching reduces the standardized mean difference (SMD) in pre-period traded value from 4.06 to 0.04 (Appendix Table A.2). A further check replaces week fixed effects with size-tercile-by-week fixed effects. For inference with 24 treated stocks, we report a wild cluster bootstrap with restricted residuals, Rademacher weights and 999 draws (Cameron et al., 2008), and randomization inference with 500 pseudo-treated groups of 24 stocks drawn from the 85 never-named stocks in the top tercile of pre-period trading value among all 366 stocks. Because all constituents were treated at the same dates, adoption is not staggered, and the two-way fixed effects estimator does not suffer the negative-weighting problem that motivates Callaway and Sant’Anna (2021).</w:t>
      </w:r>
    </w:p>
    <w:p>
      <w:pPr>
        <w:pStyle w:val="BodyText"/>
      </w:pPr>
      <w:r>
        <w:t xml:space="preserve">For the rebalancing session we estimate, over the 32 sessions from 6 August to 23 September 2026,</w:t>
      </w:r>
    </w:p>
    <w:p>
      <w:pPr>
        <w:pStyle w:val="BodyText"/>
      </w:pPr>
      <m:oMathPara>
        <m:oMathParaPr>
          <m:jc m:val="center"/>
        </m:oMathParaPr>
        <m:oMath>
          <m:m>
            <m:mPr>
              <m:baseJc m:val="center"/>
              <m:plcHide m:val="on"/>
              <m:mcs>
                <m:mc>
                  <m:mcPr>
                    <m:mcJc m:val="right"/>
                    <m:count m:val="1"/>
                  </m:mcPr>
                </m:mc>
                <m:mc>
                  <m:mcPr>
                    <m:mcJc m:val="left"/>
                    <m:count m:val="1"/>
                  </m:mcPr>
                </m:mc>
              </m:mcs>
            </m:mPr>
            <m:mr>
              <m:e>
                <m:r>
                  <m:rPr>
                    <m:sty m:val="p"/>
                  </m:rPr>
                  <m:t>ln</m:t>
                </m:r>
                <m:d>
                  <m:dPr>
                    <m:begChr m:val="("/>
                    <m:endChr m:val=")"/>
                    <m:sepChr m:val=""/>
                    <m:grow/>
                  </m:dPr>
                  <m:e>
                    <m:sSub>
                      <m:e>
                        <m:r>
                          <m:rPr>
                            <m:sty m:val="p"/>
                          </m:rPr>
                          <m:t>V</m:t>
                        </m:r>
                        <m:r>
                          <m:rPr>
                            <m:sty m:val="p"/>
                          </m:rPr>
                          <m:t>A</m:t>
                        </m:r>
                        <m:r>
                          <m:rPr>
                            <m:sty m:val="p"/>
                          </m:rPr>
                          <m:t>L</m:t>
                        </m:r>
                      </m:e>
                      <m:sub>
                        <m:r>
                          <m:t>i</m:t>
                        </m:r>
                        <m:r>
                          <m:t>t</m:t>
                        </m:r>
                      </m:sub>
                    </m:sSub>
                    <m:r>
                      <m:rPr>
                        <m:sty m:val="p"/>
                      </m:rPr>
                      <m:t>+</m:t>
                    </m:r>
                    <m:sSup>
                      <m:e>
                        <m:r>
                          <m:t>10</m:t>
                        </m:r>
                      </m:e>
                      <m:sup>
                        <m:r>
                          <m:rPr>
                            <m:sty m:val="p"/>
                          </m:rPr>
                          <m:t>−</m:t>
                        </m:r>
                        <m:r>
                          <m:t>6</m:t>
                        </m:r>
                      </m:sup>
                    </m:sSup>
                  </m:e>
                </m:d>
                <m:r>
                  <m:rPr>
                    <m:sty m:val="p"/>
                  </m:rPr>
                  <m:t>=</m:t>
                </m:r>
                <m:sSub>
                  <m:e>
                    <m:r>
                      <m:t>α</m:t>
                    </m:r>
                  </m:e>
                  <m:sub>
                    <m:r>
                      <m:t>i</m:t>
                    </m:r>
                  </m:sub>
                </m:sSub>
                <m:r>
                  <m:rPr>
                    <m:sty m:val="p"/>
                  </m:rPr>
                  <m:t>+</m:t>
                </m:r>
                <m:sSub>
                  <m:e>
                    <m:r>
                      <m:t>λ</m:t>
                    </m:r>
                  </m:e>
                  <m:sub>
                    <m:r>
                      <m:t>t</m:t>
                    </m:r>
                  </m:sub>
                </m:sSub>
              </m:e>
              <m:e>
                <m:r>
                  <m:rPr>
                    <m:sty m:val="p"/>
                  </m:rPr>
                  <m:t>+</m:t>
                </m:r>
                <m:sSub>
                  <m:e>
                    <m:r>
                      <m:t>θ</m:t>
                    </m:r>
                  </m:e>
                  <m:sub>
                    <m:r>
                      <m:t>1</m:t>
                    </m:r>
                  </m:sub>
                </m:sSub>
                <m:d>
                  <m:dPr>
                    <m:begChr m:val="("/>
                    <m:endChr m:val=")"/>
                    <m:sepChr m:val=""/>
                    <m:grow/>
                  </m:dPr>
                  <m:e>
                    <m:sSub>
                      <m:e>
                        <m:r>
                          <m:rPr>
                            <m:sty m:val="p"/>
                          </m:rPr>
                          <m:t>C</m:t>
                        </m:r>
                        <m:r>
                          <m:rPr>
                            <m:sty m:val="p"/>
                          </m:rPr>
                          <m:t>o</m:t>
                        </m:r>
                        <m:r>
                          <m:rPr>
                            <m:sty m:val="p"/>
                          </m:rPr>
                          <m:t>n</m:t>
                        </m:r>
                        <m:r>
                          <m:rPr>
                            <m:sty m:val="p"/>
                          </m:rPr>
                          <m:t>s</m:t>
                        </m:r>
                        <m:r>
                          <m:rPr>
                            <m:sty m:val="p"/>
                          </m:rPr>
                          <m:t>t</m:t>
                        </m:r>
                        <m:r>
                          <m:rPr>
                            <m:sty m:val="p"/>
                          </m:rPr>
                          <m:t>i</m:t>
                        </m:r>
                        <m:r>
                          <m:rPr>
                            <m:sty m:val="p"/>
                          </m:rPr>
                          <m:t>t</m:t>
                        </m:r>
                        <m:r>
                          <m:rPr>
                            <m:sty m:val="p"/>
                          </m:rPr>
                          <m:t>u</m:t>
                        </m:r>
                        <m:r>
                          <m:rPr>
                            <m:sty m:val="p"/>
                          </m:rPr>
                          <m:t>e</m:t>
                        </m:r>
                        <m:r>
                          <m:rPr>
                            <m:sty m:val="p"/>
                          </m:rPr>
                          <m:t>n</m:t>
                        </m:r>
                        <m:r>
                          <m:rPr>
                            <m:sty m:val="p"/>
                          </m:rPr>
                          <m:t>t</m:t>
                        </m:r>
                      </m:e>
                      <m:sub>
                        <m:r>
                          <m:t>i</m:t>
                        </m:r>
                      </m:sub>
                    </m:sSub>
                    <m:r>
                      <m:rPr>
                        <m:sty m:val="p"/>
                      </m:rPr>
                      <m:t>×</m:t>
                    </m:r>
                    <m:sSub>
                      <m:e>
                        <m:r>
                          <m:rPr>
                            <m:sty m:val="p"/>
                          </m:rPr>
                          <m:t>R</m:t>
                        </m:r>
                        <m:r>
                          <m:rPr>
                            <m:sty m:val="p"/>
                          </m:rPr>
                          <m:t>e</m:t>
                        </m:r>
                        <m:r>
                          <m:rPr>
                            <m:sty m:val="p"/>
                          </m:rPr>
                          <m:t>b</m:t>
                        </m:r>
                      </m:e>
                      <m:sub>
                        <m:r>
                          <m:t>t</m:t>
                        </m:r>
                      </m:sub>
                    </m:sSub>
                  </m:e>
                </m:d>
              </m:e>
            </m:mr>
            <m:mr>
              <m:e/>
              <m:e>
                <m:r>
                  <m:rPr>
                    <m:sty m:val="p"/>
                  </m:rPr>
                  <m:t>+</m:t>
                </m:r>
                <m:sSub>
                  <m:e>
                    <m:r>
                      <m:t>θ</m:t>
                    </m:r>
                  </m:e>
                  <m:sub>
                    <m:r>
                      <m:t>2</m:t>
                    </m:r>
                  </m:sub>
                </m:sSub>
                <m:d>
                  <m:dPr>
                    <m:begChr m:val="("/>
                    <m:endChr m:val=")"/>
                    <m:sepChr m:val=""/>
                    <m:grow/>
                  </m:dPr>
                  <m:e>
                    <m:sSub>
                      <m:e>
                        <m:r>
                          <m:rPr>
                            <m:sty m:val="p"/>
                          </m:rPr>
                          <m:t>C</m:t>
                        </m:r>
                        <m:r>
                          <m:rPr>
                            <m:sty m:val="p"/>
                          </m:rPr>
                          <m:t>o</m:t>
                        </m:r>
                        <m:r>
                          <m:rPr>
                            <m:sty m:val="p"/>
                          </m:rPr>
                          <m:t>n</m:t>
                        </m:r>
                        <m:r>
                          <m:rPr>
                            <m:sty m:val="p"/>
                          </m:rPr>
                          <m:t>s</m:t>
                        </m:r>
                        <m:r>
                          <m:rPr>
                            <m:sty m:val="p"/>
                          </m:rPr>
                          <m:t>t</m:t>
                        </m:r>
                        <m:r>
                          <m:rPr>
                            <m:sty m:val="p"/>
                          </m:rPr>
                          <m:t>i</m:t>
                        </m:r>
                        <m:r>
                          <m:rPr>
                            <m:sty m:val="p"/>
                          </m:rPr>
                          <m:t>t</m:t>
                        </m:r>
                        <m:r>
                          <m:rPr>
                            <m:sty m:val="p"/>
                          </m:rPr>
                          <m:t>u</m:t>
                        </m:r>
                        <m:r>
                          <m:rPr>
                            <m:sty m:val="p"/>
                          </m:rPr>
                          <m:t>e</m:t>
                        </m:r>
                        <m:r>
                          <m:rPr>
                            <m:sty m:val="p"/>
                          </m:rPr>
                          <m:t>n</m:t>
                        </m:r>
                        <m:r>
                          <m:rPr>
                            <m:sty m:val="p"/>
                          </m:rPr>
                          <m:t>t</m:t>
                        </m:r>
                      </m:e>
                      <m:sub>
                        <m:r>
                          <m:t>i</m:t>
                        </m:r>
                      </m:sub>
                    </m:sSub>
                    <m:r>
                      <m:rPr>
                        <m:sty m:val="p"/>
                      </m:rPr>
                      <m:t>×</m:t>
                    </m:r>
                    <m:sSub>
                      <m:e>
                        <m:r>
                          <m:rPr>
                            <m:sty m:val="p"/>
                          </m:rPr>
                          <m:t>E</m:t>
                        </m:r>
                        <m:r>
                          <m:rPr>
                            <m:sty m:val="p"/>
                          </m:rPr>
                          <m:t>f</m:t>
                        </m:r>
                        <m:r>
                          <m:rPr>
                            <m:sty m:val="p"/>
                          </m:rPr>
                          <m:t>f</m:t>
                        </m:r>
                      </m:e>
                      <m:sub>
                        <m:r>
                          <m:t>t</m:t>
                        </m:r>
                      </m:sub>
                    </m:sSub>
                  </m:e>
                </m:d>
                <m:r>
                  <m:rPr>
                    <m:sty m:val="p"/>
                  </m:rPr>
                  <m:t>+</m:t>
                </m:r>
                <m:sSub>
                  <m:e>
                    <m:r>
                      <m:t>u</m:t>
                    </m:r>
                  </m:e>
                  <m:sub>
                    <m:r>
                      <m:t>i</m:t>
                    </m:r>
                    <m:r>
                      <m:t>t</m:t>
                    </m:r>
                  </m:sub>
                </m:sSub>
                <m:r>
                  <m:rPr>
                    <m:sty m:val="p"/>
                  </m:rPr>
                  <m:t>,</m:t>
                </m:r>
                <m:r>
                  <m:t>  </m:t>
                </m:r>
                <m:d>
                  <m:dPr>
                    <m:begChr m:val="("/>
                    <m:endChr m:val=")"/>
                    <m:sepChr m:val=""/>
                    <m:grow/>
                  </m:dPr>
                  <m:e>
                    <m:r>
                      <m:t>9</m:t>
                    </m:r>
                  </m:e>
                </m:d>
              </m:e>
            </m:mr>
          </m:m>
        </m:oMath>
      </m:oMathPara>
    </w:p>
    <w:p>
      <w:pPr>
        <w:pStyle w:val="FirstParagraph"/>
      </w:pPr>
      <w:r>
        <w:t xml:space="preserve">where</w:t>
      </w:r>
      <w:r>
        <w:t xml:space="preserve"> </w:t>
      </w:r>
      <m:oMath>
        <m:sSub>
          <m:e>
            <m:r>
              <m:t>λ</m:t>
            </m:r>
          </m:e>
          <m:sub>
            <m:r>
              <m:t>t</m:t>
            </m:r>
          </m:sub>
        </m:sSub>
      </m:oMath>
      <w:r>
        <w:t xml:space="preserve"> </w:t>
      </w:r>
      <w:r>
        <w:t xml:space="preserve">are date fixed effects,</w:t>
      </w:r>
      <w:r>
        <w:t xml:space="preserve"> </w:t>
      </w:r>
      <m:oMath>
        <m:sSub>
          <m:e>
            <m:r>
              <m:rPr>
                <m:sty m:val="p"/>
              </m:rPr>
              <m:t>R</m:t>
            </m:r>
            <m:r>
              <m:rPr>
                <m:sty m:val="p"/>
              </m:rPr>
              <m:t>e</m:t>
            </m:r>
            <m:r>
              <m:rPr>
                <m:sty m:val="p"/>
              </m:rPr>
              <m:t>b</m:t>
            </m:r>
          </m:e>
          <m:sub>
            <m:r>
              <m:t>t</m:t>
            </m:r>
          </m:sub>
        </m:sSub>
      </m:oMath>
      <w:r>
        <w:t xml:space="preserve"> </w:t>
      </w:r>
      <w:r>
        <w:t xml:space="preserve">and</w:t>
      </w:r>
      <w:r>
        <w:t xml:space="preserve"> </w:t>
      </w:r>
      <m:oMath>
        <m:sSub>
          <m:e>
            <m:r>
              <m:rPr>
                <m:sty m:val="p"/>
              </m:rPr>
              <m:t>E</m:t>
            </m:r>
            <m:r>
              <m:rPr>
                <m:sty m:val="p"/>
              </m:rPr>
              <m:t>f</m:t>
            </m:r>
            <m:r>
              <m:rPr>
                <m:sty m:val="p"/>
              </m:rPr>
              <m:t>f</m:t>
            </m:r>
          </m:e>
          <m:sub>
            <m:r>
              <m:t>t</m:t>
            </m:r>
          </m:sub>
        </m:sSub>
      </m:oMath>
      <w:r>
        <w:t xml:space="preserve"> </w:t>
      </w:r>
      <w:r>
        <w:t xml:space="preserve">indicate 18 September (the rebalancing session) and 21 September (the effective date), and</w:t>
      </w:r>
      <w:r>
        <w:t xml:space="preserve"> </w:t>
      </w:r>
      <m:oMath>
        <m:sSub>
          <m:e>
            <m:r>
              <m:t>u</m:t>
            </m:r>
          </m:e>
          <m:sub>
            <m:r>
              <m:t>i</m:t>
            </m:r>
            <m:r>
              <m:t>t</m:t>
            </m:r>
          </m:sub>
        </m:sSub>
      </m:oMath>
      <w:r>
        <w:t xml:space="preserve"> </w:t>
      </w:r>
      <w:r>
        <w:t xml:space="preserve">is the error term. The coefficients</w:t>
      </w:r>
      <w:r>
        <w:t xml:space="preserve"> </w:t>
      </w:r>
      <m:oMath>
        <m:sSub>
          <m:e>
            <m:r>
              <m:t>θ</m:t>
            </m:r>
          </m:e>
          <m:sub>
            <m:r>
              <m:t>1</m:t>
            </m:r>
          </m:sub>
        </m:sSub>
      </m:oMath>
      <w:r>
        <w:t xml:space="preserve"> </w:t>
      </w:r>
      <w:r>
        <w:t xml:space="preserve">and</w:t>
      </w:r>
      <w:r>
        <w:t xml:space="preserve"> </w:t>
      </w:r>
      <m:oMath>
        <m:sSub>
          <m:e>
            <m:r>
              <m:t>θ</m:t>
            </m:r>
          </m:e>
          <m:sub>
            <m:r>
              <m:t>2</m:t>
            </m:r>
          </m:sub>
        </m:sSub>
      </m:oMath>
      <w:r>
        <w:t xml:space="preserve"> </w:t>
      </w:r>
      <w:r>
        <w:t xml:space="preserve">measure the surge on those sessions relative to the other sessions in the window. We also compute abnormal log trading value on 18 September as the log trading value of each stock minus its mean from 60 to 6 calendar days before the constituent list.</w:t>
      </w:r>
    </w:p>
    <w:bookmarkEnd w:id="29"/>
    <w:bookmarkStart w:id="30" w:name="identification-assumptions"/>
    <w:p>
      <w:pPr>
        <w:pStyle w:val="Heading3"/>
      </w:pPr>
      <w:r>
        <w:t xml:space="preserve">3.4 Identification assumptions</w:t>
      </w:r>
    </w:p>
    <w:p>
      <w:pPr>
        <w:pStyle w:val="FirstParagraph"/>
      </w:pPr>
      <w:r>
        <w:t xml:space="preserve">The coefficients</w:t>
      </w:r>
      <w:r>
        <w:t xml:space="preserve"> </w:t>
      </w:r>
      <m:oMath>
        <m:sSub>
          <m:e>
            <m:r>
              <m:t>β</m:t>
            </m:r>
          </m:e>
          <m:sub>
            <m:r>
              <m:t>k</m:t>
            </m:r>
          </m:sub>
        </m:sSub>
      </m:oMath>
      <w:r>
        <w:t xml:space="preserve"> </w:t>
      </w:r>
      <w:r>
        <w:t xml:space="preserve">identify the effect of the upgrade on constituents under four assumptions.</w:t>
      </w:r>
    </w:p>
    <w:p>
      <w:pPr>
        <w:pStyle w:val="BodyText"/>
      </w:pPr>
      <w:r>
        <w:t xml:space="preserve">First, parallel trends: without the upgrade, constituents and never-named stocks would have followed the same liquidity path. Eq. (8) tests this before the announcement, and the matched, size-by-week and trend specifications relax it. Second, no anticipation before 7 October 2025: after seven years on the watch list (FTSE Russell, 2018; LSEG, 2025), investors could have bought likely constituents early, which would bias the estimates toward zero. Third, no spillovers: if investors sold never-named stocks to buy constituents, comparison-group liquidity would fall because of the treatment. Excluding named-but-excluded stocks removes the most likely channel, trading in near-substitutes. Fourth, no selection on post-treatment outcomes: this fails for the final constituents, which FTSE selected on data as of 30 June 2026. The ITT group, screened on 2024 data, avoids it and measures the average effect on likely constituents, including the 12 stocks on the preliminary list that FTSE did not include.</w:t>
      </w:r>
    </w:p>
    <w:bookmarkEnd w:id="30"/>
    <w:bookmarkEnd w:id="31"/>
    <w:bookmarkStart w:id="43" w:name="results"/>
    <w:p>
      <w:pPr>
        <w:pStyle w:val="Heading2"/>
      </w:pPr>
      <w:r>
        <w:t xml:space="preserve">4. Results</w:t>
      </w:r>
    </w:p>
    <w:bookmarkStart w:id="38" w:name="Xe5b5969a0617d2689c33cdcd9670d9cb806bb3c"/>
    <w:p>
      <w:pPr>
        <w:pStyle w:val="Heading3"/>
      </w:pPr>
      <w:r>
        <w:t xml:space="preserve">4.1 Likely constituents became less illiquid from the announcement onward</w:t>
      </w:r>
    </w:p>
    <w:p>
      <w:pPr>
        <w:pStyle w:val="FirstParagraph"/>
      </w:pPr>
      <w:r>
        <w:t xml:space="preserve">In Table 2 (Eq. 7), the Amihud illiquidity of constituents fell relative to never-named stocks by 0.39, 0.89 and 1.13 log points across the three windows (column 1), declines of 32%, 59% and 68%, all significant at 0.1%. The weighted matched sample yields smaller declines of 0.23 (not significant), 0.47 and 0.69 log points (column 3). With the drift term (−0.012 log points per week,</w:t>
      </w:r>
      <w:r>
        <w:t xml:space="preserve"> </w:t>
      </w:r>
      <w:r>
        <w:rPr>
          <w:iCs/>
          <w:i/>
        </w:rPr>
        <w:t xml:space="preserve">p</w:t>
      </w:r>
      <w:r>
        <w:t xml:space="preserve"> </w:t>
      </w:r>
      <w:r>
        <w:t xml:space="preserve">= 0.002), the confirmation coefficient still exceeds the announcement coefficient by 0.21 log points (standard error 0.10,</w:t>
      </w:r>
      <w:r>
        <w:t xml:space="preserve"> </w:t>
      </w:r>
      <w:r>
        <w:rPr>
          <w:iCs/>
          <w:i/>
        </w:rPr>
        <w:t xml:space="preserve">p</w:t>
      </w:r>
      <w:r>
        <w:t xml:space="preserve"> </w:t>
      </w:r>
      <w:r>
        <w:t xml:space="preserve">= 0.035), while the additional step at the constituent list is 0.10 (standard error 0.11,</w:t>
      </w:r>
      <w:r>
        <w:t xml:space="preserve"> </w:t>
      </w:r>
      <w:r>
        <w:rPr>
          <w:iCs/>
          <w:i/>
        </w:rPr>
        <w:t xml:space="preserve">p</w:t>
      </w:r>
      <w:r>
        <w:t xml:space="preserve"> </w:t>
      </w:r>
      <w:r>
        <w:t xml:space="preserve">= 0.40). H2 therefore holds for the confirmation, after which liquidity improved gradually. The gain resembles the sustained liquidity increase that Hegde and McDermott (2003) document after S&amp;P 500 additions, but most of it appeared at the announcement and the confirmation, months before the 18 September rebalancing.</w:t>
      </w:r>
    </w:p>
    <w:p>
      <w:pPr>
        <w:pStyle w:val="BodyText"/>
      </w:pPr>
      <w:r>
        <w:rPr>
          <w:bCs/>
          <w:b/>
        </w:rPr>
        <w:t xml:space="preserve">Table 2. Constituent liquidity relative to never-named stocks, by disclosure window</w:t>
      </w:r>
    </w:p>
    <w:tbl>
      <w:tblPr>
        <w:tblStyle w:val="Table"/>
        <w:tblW w:type="pct" w:w="5000"/>
        <w:tblLook w:firstRow="1" w:lastRow="0" w:firstColumn="0" w:lastColumn="0" w:noHBand="0" w:noVBand="0" w:val="0020"/>
        <w:jc w:val="start"/>
      </w:tblPr>
      <w:tblGrid>
        <w:gridCol w:w="1320"/>
        <w:gridCol w:w="1650"/>
        <w:gridCol w:w="1650"/>
        <w:gridCol w:w="1650"/>
        <w:gridCol w:w="1650"/>
      </w:tblGrid>
      <w:tr>
        <w:trPr>
          <w:tblHeader w:val="true"/>
        </w:trPr>
        <w:tc>
          <w:tcPr/>
          <w:p>
            <w:pPr>
              <w:pStyle w:val="Compact"/>
              <w:jc w:val="left"/>
            </w:pPr>
            <w:r>
              <w:t xml:space="preserve">Window</w:t>
            </w:r>
          </w:p>
        </w:tc>
        <w:tc>
          <w:tcPr/>
          <w:p>
            <w:pPr>
              <w:pStyle w:val="Compact"/>
              <w:jc w:val="center"/>
            </w:pPr>
            <w:r>
              <w:t xml:space="preserve">(1) Amihud</w:t>
            </w:r>
          </w:p>
        </w:tc>
        <w:tc>
          <w:tcPr/>
          <w:p>
            <w:pPr>
              <w:pStyle w:val="Compact"/>
              <w:jc w:val="center"/>
            </w:pPr>
            <w:r>
              <w:t xml:space="preserve">(2) Trading value</w:t>
            </w:r>
          </w:p>
        </w:tc>
        <w:tc>
          <w:tcPr/>
          <w:p>
            <w:pPr>
              <w:pStyle w:val="Compact"/>
              <w:jc w:val="center"/>
            </w:pPr>
            <w:r>
              <w:t xml:space="preserve">(3) Amihud, matched</w:t>
            </w:r>
          </w:p>
        </w:tc>
        <w:tc>
          <w:tcPr/>
          <w:p>
            <w:pPr>
              <w:pStyle w:val="Compact"/>
              <w:jc w:val="center"/>
            </w:pPr>
            <w:r>
              <w:t xml:space="preserve">(4) Trading value, matched</w:t>
            </w:r>
          </w:p>
        </w:tc>
      </w:tr>
      <w:tr>
        <w:tc>
          <w:tcPr/>
          <w:p>
            <w:pPr>
              <w:pStyle w:val="Compact"/>
              <w:jc w:val="left"/>
            </w:pPr>
            <w:r>
              <w:t xml:space="preserve">Announcement</w:t>
            </w:r>
          </w:p>
        </w:tc>
        <w:tc>
          <w:tcPr/>
          <w:p>
            <w:pPr>
              <w:pStyle w:val="Compact"/>
              <w:jc w:val="center"/>
            </w:pPr>
            <w:r>
              <w:t xml:space="preserve">−0.392*** (0.098)</w:t>
            </w:r>
          </w:p>
        </w:tc>
        <w:tc>
          <w:tcPr/>
          <w:p>
            <w:pPr>
              <w:pStyle w:val="Compact"/>
              <w:jc w:val="center"/>
            </w:pPr>
            <w:r>
              <w:t xml:space="preserve">0.678*** (0.108)</w:t>
            </w:r>
          </w:p>
        </w:tc>
        <w:tc>
          <w:tcPr/>
          <w:p>
            <w:pPr>
              <w:pStyle w:val="Compact"/>
              <w:jc w:val="center"/>
            </w:pPr>
            <w:r>
              <w:t xml:space="preserve">−0.233 (0.159)</w:t>
            </w:r>
          </w:p>
        </w:tc>
        <w:tc>
          <w:tcPr/>
          <w:p>
            <w:pPr>
              <w:pStyle w:val="Compact"/>
              <w:jc w:val="center"/>
            </w:pPr>
            <w:r>
              <w:t xml:space="preserve">0.387* (0.166)</w:t>
            </w:r>
          </w:p>
        </w:tc>
      </w:tr>
      <w:tr>
        <w:tc>
          <w:tcPr/>
          <w:p>
            <w:pPr>
              <w:pStyle w:val="Compact"/>
              <w:jc w:val="left"/>
            </w:pPr>
            <w:r>
              <w:t xml:space="preserve">Confirmation</w:t>
            </w:r>
          </w:p>
        </w:tc>
        <w:tc>
          <w:tcPr/>
          <w:p>
            <w:pPr>
              <w:pStyle w:val="Compact"/>
              <w:jc w:val="center"/>
            </w:pPr>
            <w:r>
              <w:t xml:space="preserve">−0.888*** (0.124)</w:t>
            </w:r>
          </w:p>
        </w:tc>
        <w:tc>
          <w:tcPr/>
          <w:p>
            <w:pPr>
              <w:pStyle w:val="Compact"/>
              <w:jc w:val="center"/>
            </w:pPr>
            <w:r>
              <w:t xml:space="preserve">1.030*** (0.125)</w:t>
            </w:r>
          </w:p>
        </w:tc>
        <w:tc>
          <w:tcPr/>
          <w:p>
            <w:pPr>
              <w:pStyle w:val="Compact"/>
              <w:jc w:val="center"/>
            </w:pPr>
            <w:r>
              <w:t xml:space="preserve">−0.471** (0.167)</w:t>
            </w:r>
          </w:p>
        </w:tc>
        <w:tc>
          <w:tcPr/>
          <w:p>
            <w:pPr>
              <w:pStyle w:val="Compact"/>
              <w:jc w:val="center"/>
            </w:pPr>
            <w:r>
              <w:t xml:space="preserve">0.642*** (0.177)</w:t>
            </w:r>
          </w:p>
        </w:tc>
      </w:tr>
      <w:tr>
        <w:tc>
          <w:tcPr/>
          <w:p>
            <w:pPr>
              <w:pStyle w:val="Compact"/>
              <w:jc w:val="left"/>
            </w:pPr>
            <w:r>
              <w:t xml:space="preserve">List and rebalancing</w:t>
            </w:r>
          </w:p>
        </w:tc>
        <w:tc>
          <w:tcPr/>
          <w:p>
            <w:pPr>
              <w:pStyle w:val="Compact"/>
              <w:jc w:val="center"/>
            </w:pPr>
            <w:r>
              <w:t xml:space="preserve">−1.129*** (0.178)</w:t>
            </w:r>
          </w:p>
        </w:tc>
        <w:tc>
          <w:tcPr/>
          <w:p>
            <w:pPr>
              <w:pStyle w:val="Compact"/>
              <w:jc w:val="center"/>
            </w:pPr>
            <w:r>
              <w:t xml:space="preserve">1.189*** (0.168)</w:t>
            </w:r>
          </w:p>
        </w:tc>
        <w:tc>
          <w:tcPr/>
          <w:p>
            <w:pPr>
              <w:pStyle w:val="Compact"/>
              <w:jc w:val="center"/>
            </w:pPr>
            <w:r>
              <w:t xml:space="preserve">−0.691** (0.232)</w:t>
            </w:r>
          </w:p>
        </w:tc>
        <w:tc>
          <w:tcPr/>
          <w:p>
            <w:pPr>
              <w:pStyle w:val="Compact"/>
              <w:jc w:val="center"/>
            </w:pPr>
            <w:r>
              <w:t xml:space="preserve">0.845** (0.245)</w:t>
            </w:r>
          </w:p>
        </w:tc>
      </w:tr>
      <w:tr>
        <w:tc>
          <w:tcPr/>
          <w:p>
            <w:pPr>
              <w:pStyle w:val="Compact"/>
              <w:jc w:val="left"/>
            </w:pPr>
            <w:r>
              <w:t xml:space="preserve">Observations</w:t>
            </w:r>
          </w:p>
        </w:tc>
        <w:tc>
          <w:tcPr/>
          <w:p>
            <w:pPr>
              <w:pStyle w:val="Compact"/>
              <w:jc w:val="center"/>
            </w:pPr>
            <w:r>
              <w:t xml:space="preserve">34,369</w:t>
            </w:r>
          </w:p>
        </w:tc>
        <w:tc>
          <w:tcPr/>
          <w:p>
            <w:pPr>
              <w:pStyle w:val="Compact"/>
              <w:jc w:val="center"/>
            </w:pPr>
            <w:r>
              <w:t xml:space="preserve">34,369</w:t>
            </w:r>
          </w:p>
        </w:tc>
        <w:tc>
          <w:tcPr/>
          <w:p>
            <w:pPr>
              <w:pStyle w:val="Compact"/>
              <w:jc w:val="center"/>
            </w:pPr>
            <w:r>
              <w:t xml:space="preserve">4,751</w:t>
            </w:r>
          </w:p>
        </w:tc>
        <w:tc>
          <w:tcPr/>
          <w:p>
            <w:pPr>
              <w:pStyle w:val="Compact"/>
              <w:jc w:val="center"/>
            </w:pPr>
            <w:r>
              <w:t xml:space="preserve">4,751</w:t>
            </w:r>
          </w:p>
        </w:tc>
      </w:tr>
    </w:tbl>
    <w:p>
      <w:pPr>
        <w:pStyle w:val="BodyText"/>
      </w:pPr>
      <w:r>
        <w:rPr>
          <w:iCs/>
          <w:i/>
        </w:rPr>
        <w:t xml:space="preserve">Notes</w:t>
      </w:r>
      <w:r>
        <w:t xml:space="preserve">: Eq. (7) with stock and week fixed effects, standard errors clustered by stock in parentheses and matching weights in columns 3–4; *, **, *** denote significance at 5%, 1% and 0.1%. Source: Authors’ calculations.</w:t>
      </w:r>
    </w:p>
    <w:p>
      <w:pPr>
        <w:pStyle w:val="BodyText"/>
      </w:pPr>
      <w:r>
        <w:t xml:space="preserve">Table 3 shows that the decline does not depend on FTSE’s later choice. The ITT group became less illiquid by 0.27, 0.55 and 0.81 log points (24%, 43% and 56%), all significant at 1% or better, and slightly more against never-named, never-included controls. These effects are 62% to 72% of the constituent effects, as expected when 12 of the 27 stocks on the preliminary list were never included: those that later entered the index became less illiquid by 0.43, 0.87 and 1.12 log points, the others by 0.11, 0.25 and 0.53. The 27 predicted constituents, chosen on pre-period trading value alone, became less illiquid by 0.25, 0.59 and 0.74 log points. These estimates support H1.</w:t>
      </w:r>
    </w:p>
    <w:p>
      <w:pPr>
        <w:pStyle w:val="BodyText"/>
      </w:pPr>
      <w:r>
        <w:rPr>
          <w:bCs/>
          <w:b/>
        </w:rPr>
        <w:t xml:space="preserve">Table 3. Intention-to-treat (ITT) and predicted-constituent estimates</w:t>
      </w:r>
    </w:p>
    <w:tbl>
      <w:tblPr>
        <w:tblStyle w:val="Table"/>
        <w:tblW w:type="pct" w:w="5000"/>
        <w:tblLook w:firstRow="1" w:lastRow="0" w:firstColumn="0" w:lastColumn="0" w:noHBand="0" w:noVBand="0" w:val="0020"/>
        <w:jc w:val="start"/>
      </w:tblPr>
      <w:tblGrid>
        <w:gridCol w:w="1320"/>
        <w:gridCol w:w="1650"/>
        <w:gridCol w:w="1650"/>
        <w:gridCol w:w="1650"/>
        <w:gridCol w:w="1650"/>
      </w:tblGrid>
      <w:tr>
        <w:trPr>
          <w:tblHeader w:val="true"/>
        </w:trPr>
        <w:tc>
          <w:tcPr/>
          <w:p>
            <w:pPr>
              <w:pStyle w:val="Compact"/>
              <w:jc w:val="left"/>
            </w:pPr>
            <w:r>
              <w:t xml:space="preserve">Treatment group</w:t>
            </w:r>
          </w:p>
        </w:tc>
        <w:tc>
          <w:tcPr/>
          <w:p>
            <w:pPr>
              <w:pStyle w:val="Compact"/>
              <w:jc w:val="center"/>
            </w:pPr>
            <w:r>
              <w:t xml:space="preserve">Announcement</w:t>
            </w:r>
          </w:p>
        </w:tc>
        <w:tc>
          <w:tcPr/>
          <w:p>
            <w:pPr>
              <w:pStyle w:val="Compact"/>
              <w:jc w:val="center"/>
            </w:pPr>
            <w:r>
              <w:t xml:space="preserve">Confirmation</w:t>
            </w:r>
          </w:p>
        </w:tc>
        <w:tc>
          <w:tcPr/>
          <w:p>
            <w:pPr>
              <w:pStyle w:val="Compact"/>
              <w:jc w:val="center"/>
            </w:pPr>
            <w:r>
              <w:t xml:space="preserve">List</w:t>
            </w:r>
          </w:p>
        </w:tc>
        <w:tc>
          <w:tcPr/>
          <w:p>
            <w:pPr>
              <w:pStyle w:val="Compact"/>
              <w:jc w:val="center"/>
            </w:pPr>
            <w:r>
              <w:t xml:space="preserve">Trading value, list</w:t>
            </w:r>
          </w:p>
        </w:tc>
      </w:tr>
      <w:tr>
        <w:tc>
          <w:tcPr/>
          <w:p>
            <w:pPr>
              <w:pStyle w:val="Compact"/>
              <w:jc w:val="left"/>
            </w:pPr>
            <w:r>
              <w:t xml:space="preserve">ITT (27), all controls</w:t>
            </w:r>
          </w:p>
        </w:tc>
        <w:tc>
          <w:tcPr/>
          <w:p>
            <w:pPr>
              <w:pStyle w:val="Compact"/>
              <w:jc w:val="center"/>
            </w:pPr>
            <w:r>
              <w:t xml:space="preserve">−0.268** (0.083)</w:t>
            </w:r>
          </w:p>
        </w:tc>
        <w:tc>
          <w:tcPr/>
          <w:p>
            <w:pPr>
              <w:pStyle w:val="Compact"/>
              <w:jc w:val="center"/>
            </w:pPr>
            <w:r>
              <w:t xml:space="preserve">−0.554*** (0.129)</w:t>
            </w:r>
          </w:p>
        </w:tc>
        <w:tc>
          <w:tcPr/>
          <w:p>
            <w:pPr>
              <w:pStyle w:val="Compact"/>
              <w:jc w:val="center"/>
            </w:pPr>
            <w:r>
              <w:t xml:space="preserve">−0.811*** (0.167)</w:t>
            </w:r>
          </w:p>
        </w:tc>
        <w:tc>
          <w:tcPr/>
          <w:p>
            <w:pPr>
              <w:pStyle w:val="Compact"/>
              <w:jc w:val="center"/>
            </w:pPr>
            <w:r>
              <w:t xml:space="preserve">0.724*** (0.194)</w:t>
            </w:r>
          </w:p>
        </w:tc>
      </w:tr>
      <w:tr>
        <w:tc>
          <w:tcPr/>
          <w:p>
            <w:pPr>
              <w:pStyle w:val="Compact"/>
              <w:jc w:val="left"/>
            </w:pPr>
            <w:r>
              <w:t xml:space="preserve">ITT (27), never-named controls</w:t>
            </w:r>
          </w:p>
        </w:tc>
        <w:tc>
          <w:tcPr/>
          <w:p>
            <w:pPr>
              <w:pStyle w:val="Compact"/>
              <w:jc w:val="center"/>
            </w:pPr>
            <w:r>
              <w:t xml:space="preserve">−0.286*** (0.083)</w:t>
            </w:r>
          </w:p>
        </w:tc>
        <w:tc>
          <w:tcPr/>
          <w:p>
            <w:pPr>
              <w:pStyle w:val="Compact"/>
              <w:jc w:val="center"/>
            </w:pPr>
            <w:r>
              <w:t xml:space="preserve">−0.593*** (0.129)</w:t>
            </w:r>
          </w:p>
        </w:tc>
        <w:tc>
          <w:tcPr/>
          <w:p>
            <w:pPr>
              <w:pStyle w:val="Compact"/>
              <w:jc w:val="center"/>
            </w:pPr>
            <w:r>
              <w:t xml:space="preserve">−0.860*** (0.167)</w:t>
            </w:r>
          </w:p>
        </w:tc>
        <w:tc>
          <w:tcPr/>
          <w:p>
            <w:pPr>
              <w:pStyle w:val="Compact"/>
              <w:jc w:val="center"/>
            </w:pPr>
            <w:r>
              <w:t xml:space="preserve">0.776*** (0.194)</w:t>
            </w:r>
          </w:p>
        </w:tc>
      </w:tr>
      <w:tr>
        <w:tc>
          <w:tcPr/>
          <w:p>
            <w:pPr>
              <w:pStyle w:val="Compact"/>
              <w:jc w:val="left"/>
            </w:pPr>
            <w:r>
              <w:t xml:space="preserve">Later included (15)</w:t>
            </w:r>
          </w:p>
        </w:tc>
        <w:tc>
          <w:tcPr/>
          <w:p>
            <w:pPr>
              <w:pStyle w:val="Compact"/>
              <w:jc w:val="center"/>
            </w:pPr>
            <w:r>
              <w:t xml:space="preserve">−0.428*** (0.101)</w:t>
            </w:r>
          </w:p>
        </w:tc>
        <w:tc>
          <w:tcPr/>
          <w:p>
            <w:pPr>
              <w:pStyle w:val="Compact"/>
              <w:jc w:val="center"/>
            </w:pPr>
            <w:r>
              <w:t xml:space="preserve">−0.872*** (0.146)</w:t>
            </w:r>
          </w:p>
        </w:tc>
        <w:tc>
          <w:tcPr/>
          <w:p>
            <w:pPr>
              <w:pStyle w:val="Compact"/>
              <w:jc w:val="center"/>
            </w:pPr>
            <w:r>
              <w:t xml:space="preserve">−1.123*** (0.192)</w:t>
            </w:r>
          </w:p>
        </w:tc>
        <w:tc>
          <w:tcPr/>
          <w:p>
            <w:pPr>
              <w:pStyle w:val="Compact"/>
            </w:pPr>
          </w:p>
        </w:tc>
      </w:tr>
      <w:tr>
        <w:tc>
          <w:tcPr/>
          <w:p>
            <w:pPr>
              <w:pStyle w:val="Compact"/>
              <w:jc w:val="left"/>
            </w:pPr>
            <w:r>
              <w:t xml:space="preserve">Not included (12)</w:t>
            </w:r>
          </w:p>
        </w:tc>
        <w:tc>
          <w:tcPr/>
          <w:p>
            <w:pPr>
              <w:pStyle w:val="Compact"/>
              <w:jc w:val="center"/>
            </w:pPr>
            <w:r>
              <w:t xml:space="preserve">−0.108 (0.102)</w:t>
            </w:r>
          </w:p>
        </w:tc>
        <w:tc>
          <w:tcPr/>
          <w:p>
            <w:pPr>
              <w:pStyle w:val="Compact"/>
              <w:jc w:val="center"/>
            </w:pPr>
            <w:r>
              <w:t xml:space="preserve">−0.245 (0.159)</w:t>
            </w:r>
          </w:p>
        </w:tc>
        <w:tc>
          <w:tcPr/>
          <w:p>
            <w:pPr>
              <w:pStyle w:val="Compact"/>
              <w:jc w:val="center"/>
            </w:pPr>
            <w:r>
              <w:t xml:space="preserve">−0.527* (0.236)</w:t>
            </w:r>
          </w:p>
        </w:tc>
        <w:tc>
          <w:tcPr/>
          <w:p>
            <w:pPr>
              <w:pStyle w:val="Compact"/>
            </w:pPr>
          </w:p>
        </w:tc>
      </w:tr>
      <w:tr>
        <w:tc>
          <w:tcPr/>
          <w:p>
            <w:pPr>
              <w:pStyle w:val="Compact"/>
              <w:jc w:val="left"/>
            </w:pPr>
            <w:r>
              <w:t xml:space="preserve">Predicted (top 27)</w:t>
            </w:r>
          </w:p>
        </w:tc>
        <w:tc>
          <w:tcPr/>
          <w:p>
            <w:pPr>
              <w:pStyle w:val="Compact"/>
              <w:jc w:val="center"/>
            </w:pPr>
            <w:r>
              <w:t xml:space="preserve">−0.250*** (0.073)</w:t>
            </w:r>
          </w:p>
        </w:tc>
        <w:tc>
          <w:tcPr/>
          <w:p>
            <w:pPr>
              <w:pStyle w:val="Compact"/>
              <w:jc w:val="center"/>
            </w:pPr>
            <w:r>
              <w:t xml:space="preserve">−0.595*** (0.089)</w:t>
            </w:r>
          </w:p>
        </w:tc>
        <w:tc>
          <w:tcPr/>
          <w:p>
            <w:pPr>
              <w:pStyle w:val="Compact"/>
              <w:jc w:val="center"/>
            </w:pPr>
            <w:r>
              <w:t xml:space="preserve">−0.741*** (0.120)</w:t>
            </w:r>
          </w:p>
        </w:tc>
        <w:tc>
          <w:tcPr/>
          <w:p>
            <w:pPr>
              <w:pStyle w:val="Compact"/>
              <w:jc w:val="center"/>
            </w:pPr>
            <w:r>
              <w:t xml:space="preserve">0.607*** (0.144)</w:t>
            </w:r>
          </w:p>
        </w:tc>
      </w:tr>
    </w:tbl>
    <w:p>
      <w:pPr>
        <w:pStyle w:val="BodyText"/>
      </w:pPr>
      <w:r>
        <w:rPr>
          <w:iCs/>
          <w:i/>
        </w:rPr>
        <w:t xml:space="preserve">Notes</w:t>
      </w:r>
      <w:r>
        <w:t xml:space="preserve">: Log Amihud unless stated; the split rows come from one regression with never-named, never-included controls, and other details are as in Table 2. Source: Authors’ calculations.</w:t>
      </w:r>
    </w:p>
    <w:p>
      <w:pPr>
        <w:pStyle w:val="BodyText"/>
      </w:pPr>
      <w:r>
        <w:t xml:space="preserve">Figure 1 plots the coefficients</w:t>
      </w:r>
      <w:r>
        <w:t xml:space="preserve"> </w:t>
      </w:r>
      <m:oMath>
        <m:sSub>
          <m:e>
            <m:r>
              <m:t>δ</m:t>
            </m:r>
          </m:e>
          <m:sub>
            <m:r>
              <m:t>m</m:t>
            </m:r>
          </m:sub>
        </m:sSub>
      </m:oMath>
      <w:r>
        <w:t xml:space="preserve"> </w:t>
      </w:r>
      <w:r>
        <w:t xml:space="preserve">of Eq. (8). Before the announcement, the constituent coefficients show no downward drift and are positive in several months, significantly so three and two months before it (0.33 and 0.23). Because these deviations are precisely estimated, the joint pre-trend test rejects in the full sample (</w:t>
      </w:r>
      <w:r>
        <w:rPr>
          <w:iCs/>
          <w:i/>
        </w:rPr>
        <w:t xml:space="preserve">F</w:t>
      </w:r>
      <w:r>
        <w:t xml:space="preserve"> </w:t>
      </w:r>
      <w:r>
        <w:t xml:space="preserve">= 6.66,</w:t>
      </w:r>
      <w:r>
        <w:t xml:space="preserve"> </w:t>
      </w:r>
      <w:r>
        <w:rPr>
          <w:iCs/>
          <w:i/>
        </w:rPr>
        <w:t xml:space="preserve">p</w:t>
      </w:r>
      <w:r>
        <w:t xml:space="preserve"> </w:t>
      </w:r>
      <w:r>
        <w:t xml:space="preserve">&lt; 0.001) but not at 5% in the matched sample (</w:t>
      </w:r>
      <w:r>
        <w:rPr>
          <w:iCs/>
          <w:i/>
        </w:rPr>
        <w:t xml:space="preserve">F</w:t>
      </w:r>
      <w:r>
        <w:t xml:space="preserve"> </w:t>
      </w:r>
      <w:r>
        <w:t xml:space="preserve">= 1.72,</w:t>
      </w:r>
      <w:r>
        <w:t xml:space="preserve"> </w:t>
      </w:r>
      <w:r>
        <w:rPr>
          <w:iCs/>
          <w:i/>
        </w:rPr>
        <w:t xml:space="preserve">p</w:t>
      </w:r>
      <w:r>
        <w:t xml:space="preserve"> </w:t>
      </w:r>
      <w:r>
        <w:t xml:space="preserve">= 0.092), with stock clusters minus one as denominator degrees of freedom. The coefficient turns negative in October 2025 (−0.23), steps down after the confirmation (−0.62 in April 2026) and reaches −1.12 in August 2026. The ITT group follows the same shape (Figure 2), with coefficients of 0.26 and 0.22 three and two months before the announcement (joint test</w:t>
      </w:r>
      <w:r>
        <w:t xml:space="preserve"> </w:t>
      </w:r>
      <w:r>
        <w:rPr>
          <w:iCs/>
          <w:i/>
        </w:rPr>
        <w:t xml:space="preserve">F</w:t>
      </w:r>
      <w:r>
        <w:t xml:space="preserve"> </w:t>
      </w:r>
      <w:r>
        <w:t xml:space="preserve">= 7.59,</w:t>
      </w:r>
      <w:r>
        <w:t xml:space="preserve"> </w:t>
      </w:r>
      <w:r>
        <w:rPr>
          <w:iCs/>
          <w:i/>
        </w:rPr>
        <w:t xml:space="preserve">p</w:t>
      </w:r>
      <w:r>
        <w:t xml:space="preserve"> </w:t>
      </w:r>
      <w:r>
        <w:t xml:space="preserve">&lt; 0.001) and a decline from −0.22 in October 2025 to −0.78 in August 2026. Section 5.1 shows that the estimates do not depend on these months, and Section 5.2 discusses the named-but-excluded stocks.</w:t>
      </w:r>
    </w:p>
    <w:p>
      <w:pPr>
        <w:pStyle w:val="BodyText"/>
      </w:pPr>
      <w:r>
        <w:rPr>
          <w:bCs/>
          <w:b/>
        </w:rPr>
        <w:t xml:space="preserve">Figure 1. Monthly event-study coefficients for FTSE constituents and named-but-excluded stocks</w:t>
      </w:r>
    </w:p>
    <w:p>
      <w:pPr>
        <w:pStyle w:val="BodyText"/>
      </w:pPr>
      <w:r>
        <w:drawing>
          <wp:inline>
            <wp:extent cx="5334000" cy="5689600"/>
            <wp:effectExtent b="0" l="0" r="0" t="0"/>
            <wp:docPr descr="" title="" id="33" name="Picture"/>
            <a:graphic>
              <a:graphicData uri="http://schemas.openxmlformats.org/drawingml/2006/picture">
                <pic:pic>
                  <pic:nvPicPr>
                    <pic:cNvPr descr="Figure_1.png" id="34" name="Picture"/>
                    <pic:cNvPicPr>
                      <a:picLocks noChangeArrowheads="1" noChangeAspect="1"/>
                    </pic:cNvPicPr>
                  </pic:nvPicPr>
                  <pic:blipFill>
                    <a:blip r:embed="rId32"/>
                    <a:stretch>
                      <a:fillRect/>
                    </a:stretch>
                  </pic:blipFill>
                  <pic:spPr bwMode="auto">
                    <a:xfrm>
                      <a:off x="0" y="0"/>
                      <a:ext cx="5334000" cy="5689600"/>
                    </a:xfrm>
                    <a:prstGeom prst="rect">
                      <a:avLst/>
                    </a:prstGeom>
                    <a:noFill/>
                    <a:ln w="9525">
                      <a:noFill/>
                      <a:headEnd/>
                      <a:tailEnd/>
                    </a:ln>
                  </pic:spPr>
                </pic:pic>
              </a:graphicData>
            </a:graphic>
          </wp:inline>
        </w:drawing>
      </w:r>
    </w:p>
    <w:p>
      <w:pPr>
        <w:pStyle w:val="BodyText"/>
      </w:pPr>
      <w:r>
        <w:rPr>
          <w:iCs/>
          <w:i/>
        </w:rPr>
        <w:t xml:space="preserve">Note</w:t>
      </w:r>
      <w:r>
        <w:t xml:space="preserve">: Coefficients</w:t>
      </w:r>
      <w:r>
        <w:t xml:space="preserve"> </w:t>
      </w:r>
      <m:oMath>
        <m:sSub>
          <m:e>
            <m:r>
              <m:t>δ</m:t>
            </m:r>
          </m:e>
          <m:sub>
            <m:r>
              <m:t>m</m:t>
            </m:r>
          </m:sub>
        </m:sSub>
      </m:oMath>
      <w:r>
        <w:t xml:space="preserve"> </w:t>
      </w:r>
      <w:r>
        <w:t xml:space="preserve">of Eq. (8), estimated jointly with the same month interactions for named-but-excluded stocks, with 95% confidence intervals (panel A: log Amihud; panel B: log trading value); dashed lines mark the announcement, confirmation and list months. Source: Authors’ calculations.</w:t>
      </w:r>
    </w:p>
    <w:p>
      <w:pPr>
        <w:pStyle w:val="BodyText"/>
      </w:pPr>
      <w:r>
        <w:rPr>
          <w:bCs/>
          <w:b/>
        </w:rPr>
        <w:t xml:space="preserve">Figure 2. Monthly event-study coefficients for the intention-to-treat group</w:t>
      </w:r>
    </w:p>
    <w:p>
      <w:pPr>
        <w:pStyle w:val="BodyText"/>
      </w:pPr>
      <w:r>
        <w:drawing>
          <wp:inline>
            <wp:extent cx="5334000" cy="3271520"/>
            <wp:effectExtent b="0" l="0" r="0" t="0"/>
            <wp:docPr descr="" title="" id="36" name="Picture"/>
            <a:graphic>
              <a:graphicData uri="http://schemas.openxmlformats.org/drawingml/2006/picture">
                <pic:pic>
                  <pic:nvPicPr>
                    <pic:cNvPr descr="Figure_2.png" id="37" name="Picture"/>
                    <pic:cNvPicPr>
                      <a:picLocks noChangeArrowheads="1" noChangeAspect="1"/>
                    </pic:cNvPicPr>
                  </pic:nvPicPr>
                  <pic:blipFill>
                    <a:blip r:embed="rId35"/>
                    <a:stretch>
                      <a:fillRect/>
                    </a:stretch>
                  </pic:blipFill>
                  <pic:spPr bwMode="auto">
                    <a:xfrm>
                      <a:off x="0" y="0"/>
                      <a:ext cx="5334000" cy="3271520"/>
                    </a:xfrm>
                    <a:prstGeom prst="rect">
                      <a:avLst/>
                    </a:prstGeom>
                    <a:noFill/>
                    <a:ln w="9525">
                      <a:noFill/>
                      <a:headEnd/>
                      <a:tailEnd/>
                    </a:ln>
                  </pic:spPr>
                </pic:pic>
              </a:graphicData>
            </a:graphic>
          </wp:inline>
        </w:drawing>
      </w:r>
    </w:p>
    <w:p>
      <w:pPr>
        <w:pStyle w:val="BodyText"/>
      </w:pPr>
      <w:r>
        <w:rPr>
          <w:iCs/>
          <w:i/>
        </w:rPr>
        <w:t xml:space="preserve">Note</w:t>
      </w:r>
      <w:r>
        <w:t xml:space="preserve">: Eq. (8) for log Amihud with</w:t>
      </w:r>
      <w:r>
        <w:t xml:space="preserve"> </w:t>
      </w:r>
      <m:oMath>
        <m:sSub>
          <m:e>
            <m:r>
              <m:rPr>
                <m:sty m:val="p"/>
              </m:rPr>
              <m:t>I</m:t>
            </m:r>
            <m:r>
              <m:rPr>
                <m:sty m:val="p"/>
              </m:rPr>
              <m:t>T</m:t>
            </m:r>
            <m:r>
              <m:rPr>
                <m:sty m:val="p"/>
              </m:rPr>
              <m:t>T</m:t>
            </m:r>
          </m:e>
          <m:sub>
            <m:r>
              <m:t>i</m:t>
            </m:r>
          </m:sub>
        </m:sSub>
      </m:oMath>
      <w:r>
        <w:t xml:space="preserve"> </w:t>
      </w:r>
      <w:r>
        <w:t xml:space="preserve">in place of</w:t>
      </w:r>
      <w:r>
        <w:t xml:space="preserve"> </w:t>
      </w:r>
      <m:oMath>
        <m:sSub>
          <m:e>
            <m:r>
              <m:rPr>
                <m:sty m:val="p"/>
              </m:rPr>
              <m:t>C</m:t>
            </m:r>
            <m:r>
              <m:rPr>
                <m:sty m:val="p"/>
              </m:rPr>
              <m:t>o</m:t>
            </m:r>
            <m:r>
              <m:rPr>
                <m:sty m:val="p"/>
              </m:rPr>
              <m:t>n</m:t>
            </m:r>
            <m:r>
              <m:rPr>
                <m:sty m:val="p"/>
              </m:rPr>
              <m:t>s</m:t>
            </m:r>
            <m:r>
              <m:rPr>
                <m:sty m:val="p"/>
              </m:rPr>
              <m:t>t</m:t>
            </m:r>
            <m:r>
              <m:rPr>
                <m:sty m:val="p"/>
              </m:rPr>
              <m:t>i</m:t>
            </m:r>
            <m:r>
              <m:rPr>
                <m:sty m:val="p"/>
              </m:rPr>
              <m:t>t</m:t>
            </m:r>
            <m:r>
              <m:rPr>
                <m:sty m:val="p"/>
              </m:rPr>
              <m:t>u</m:t>
            </m:r>
            <m:r>
              <m:rPr>
                <m:sty m:val="p"/>
              </m:rPr>
              <m:t>e</m:t>
            </m:r>
            <m:r>
              <m:rPr>
                <m:sty m:val="p"/>
              </m:rPr>
              <m:t>n</m:t>
            </m:r>
            <m:r>
              <m:rPr>
                <m:sty m:val="p"/>
              </m:rPr>
              <m:t>t</m:t>
            </m:r>
          </m:e>
          <m:sub>
            <m:r>
              <m:t>i</m:t>
            </m:r>
          </m:sub>
        </m:sSub>
      </m:oMath>
      <w:r>
        <w:t xml:space="preserve">, never-named, never-included controls and 95% confidence intervals; dashed lines as in Figure 1. Source: Authors’ calculations.</w:t>
      </w:r>
    </w:p>
    <w:p>
      <w:pPr>
        <w:pStyle w:val="BodyText"/>
      </w:pPr>
      <w:r>
        <w:t xml:space="preserve">The trading value of constituents rose by 0.68, 1.03 and 1.19 log points (Table 2, column 2) but was already rising before October 2025 (Figure 1, panel B); given the trend-adjusted estimates in Section 5.1, we describe the trading-value result as an association.</w:t>
      </w:r>
    </w:p>
    <w:p>
      <w:pPr>
        <w:pStyle w:val="BodyText"/>
      </w:pPr>
      <w:r>
        <w:t xml:space="preserve">Randomization inference confirms that the declines exceed those of large HOSE stocks in general: none of 500 pseudo-groups of 24 stocks drawn from the 85 largest never-named stocks produced a coefficient as negative as the observed one in any window (one-sided</w:t>
      </w:r>
      <w:r>
        <w:t xml:space="preserve"> </w:t>
      </w:r>
      <w:r>
        <w:rPr>
          <w:iCs/>
          <w:i/>
        </w:rPr>
        <w:t xml:space="preserve">p</w:t>
      </w:r>
      <w:r>
        <w:t xml:space="preserve"> </w:t>
      </w:r>
      <w:r>
        <w:t xml:space="preserve">&lt; 0.002). The placebo distribution centres at −0.21 in the list window, less than one fifth of the constituent effect.</w:t>
      </w:r>
    </w:p>
    <w:bookmarkEnd w:id="38"/>
    <w:bookmarkStart w:id="39" w:name="X2dc5148c5e292cedb3b57c9581c659f24a04a34"/>
    <w:p>
      <w:pPr>
        <w:pStyle w:val="Heading3"/>
      </w:pPr>
      <w:r>
        <w:t xml:space="preserve">4.2 Prices moved at the announcement and the confirmation</w:t>
      </w:r>
    </w:p>
    <w:p>
      <w:pPr>
        <w:pStyle w:val="FirstParagraph"/>
      </w:pPr>
      <w:r>
        <w:t xml:space="preserve">Table 4 reports CARs with portfolio</w:t>
      </w:r>
      <w:r>
        <w:t xml:space="preserve"> </w:t>
      </w:r>
      <w:r>
        <w:rPr>
          <w:iCs/>
          <w:i/>
        </w:rPr>
        <w:t xml:space="preserve">t</w:t>
      </w:r>
      <w:r>
        <w:t xml:space="preserve">-statistics for every pre-specified window. Over days −1 to +5 around the announcement, constituents earned 3.9% to 7.8% depending on the benchmark (</w:t>
      </w:r>
      <w:r>
        <w:rPr>
          <w:iCs/>
          <w:i/>
        </w:rPr>
        <w:t xml:space="preserve">t</w:t>
      </w:r>
      <w:r>
        <w:t xml:space="preserve"> </w:t>
      </w:r>
      <w:r>
        <w:t xml:space="preserve">between 2.19 and 3.46), and over days −1 to +1 around the confirmation, 2.7% to 4.5% (</w:t>
      </w:r>
      <w:r>
        <w:rPr>
          <w:iCs/>
          <w:i/>
        </w:rPr>
        <w:t xml:space="preserve">t</w:t>
      </w:r>
      <w:r>
        <w:t xml:space="preserve"> </w:t>
      </w:r>
      <w:r>
        <w:t xml:space="preserve">between 2.22 and 2.93); these are the only reliable disclosure-window CARs. The three-day announcement CAR is significant under one benchmark only, so the response built up over the week. Around the constituent list, the three-day CARs (1.5% to 2.7%) are never significant and the [−1,+5] CARs (2.0% to 4.4%) are significant under two benchmarks. The data end two sessions after the effective date, so only its [−1,+1] window exists; that CAR (−0.5% to 0.9%) is never significant. Cross-sectional</w:t>
      </w:r>
      <w:r>
        <w:t xml:space="preserve"> </w:t>
      </w:r>
      <w:r>
        <w:rPr>
          <w:iCs/>
          <w:i/>
        </w:rPr>
        <w:t xml:space="preserve">t</w:t>
      </w:r>
      <w:r>
        <w:t xml:space="preserve">-statistics, which ignore the common event date, are up to 2.9 times larger (6.48 against 2.27 for the three-day announcement CAR). The announcement-week response parallels the short-term excess returns that Dong et al. (2023) report around the announcement of the China A-share inclusion.</w:t>
      </w:r>
    </w:p>
    <w:p>
      <w:pPr>
        <w:pStyle w:val="BodyText"/>
      </w:pPr>
      <w:r>
        <w:rPr>
          <w:bCs/>
          <w:b/>
        </w:rPr>
        <w:t xml:space="preserve">Table 4. Cumulative abnormal returns around FTSE disclosures</w:t>
      </w:r>
    </w:p>
    <w:p>
      <w:pPr>
        <w:pStyle w:val="BodyText"/>
      </w:pPr>
      <w:r>
        <w:t xml:space="preserve">Panel A. Constituents (24)</w:t>
      </w:r>
    </w:p>
    <w:tbl>
      <w:tblPr>
        <w:tblStyle w:val="Table"/>
        <w:tblW w:type="pct" w:w="5000"/>
        <w:tblLook w:firstRow="1" w:lastRow="0" w:firstColumn="0" w:lastColumn="0" w:noHBand="0" w:noVBand="0" w:val="0020"/>
        <w:jc w:val="start"/>
      </w:tblPr>
      <w:tblGrid>
        <w:gridCol w:w="1092"/>
        <w:gridCol w:w="1365"/>
        <w:gridCol w:w="1365"/>
        <w:gridCol w:w="1365"/>
        <w:gridCol w:w="1365"/>
        <w:gridCol w:w="1365"/>
      </w:tblGrid>
      <w:tr>
        <w:trPr>
          <w:tblHeader w:val="true"/>
        </w:trPr>
        <w:tc>
          <w:tcPr/>
          <w:p>
            <w:pPr>
              <w:pStyle w:val="Compact"/>
              <w:jc w:val="left"/>
            </w:pPr>
            <w:r>
              <w:t xml:space="preserve">Event</w:t>
            </w:r>
          </w:p>
        </w:tc>
        <w:tc>
          <w:tcPr/>
          <w:p>
            <w:pPr>
              <w:pStyle w:val="Compact"/>
              <w:jc w:val="center"/>
            </w:pPr>
            <w:r>
              <w:t xml:space="preserve">Window</w:t>
            </w:r>
          </w:p>
        </w:tc>
        <w:tc>
          <w:tcPr/>
          <w:p>
            <w:pPr>
              <w:pStyle w:val="Compact"/>
              <w:jc w:val="center"/>
            </w:pPr>
            <w:r>
              <w:t xml:space="preserve">Never-named</w:t>
            </w:r>
          </w:p>
        </w:tc>
        <w:tc>
          <w:tcPr/>
          <w:p>
            <w:pPr>
              <w:pStyle w:val="Compact"/>
              <w:jc w:val="center"/>
            </w:pPr>
            <w:r>
              <w:t xml:space="preserve">Matched</w:t>
            </w:r>
          </w:p>
        </w:tc>
        <w:tc>
          <w:tcPr/>
          <w:p>
            <w:pPr>
              <w:pStyle w:val="Compact"/>
              <w:jc w:val="center"/>
            </w:pPr>
            <w:r>
              <w:t xml:space="preserve">Large never-named</w:t>
            </w:r>
          </w:p>
        </w:tc>
        <w:tc>
          <w:tcPr/>
          <w:p>
            <w:pPr>
              <w:pStyle w:val="Compact"/>
              <w:jc w:val="center"/>
            </w:pPr>
            <w:r>
              <w:t xml:space="preserve">Market model</w:t>
            </w:r>
          </w:p>
        </w:tc>
      </w:tr>
      <w:tr>
        <w:tc>
          <w:tcPr/>
          <w:p>
            <w:pPr>
              <w:pStyle w:val="Compact"/>
              <w:jc w:val="left"/>
            </w:pPr>
            <w:r>
              <w:t xml:space="preserve">Announcement (7 Oct 2025)</w:t>
            </w:r>
          </w:p>
        </w:tc>
        <w:tc>
          <w:tcPr/>
          <w:p>
            <w:pPr>
              <w:pStyle w:val="Compact"/>
              <w:jc w:val="center"/>
            </w:pPr>
            <w:r>
              <w:t xml:space="preserve">[−1,+1]</w:t>
            </w:r>
          </w:p>
        </w:tc>
        <w:tc>
          <w:tcPr/>
          <w:p>
            <w:pPr>
              <w:pStyle w:val="Compact"/>
              <w:jc w:val="center"/>
            </w:pPr>
            <w:r>
              <w:t xml:space="preserve">3.3% (2.27)</w:t>
            </w:r>
          </w:p>
        </w:tc>
        <w:tc>
          <w:tcPr/>
          <w:p>
            <w:pPr>
              <w:pStyle w:val="Compact"/>
              <w:jc w:val="center"/>
            </w:pPr>
            <w:r>
              <w:t xml:space="preserve">1.7% (1.43)</w:t>
            </w:r>
          </w:p>
        </w:tc>
        <w:tc>
          <w:tcPr/>
          <w:p>
            <w:pPr>
              <w:pStyle w:val="Compact"/>
              <w:jc w:val="center"/>
            </w:pPr>
            <w:r>
              <w:t xml:space="preserve">2.3% (1.54)</w:t>
            </w:r>
          </w:p>
        </w:tc>
        <w:tc>
          <w:tcPr/>
          <w:p>
            <w:pPr>
              <w:pStyle w:val="Compact"/>
              <w:jc w:val="center"/>
            </w:pPr>
            <w:r>
              <w:t xml:space="preserve">2.6% (1.85)</w:t>
            </w:r>
          </w:p>
        </w:tc>
      </w:tr>
      <w:tr>
        <w:tc>
          <w:tcPr/>
          <w:p>
            <w:pPr>
              <w:pStyle w:val="Compact"/>
            </w:pPr>
          </w:p>
        </w:tc>
        <w:tc>
          <w:tcPr/>
          <w:p>
            <w:pPr>
              <w:pStyle w:val="Compact"/>
              <w:jc w:val="center"/>
            </w:pPr>
            <w:r>
              <w:t xml:space="preserve">[−1,+5]</w:t>
            </w:r>
          </w:p>
        </w:tc>
        <w:tc>
          <w:tcPr/>
          <w:p>
            <w:pPr>
              <w:pStyle w:val="Compact"/>
              <w:jc w:val="center"/>
            </w:pPr>
            <w:r>
              <w:t xml:space="preserve">7.8% (3.46)</w:t>
            </w:r>
          </w:p>
        </w:tc>
        <w:tc>
          <w:tcPr/>
          <w:p>
            <w:pPr>
              <w:pStyle w:val="Compact"/>
              <w:jc w:val="center"/>
            </w:pPr>
            <w:r>
              <w:t xml:space="preserve">3.9% (2.19)</w:t>
            </w:r>
          </w:p>
        </w:tc>
        <w:tc>
          <w:tcPr/>
          <w:p>
            <w:pPr>
              <w:pStyle w:val="Compact"/>
              <w:jc w:val="center"/>
            </w:pPr>
            <w:r>
              <w:t xml:space="preserve">6.3% (2.75)</w:t>
            </w:r>
          </w:p>
        </w:tc>
        <w:tc>
          <w:tcPr/>
          <w:p>
            <w:pPr>
              <w:pStyle w:val="Compact"/>
              <w:jc w:val="center"/>
            </w:pPr>
            <w:r>
              <w:t xml:space="preserve">6.6% (3.04)</w:t>
            </w:r>
          </w:p>
        </w:tc>
      </w:tr>
      <w:tr>
        <w:tc>
          <w:tcPr/>
          <w:p>
            <w:pPr>
              <w:pStyle w:val="Compact"/>
            </w:pPr>
          </w:p>
        </w:tc>
        <w:tc>
          <w:tcPr/>
          <w:p>
            <w:pPr>
              <w:pStyle w:val="Compact"/>
              <w:jc w:val="center"/>
            </w:pPr>
            <w:r>
              <w:t xml:space="preserve">[0,+20]</w:t>
            </w:r>
          </w:p>
        </w:tc>
        <w:tc>
          <w:tcPr/>
          <w:p>
            <w:pPr>
              <w:pStyle w:val="Compact"/>
              <w:jc w:val="center"/>
            </w:pPr>
            <w:r>
              <w:t xml:space="preserve">−2.4% (−0.61)</w:t>
            </w:r>
          </w:p>
        </w:tc>
        <w:tc>
          <w:tcPr/>
          <w:p>
            <w:pPr>
              <w:pStyle w:val="Compact"/>
              <w:jc w:val="center"/>
            </w:pPr>
            <w:r>
              <w:t xml:space="preserve">1.6% (0.51)</w:t>
            </w:r>
          </w:p>
        </w:tc>
        <w:tc>
          <w:tcPr/>
          <w:p>
            <w:pPr>
              <w:pStyle w:val="Compact"/>
              <w:jc w:val="center"/>
            </w:pPr>
            <w:r>
              <w:t xml:space="preserve">−1.4% (−0.35)</w:t>
            </w:r>
          </w:p>
        </w:tc>
        <w:tc>
          <w:tcPr/>
          <w:p>
            <w:pPr>
              <w:pStyle w:val="Compact"/>
              <w:jc w:val="center"/>
            </w:pPr>
            <w:r>
              <w:t xml:space="preserve">−5.5% (−1.47)</w:t>
            </w:r>
          </w:p>
        </w:tc>
      </w:tr>
      <w:tr>
        <w:tc>
          <w:tcPr/>
          <w:p>
            <w:pPr>
              <w:pStyle w:val="Compact"/>
              <w:jc w:val="left"/>
            </w:pPr>
            <w:r>
              <w:t xml:space="preserve">Confirmation (7 Apr 2026)</w:t>
            </w:r>
          </w:p>
        </w:tc>
        <w:tc>
          <w:tcPr/>
          <w:p>
            <w:pPr>
              <w:pStyle w:val="Compact"/>
              <w:jc w:val="center"/>
            </w:pPr>
            <w:r>
              <w:t xml:space="preserve">[−1,+1]</w:t>
            </w:r>
          </w:p>
        </w:tc>
        <w:tc>
          <w:tcPr/>
          <w:p>
            <w:pPr>
              <w:pStyle w:val="Compact"/>
              <w:jc w:val="center"/>
            </w:pPr>
            <w:r>
              <w:t xml:space="preserve">4.5% (2.93)</w:t>
            </w:r>
          </w:p>
        </w:tc>
        <w:tc>
          <w:tcPr/>
          <w:p>
            <w:pPr>
              <w:pStyle w:val="Compact"/>
              <w:jc w:val="center"/>
            </w:pPr>
            <w:r>
              <w:t xml:space="preserve">2.7% (2.22)</w:t>
            </w:r>
          </w:p>
        </w:tc>
        <w:tc>
          <w:tcPr/>
          <w:p>
            <w:pPr>
              <w:pStyle w:val="Compact"/>
              <w:jc w:val="center"/>
            </w:pPr>
            <w:r>
              <w:t xml:space="preserve">3.6% (2.73)</w:t>
            </w:r>
          </w:p>
        </w:tc>
        <w:tc>
          <w:tcPr/>
          <w:p>
            <w:pPr>
              <w:pStyle w:val="Compact"/>
              <w:jc w:val="center"/>
            </w:pPr>
            <w:r>
              <w:t xml:space="preserve">3.8% (2.73)</w:t>
            </w:r>
          </w:p>
        </w:tc>
      </w:tr>
      <w:tr>
        <w:tc>
          <w:tcPr/>
          <w:p>
            <w:pPr>
              <w:pStyle w:val="Compact"/>
            </w:pPr>
          </w:p>
        </w:tc>
        <w:tc>
          <w:tcPr/>
          <w:p>
            <w:pPr>
              <w:pStyle w:val="Compact"/>
              <w:jc w:val="center"/>
            </w:pPr>
            <w:r>
              <w:t xml:space="preserve">[−1,+5]</w:t>
            </w:r>
          </w:p>
        </w:tc>
        <w:tc>
          <w:tcPr/>
          <w:p>
            <w:pPr>
              <w:pStyle w:val="Compact"/>
              <w:jc w:val="center"/>
            </w:pPr>
            <w:r>
              <w:t xml:space="preserve">4.7% (2.00)</w:t>
            </w:r>
          </w:p>
        </w:tc>
        <w:tc>
          <w:tcPr/>
          <w:p>
            <w:pPr>
              <w:pStyle w:val="Compact"/>
              <w:jc w:val="center"/>
            </w:pPr>
            <w:r>
              <w:t xml:space="preserve">2.2% (1.21)</w:t>
            </w:r>
          </w:p>
        </w:tc>
        <w:tc>
          <w:tcPr/>
          <w:p>
            <w:pPr>
              <w:pStyle w:val="Compact"/>
              <w:jc w:val="center"/>
            </w:pPr>
            <w:r>
              <w:t xml:space="preserve">3.5% (1.75)</w:t>
            </w:r>
          </w:p>
        </w:tc>
        <w:tc>
          <w:tcPr/>
          <w:p>
            <w:pPr>
              <w:pStyle w:val="Compact"/>
              <w:jc w:val="center"/>
            </w:pPr>
            <w:r>
              <w:t xml:space="preserve">3.6% (1.72)</w:t>
            </w:r>
          </w:p>
        </w:tc>
      </w:tr>
      <w:tr>
        <w:tc>
          <w:tcPr/>
          <w:p>
            <w:pPr>
              <w:pStyle w:val="Compact"/>
            </w:pPr>
          </w:p>
        </w:tc>
        <w:tc>
          <w:tcPr/>
          <w:p>
            <w:pPr>
              <w:pStyle w:val="Compact"/>
              <w:jc w:val="center"/>
            </w:pPr>
            <w:r>
              <w:t xml:space="preserve">[0,+20]</w:t>
            </w:r>
          </w:p>
        </w:tc>
        <w:tc>
          <w:tcPr/>
          <w:p>
            <w:pPr>
              <w:pStyle w:val="Compact"/>
              <w:jc w:val="center"/>
            </w:pPr>
            <w:r>
              <w:t xml:space="preserve">10.0% (2.44)</w:t>
            </w:r>
          </w:p>
        </w:tc>
        <w:tc>
          <w:tcPr/>
          <w:p>
            <w:pPr>
              <w:pStyle w:val="Compact"/>
              <w:jc w:val="center"/>
            </w:pPr>
            <w:r>
              <w:t xml:space="preserve">6.2% (1.94)</w:t>
            </w:r>
          </w:p>
        </w:tc>
        <w:tc>
          <w:tcPr/>
          <w:p>
            <w:pPr>
              <w:pStyle w:val="Compact"/>
              <w:jc w:val="center"/>
            </w:pPr>
            <w:r>
              <w:t xml:space="preserve">10.6% (3.03)</w:t>
            </w:r>
          </w:p>
        </w:tc>
        <w:tc>
          <w:tcPr/>
          <w:p>
            <w:pPr>
              <w:pStyle w:val="Compact"/>
              <w:jc w:val="center"/>
            </w:pPr>
            <w:r>
              <w:t xml:space="preserve">8.4% (2.30)</w:t>
            </w:r>
          </w:p>
        </w:tc>
      </w:tr>
      <w:tr>
        <w:tc>
          <w:tcPr/>
          <w:p>
            <w:pPr>
              <w:pStyle w:val="Compact"/>
              <w:jc w:val="left"/>
            </w:pPr>
            <w:r>
              <w:t xml:space="preserve">Constituent list (21 Aug 2026)</w:t>
            </w:r>
          </w:p>
        </w:tc>
        <w:tc>
          <w:tcPr/>
          <w:p>
            <w:pPr>
              <w:pStyle w:val="Compact"/>
              <w:jc w:val="center"/>
            </w:pPr>
            <w:r>
              <w:t xml:space="preserve">[−1,+1]</w:t>
            </w:r>
          </w:p>
        </w:tc>
        <w:tc>
          <w:tcPr/>
          <w:p>
            <w:pPr>
              <w:pStyle w:val="Compact"/>
              <w:jc w:val="center"/>
            </w:pPr>
            <w:r>
              <w:t xml:space="preserve">2.7% (1.86)</w:t>
            </w:r>
          </w:p>
        </w:tc>
        <w:tc>
          <w:tcPr/>
          <w:p>
            <w:pPr>
              <w:pStyle w:val="Compact"/>
              <w:jc w:val="center"/>
            </w:pPr>
            <w:r>
              <w:t xml:space="preserve">1.5% (1.31)</w:t>
            </w:r>
          </w:p>
        </w:tc>
        <w:tc>
          <w:tcPr/>
          <w:p>
            <w:pPr>
              <w:pStyle w:val="Compact"/>
              <w:jc w:val="center"/>
            </w:pPr>
            <w:r>
              <w:t xml:space="preserve">1.8% (1.50)</w:t>
            </w:r>
          </w:p>
        </w:tc>
        <w:tc>
          <w:tcPr/>
          <w:p>
            <w:pPr>
              <w:pStyle w:val="Compact"/>
              <w:jc w:val="center"/>
            </w:pPr>
            <w:r>
              <w:t xml:space="preserve">1.5% (1.25)</w:t>
            </w:r>
          </w:p>
        </w:tc>
      </w:tr>
      <w:tr>
        <w:tc>
          <w:tcPr/>
          <w:p>
            <w:pPr>
              <w:pStyle w:val="Compact"/>
            </w:pPr>
          </w:p>
        </w:tc>
        <w:tc>
          <w:tcPr/>
          <w:p>
            <w:pPr>
              <w:pStyle w:val="Compact"/>
              <w:jc w:val="center"/>
            </w:pPr>
            <w:r>
              <w:t xml:space="preserve">[−1,+5]</w:t>
            </w:r>
          </w:p>
        </w:tc>
        <w:tc>
          <w:tcPr/>
          <w:p>
            <w:pPr>
              <w:pStyle w:val="Compact"/>
              <w:jc w:val="center"/>
            </w:pPr>
            <w:r>
              <w:t xml:space="preserve">4.4% (2.04)</w:t>
            </w:r>
          </w:p>
        </w:tc>
        <w:tc>
          <w:tcPr/>
          <w:p>
            <w:pPr>
              <w:pStyle w:val="Compact"/>
              <w:jc w:val="center"/>
            </w:pPr>
            <w:r>
              <w:t xml:space="preserve">2.0% (1.12)</w:t>
            </w:r>
          </w:p>
        </w:tc>
        <w:tc>
          <w:tcPr/>
          <w:p>
            <w:pPr>
              <w:pStyle w:val="Compact"/>
              <w:jc w:val="center"/>
            </w:pPr>
            <w:r>
              <w:t xml:space="preserve">3.9% (2.17)</w:t>
            </w:r>
          </w:p>
        </w:tc>
        <w:tc>
          <w:tcPr/>
          <w:p>
            <w:pPr>
              <w:pStyle w:val="Compact"/>
              <w:jc w:val="center"/>
            </w:pPr>
            <w:r>
              <w:t xml:space="preserve">3.1% (1.64)</w:t>
            </w:r>
          </w:p>
        </w:tc>
      </w:tr>
      <w:tr>
        <w:tc>
          <w:tcPr/>
          <w:p>
            <w:pPr>
              <w:pStyle w:val="Compact"/>
            </w:pPr>
          </w:p>
        </w:tc>
        <w:tc>
          <w:tcPr/>
          <w:p>
            <w:pPr>
              <w:pStyle w:val="Compact"/>
              <w:jc w:val="center"/>
            </w:pPr>
            <w:r>
              <w:t xml:space="preserve">[0,+20]</w:t>
            </w:r>
          </w:p>
        </w:tc>
        <w:tc>
          <w:tcPr/>
          <w:p>
            <w:pPr>
              <w:pStyle w:val="Compact"/>
              <w:jc w:val="center"/>
            </w:pPr>
            <w:r>
              <w:t xml:space="preserve">4.6% (1.21)</w:t>
            </w:r>
          </w:p>
        </w:tc>
        <w:tc>
          <w:tcPr/>
          <w:p>
            <w:pPr>
              <w:pStyle w:val="Compact"/>
              <w:jc w:val="center"/>
            </w:pPr>
            <w:r>
              <w:t xml:space="preserve">3.7% (1.21)</w:t>
            </w:r>
          </w:p>
        </w:tc>
        <w:tc>
          <w:tcPr/>
          <w:p>
            <w:pPr>
              <w:pStyle w:val="Compact"/>
              <w:jc w:val="center"/>
            </w:pPr>
            <w:r>
              <w:t xml:space="preserve">5.2% (1.65)</w:t>
            </w:r>
          </w:p>
        </w:tc>
        <w:tc>
          <w:tcPr/>
          <w:p>
            <w:pPr>
              <w:pStyle w:val="Compact"/>
              <w:jc w:val="center"/>
            </w:pPr>
            <w:r>
              <w:t xml:space="preserve">3.3% (1.00)</w:t>
            </w:r>
          </w:p>
        </w:tc>
      </w:tr>
      <w:tr>
        <w:tc>
          <w:tcPr/>
          <w:p>
            <w:pPr>
              <w:pStyle w:val="Compact"/>
              <w:jc w:val="left"/>
            </w:pPr>
            <w:r>
              <w:t xml:space="preserve">Effective date (21 Sep 2026)</w:t>
            </w:r>
          </w:p>
        </w:tc>
        <w:tc>
          <w:tcPr/>
          <w:p>
            <w:pPr>
              <w:pStyle w:val="Compact"/>
              <w:jc w:val="center"/>
            </w:pPr>
            <w:r>
              <w:t xml:space="preserve">[−1,+1]</w:t>
            </w:r>
          </w:p>
        </w:tc>
        <w:tc>
          <w:tcPr/>
          <w:p>
            <w:pPr>
              <w:pStyle w:val="Compact"/>
              <w:jc w:val="center"/>
            </w:pPr>
            <w:r>
              <w:t xml:space="preserve">−0.1% (−0.11)</w:t>
            </w:r>
          </w:p>
        </w:tc>
        <w:tc>
          <w:tcPr/>
          <w:p>
            <w:pPr>
              <w:pStyle w:val="Compact"/>
              <w:jc w:val="center"/>
            </w:pPr>
            <w:r>
              <w:t xml:space="preserve">0.9% (0.88)</w:t>
            </w:r>
          </w:p>
        </w:tc>
        <w:tc>
          <w:tcPr/>
          <w:p>
            <w:pPr>
              <w:pStyle w:val="Compact"/>
              <w:jc w:val="center"/>
            </w:pPr>
            <w:r>
              <w:t xml:space="preserve">0.0% (0.03)</w:t>
            </w:r>
          </w:p>
        </w:tc>
        <w:tc>
          <w:tcPr/>
          <w:p>
            <w:pPr>
              <w:pStyle w:val="Compact"/>
              <w:jc w:val="center"/>
            </w:pPr>
            <w:r>
              <w:t xml:space="preserve">−0.5% (−0.51)</w:t>
            </w:r>
          </w:p>
        </w:tc>
      </w:tr>
    </w:tbl>
    <w:p>
      <w:pPr>
        <w:pStyle w:val="BodyText"/>
      </w:pPr>
      <w:r>
        <w:t xml:space="preserve">Panel B. ITT group (27)</w:t>
      </w:r>
    </w:p>
    <w:tbl>
      <w:tblPr>
        <w:tblStyle w:val="Table"/>
        <w:tblW w:type="pct" w:w="5000"/>
        <w:tblLook w:firstRow="1" w:lastRow="0" w:firstColumn="0" w:lastColumn="0" w:noHBand="0" w:noVBand="0" w:val="0020"/>
        <w:jc w:val="start"/>
      </w:tblPr>
      <w:tblGrid>
        <w:gridCol w:w="1092"/>
        <w:gridCol w:w="1365"/>
        <w:gridCol w:w="1365"/>
        <w:gridCol w:w="1365"/>
        <w:gridCol w:w="1365"/>
        <w:gridCol w:w="1365"/>
      </w:tblGrid>
      <w:tr>
        <w:trPr>
          <w:tblHeader w:val="true"/>
        </w:trPr>
        <w:tc>
          <w:tcPr/>
          <w:p>
            <w:pPr>
              <w:pStyle w:val="Compact"/>
              <w:jc w:val="left"/>
            </w:pPr>
            <w:r>
              <w:t xml:space="preserve">Event</w:t>
            </w:r>
          </w:p>
        </w:tc>
        <w:tc>
          <w:tcPr/>
          <w:p>
            <w:pPr>
              <w:pStyle w:val="Compact"/>
              <w:jc w:val="center"/>
            </w:pPr>
            <w:r>
              <w:t xml:space="preserve">Window</w:t>
            </w:r>
          </w:p>
        </w:tc>
        <w:tc>
          <w:tcPr/>
          <w:p>
            <w:pPr>
              <w:pStyle w:val="Compact"/>
              <w:jc w:val="center"/>
            </w:pPr>
            <w:r>
              <w:t xml:space="preserve">Never-named</w:t>
            </w:r>
          </w:p>
        </w:tc>
        <w:tc>
          <w:tcPr/>
          <w:p>
            <w:pPr>
              <w:pStyle w:val="Compact"/>
              <w:jc w:val="center"/>
            </w:pPr>
            <w:r>
              <w:t xml:space="preserve">Matched</w:t>
            </w:r>
          </w:p>
        </w:tc>
        <w:tc>
          <w:tcPr/>
          <w:p>
            <w:pPr>
              <w:pStyle w:val="Compact"/>
              <w:jc w:val="center"/>
            </w:pPr>
            <w:r>
              <w:t xml:space="preserve">Large never-named</w:t>
            </w:r>
          </w:p>
        </w:tc>
        <w:tc>
          <w:tcPr/>
          <w:p>
            <w:pPr>
              <w:pStyle w:val="Compact"/>
              <w:jc w:val="center"/>
            </w:pPr>
            <w:r>
              <w:t xml:space="preserve">Market model</w:t>
            </w:r>
          </w:p>
        </w:tc>
      </w:tr>
      <w:tr>
        <w:tc>
          <w:tcPr/>
          <w:p>
            <w:pPr>
              <w:pStyle w:val="Compact"/>
              <w:jc w:val="left"/>
            </w:pPr>
            <w:r>
              <w:t xml:space="preserve">Announcement (7 Oct 2025)</w:t>
            </w:r>
          </w:p>
        </w:tc>
        <w:tc>
          <w:tcPr/>
          <w:p>
            <w:pPr>
              <w:pStyle w:val="Compact"/>
              <w:jc w:val="center"/>
            </w:pPr>
            <w:r>
              <w:t xml:space="preserve">[−1,+1]</w:t>
            </w:r>
          </w:p>
        </w:tc>
        <w:tc>
          <w:tcPr/>
          <w:p>
            <w:pPr>
              <w:pStyle w:val="Compact"/>
              <w:jc w:val="center"/>
            </w:pPr>
            <w:r>
              <w:t xml:space="preserve">3.0% (2.43)</w:t>
            </w:r>
          </w:p>
        </w:tc>
        <w:tc>
          <w:tcPr/>
          <w:p>
            <w:pPr>
              <w:pStyle w:val="Compact"/>
              <w:jc w:val="center"/>
            </w:pPr>
            <w:r>
              <w:t xml:space="preserve">1.3% (1.07)</w:t>
            </w:r>
          </w:p>
        </w:tc>
        <w:tc>
          <w:tcPr/>
          <w:p>
            <w:pPr>
              <w:pStyle w:val="Compact"/>
              <w:jc w:val="center"/>
            </w:pPr>
            <w:r>
              <w:t xml:space="preserve">2.0% (1.87)</w:t>
            </w:r>
          </w:p>
        </w:tc>
        <w:tc>
          <w:tcPr/>
          <w:p>
            <w:pPr>
              <w:pStyle w:val="Compact"/>
              <w:jc w:val="center"/>
            </w:pPr>
            <w:r>
              <w:t xml:space="preserve">2.3% (2.05)</w:t>
            </w:r>
          </w:p>
        </w:tc>
      </w:tr>
      <w:tr>
        <w:tc>
          <w:tcPr/>
          <w:p>
            <w:pPr>
              <w:pStyle w:val="Compact"/>
            </w:pPr>
          </w:p>
        </w:tc>
        <w:tc>
          <w:tcPr/>
          <w:p>
            <w:pPr>
              <w:pStyle w:val="Compact"/>
              <w:jc w:val="center"/>
            </w:pPr>
            <w:r>
              <w:t xml:space="preserve">[−1,+5]</w:t>
            </w:r>
          </w:p>
        </w:tc>
        <w:tc>
          <w:tcPr/>
          <w:p>
            <w:pPr>
              <w:pStyle w:val="Compact"/>
              <w:jc w:val="center"/>
            </w:pPr>
            <w:r>
              <w:t xml:space="preserve">7.5% (3.97)</w:t>
            </w:r>
          </w:p>
        </w:tc>
        <w:tc>
          <w:tcPr/>
          <w:p>
            <w:pPr>
              <w:pStyle w:val="Compact"/>
              <w:jc w:val="center"/>
            </w:pPr>
            <w:r>
              <w:t xml:space="preserve">3.5% (1.91)</w:t>
            </w:r>
          </w:p>
        </w:tc>
        <w:tc>
          <w:tcPr/>
          <w:p>
            <w:pPr>
              <w:pStyle w:val="Compact"/>
              <w:jc w:val="center"/>
            </w:pPr>
            <w:r>
              <w:t xml:space="preserve">5.9% (3.72)</w:t>
            </w:r>
          </w:p>
        </w:tc>
        <w:tc>
          <w:tcPr/>
          <w:p>
            <w:pPr>
              <w:pStyle w:val="Compact"/>
              <w:jc w:val="center"/>
            </w:pPr>
            <w:r>
              <w:t xml:space="preserve">6.4% (3.75)</w:t>
            </w:r>
          </w:p>
        </w:tc>
      </w:tr>
      <w:tr>
        <w:tc>
          <w:tcPr/>
          <w:p>
            <w:pPr>
              <w:pStyle w:val="Compact"/>
            </w:pPr>
          </w:p>
        </w:tc>
        <w:tc>
          <w:tcPr/>
          <w:p>
            <w:pPr>
              <w:pStyle w:val="Compact"/>
              <w:jc w:val="center"/>
            </w:pPr>
            <w:r>
              <w:t xml:space="preserve">[0,+20]</w:t>
            </w:r>
          </w:p>
        </w:tc>
        <w:tc>
          <w:tcPr/>
          <w:p>
            <w:pPr>
              <w:pStyle w:val="Compact"/>
              <w:jc w:val="center"/>
            </w:pPr>
            <w:r>
              <w:t xml:space="preserve">−1.0% (−0.32)</w:t>
            </w:r>
          </w:p>
        </w:tc>
        <w:tc>
          <w:tcPr/>
          <w:p>
            <w:pPr>
              <w:pStyle w:val="Compact"/>
              <w:jc w:val="center"/>
            </w:pPr>
            <w:r>
              <w:t xml:space="preserve">2.9% (0.90)</w:t>
            </w:r>
          </w:p>
        </w:tc>
        <w:tc>
          <w:tcPr/>
          <w:p>
            <w:pPr>
              <w:pStyle w:val="Compact"/>
              <w:jc w:val="center"/>
            </w:pPr>
            <w:r>
              <w:t xml:space="preserve">−0.1% (−0.03)</w:t>
            </w:r>
          </w:p>
        </w:tc>
        <w:tc>
          <w:tcPr/>
          <w:p>
            <w:pPr>
              <w:pStyle w:val="Compact"/>
              <w:jc w:val="center"/>
            </w:pPr>
            <w:r>
              <w:t xml:space="preserve">−3.6% (−1.20)</w:t>
            </w:r>
          </w:p>
        </w:tc>
      </w:tr>
      <w:tr>
        <w:tc>
          <w:tcPr/>
          <w:p>
            <w:pPr>
              <w:pStyle w:val="Compact"/>
              <w:jc w:val="left"/>
            </w:pPr>
            <w:r>
              <w:t xml:space="preserve">Confirmation (7 Apr 2026)</w:t>
            </w:r>
          </w:p>
        </w:tc>
        <w:tc>
          <w:tcPr/>
          <w:p>
            <w:pPr>
              <w:pStyle w:val="Compact"/>
              <w:jc w:val="center"/>
            </w:pPr>
            <w:r>
              <w:t xml:space="preserve">[−1,+1]</w:t>
            </w:r>
          </w:p>
        </w:tc>
        <w:tc>
          <w:tcPr/>
          <w:p>
            <w:pPr>
              <w:pStyle w:val="Compact"/>
              <w:jc w:val="center"/>
            </w:pPr>
            <w:r>
              <w:t xml:space="preserve">3.1% (2.17)</w:t>
            </w:r>
          </w:p>
        </w:tc>
        <w:tc>
          <w:tcPr/>
          <w:p>
            <w:pPr>
              <w:pStyle w:val="Compact"/>
              <w:jc w:val="center"/>
            </w:pPr>
            <w:r>
              <w:t xml:space="preserve">1.3% (0.99)</w:t>
            </w:r>
          </w:p>
        </w:tc>
        <w:tc>
          <w:tcPr/>
          <w:p>
            <w:pPr>
              <w:pStyle w:val="Compact"/>
              <w:jc w:val="center"/>
            </w:pPr>
            <w:r>
              <w:t xml:space="preserve">2.2% (2.10)</w:t>
            </w:r>
          </w:p>
        </w:tc>
        <w:tc>
          <w:tcPr/>
          <w:p>
            <w:pPr>
              <w:pStyle w:val="Compact"/>
              <w:jc w:val="center"/>
            </w:pPr>
            <w:r>
              <w:t xml:space="preserve">2.4% (2.02)</w:t>
            </w:r>
          </w:p>
        </w:tc>
      </w:tr>
      <w:tr>
        <w:tc>
          <w:tcPr/>
          <w:p>
            <w:pPr>
              <w:pStyle w:val="Compact"/>
            </w:pPr>
          </w:p>
        </w:tc>
        <w:tc>
          <w:tcPr/>
          <w:p>
            <w:pPr>
              <w:pStyle w:val="Compact"/>
              <w:jc w:val="center"/>
            </w:pPr>
            <w:r>
              <w:t xml:space="preserve">[−1,+5]</w:t>
            </w:r>
          </w:p>
        </w:tc>
        <w:tc>
          <w:tcPr/>
          <w:p>
            <w:pPr>
              <w:pStyle w:val="Compact"/>
              <w:jc w:val="center"/>
            </w:pPr>
            <w:r>
              <w:t xml:space="preserve">3.2% (1.45)</w:t>
            </w:r>
          </w:p>
        </w:tc>
        <w:tc>
          <w:tcPr/>
          <w:p>
            <w:pPr>
              <w:pStyle w:val="Compact"/>
              <w:jc w:val="center"/>
            </w:pPr>
            <w:r>
              <w:t xml:space="preserve">0.7% (0.35)</w:t>
            </w:r>
          </w:p>
        </w:tc>
        <w:tc>
          <w:tcPr/>
          <w:p>
            <w:pPr>
              <w:pStyle w:val="Compact"/>
              <w:jc w:val="center"/>
            </w:pPr>
            <w:r>
              <w:t xml:space="preserve">2.0% (1.24)</w:t>
            </w:r>
          </w:p>
        </w:tc>
        <w:tc>
          <w:tcPr/>
          <w:p>
            <w:pPr>
              <w:pStyle w:val="Compact"/>
              <w:jc w:val="center"/>
            </w:pPr>
            <w:r>
              <w:t xml:space="preserve">2.3% (1.25)</w:t>
            </w:r>
          </w:p>
        </w:tc>
      </w:tr>
      <w:tr>
        <w:tc>
          <w:tcPr/>
          <w:p>
            <w:pPr>
              <w:pStyle w:val="Compact"/>
            </w:pPr>
          </w:p>
        </w:tc>
        <w:tc>
          <w:tcPr/>
          <w:p>
            <w:pPr>
              <w:pStyle w:val="Compact"/>
              <w:jc w:val="center"/>
            </w:pPr>
            <w:r>
              <w:t xml:space="preserve">[0,+20]</w:t>
            </w:r>
          </w:p>
        </w:tc>
        <w:tc>
          <w:tcPr/>
          <w:p>
            <w:pPr>
              <w:pStyle w:val="Compact"/>
              <w:jc w:val="center"/>
            </w:pPr>
            <w:r>
              <w:t xml:space="preserve">7.0% (1.83)</w:t>
            </w:r>
          </w:p>
        </w:tc>
        <w:tc>
          <w:tcPr/>
          <w:p>
            <w:pPr>
              <w:pStyle w:val="Compact"/>
              <w:jc w:val="center"/>
            </w:pPr>
            <w:r>
              <w:t xml:space="preserve">3.2% (0.94)</w:t>
            </w:r>
          </w:p>
        </w:tc>
        <w:tc>
          <w:tcPr/>
          <w:p>
            <w:pPr>
              <w:pStyle w:val="Compact"/>
              <w:jc w:val="center"/>
            </w:pPr>
            <w:r>
              <w:t xml:space="preserve">7.6% (2.74)</w:t>
            </w:r>
          </w:p>
        </w:tc>
        <w:tc>
          <w:tcPr/>
          <w:p>
            <w:pPr>
              <w:pStyle w:val="Compact"/>
              <w:jc w:val="center"/>
            </w:pPr>
            <w:r>
              <w:t xml:space="preserve">6.3% (2.01)</w:t>
            </w:r>
          </w:p>
        </w:tc>
      </w:tr>
      <w:tr>
        <w:tc>
          <w:tcPr/>
          <w:p>
            <w:pPr>
              <w:pStyle w:val="Compact"/>
              <w:jc w:val="left"/>
            </w:pPr>
            <w:r>
              <w:t xml:space="preserve">Constituent list (21 Aug 2026)</w:t>
            </w:r>
          </w:p>
        </w:tc>
        <w:tc>
          <w:tcPr/>
          <w:p>
            <w:pPr>
              <w:pStyle w:val="Compact"/>
              <w:jc w:val="center"/>
            </w:pPr>
            <w:r>
              <w:t xml:space="preserve">[−1,+1]</w:t>
            </w:r>
          </w:p>
        </w:tc>
        <w:tc>
          <w:tcPr/>
          <w:p>
            <w:pPr>
              <w:pStyle w:val="Compact"/>
              <w:jc w:val="center"/>
            </w:pPr>
            <w:r>
              <w:t xml:space="preserve">2.7% (2.08)</w:t>
            </w:r>
          </w:p>
        </w:tc>
        <w:tc>
          <w:tcPr/>
          <w:p>
            <w:pPr>
              <w:pStyle w:val="Compact"/>
              <w:jc w:val="center"/>
            </w:pPr>
            <w:r>
              <w:t xml:space="preserve">1.6% (1.37)</w:t>
            </w:r>
          </w:p>
        </w:tc>
        <w:tc>
          <w:tcPr/>
          <w:p>
            <w:pPr>
              <w:pStyle w:val="Compact"/>
              <w:jc w:val="center"/>
            </w:pPr>
            <w:r>
              <w:t xml:space="preserve">1.8% (2.13)</w:t>
            </w:r>
          </w:p>
        </w:tc>
        <w:tc>
          <w:tcPr/>
          <w:p>
            <w:pPr>
              <w:pStyle w:val="Compact"/>
              <w:jc w:val="center"/>
            </w:pPr>
            <w:r>
              <w:t xml:space="preserve">1.7% (1.64)</w:t>
            </w:r>
          </w:p>
        </w:tc>
      </w:tr>
      <w:tr>
        <w:tc>
          <w:tcPr/>
          <w:p>
            <w:pPr>
              <w:pStyle w:val="Compact"/>
            </w:pPr>
          </w:p>
        </w:tc>
        <w:tc>
          <w:tcPr/>
          <w:p>
            <w:pPr>
              <w:pStyle w:val="Compact"/>
              <w:jc w:val="center"/>
            </w:pPr>
            <w:r>
              <w:t xml:space="preserve">[−1,+5]</w:t>
            </w:r>
          </w:p>
        </w:tc>
        <w:tc>
          <w:tcPr/>
          <w:p>
            <w:pPr>
              <w:pStyle w:val="Compact"/>
              <w:jc w:val="center"/>
            </w:pPr>
            <w:r>
              <w:t xml:space="preserve">3.2% (1.62)</w:t>
            </w:r>
          </w:p>
        </w:tc>
        <w:tc>
          <w:tcPr/>
          <w:p>
            <w:pPr>
              <w:pStyle w:val="Compact"/>
              <w:jc w:val="center"/>
            </w:pPr>
            <w:r>
              <w:t xml:space="preserve">0.7% (0.42)</w:t>
            </w:r>
          </w:p>
        </w:tc>
        <w:tc>
          <w:tcPr/>
          <w:p>
            <w:pPr>
              <w:pStyle w:val="Compact"/>
              <w:jc w:val="center"/>
            </w:pPr>
            <w:r>
              <w:t xml:space="preserve">2.7% (2.05)</w:t>
            </w:r>
          </w:p>
        </w:tc>
        <w:tc>
          <w:tcPr/>
          <w:p>
            <w:pPr>
              <w:pStyle w:val="Compact"/>
              <w:jc w:val="center"/>
            </w:pPr>
            <w:r>
              <w:t xml:space="preserve">2.3% (1.43)</w:t>
            </w:r>
          </w:p>
        </w:tc>
      </w:tr>
      <w:tr>
        <w:tc>
          <w:tcPr/>
          <w:p>
            <w:pPr>
              <w:pStyle w:val="Compact"/>
            </w:pPr>
          </w:p>
        </w:tc>
        <w:tc>
          <w:tcPr/>
          <w:p>
            <w:pPr>
              <w:pStyle w:val="Compact"/>
              <w:jc w:val="center"/>
            </w:pPr>
            <w:r>
              <w:t xml:space="preserve">[0,+20]</w:t>
            </w:r>
          </w:p>
        </w:tc>
        <w:tc>
          <w:tcPr/>
          <w:p>
            <w:pPr>
              <w:pStyle w:val="Compact"/>
              <w:jc w:val="center"/>
            </w:pPr>
            <w:r>
              <w:t xml:space="preserve">1.2% (0.35)</w:t>
            </w:r>
          </w:p>
        </w:tc>
        <w:tc>
          <w:tcPr/>
          <w:p>
            <w:pPr>
              <w:pStyle w:val="Compact"/>
              <w:jc w:val="center"/>
            </w:pPr>
            <w:r>
              <w:t xml:space="preserve">0.3% (0.11)</w:t>
            </w:r>
          </w:p>
        </w:tc>
        <w:tc>
          <w:tcPr/>
          <w:p>
            <w:pPr>
              <w:pStyle w:val="Compact"/>
              <w:jc w:val="center"/>
            </w:pPr>
            <w:r>
              <w:t xml:space="preserve">1.8% (0.80)</w:t>
            </w:r>
          </w:p>
        </w:tc>
        <w:tc>
          <w:tcPr/>
          <w:p>
            <w:pPr>
              <w:pStyle w:val="Compact"/>
              <w:jc w:val="center"/>
            </w:pPr>
            <w:r>
              <w:t xml:space="preserve">1.4% (0.50)</w:t>
            </w:r>
          </w:p>
        </w:tc>
      </w:tr>
      <w:tr>
        <w:tc>
          <w:tcPr/>
          <w:p>
            <w:pPr>
              <w:pStyle w:val="Compact"/>
              <w:jc w:val="left"/>
            </w:pPr>
            <w:r>
              <w:t xml:space="preserve">Effective date (21 Sep 2026)</w:t>
            </w:r>
          </w:p>
        </w:tc>
        <w:tc>
          <w:tcPr/>
          <w:p>
            <w:pPr>
              <w:pStyle w:val="Compact"/>
              <w:jc w:val="center"/>
            </w:pPr>
            <w:r>
              <w:t xml:space="preserve">[−1,+1]</w:t>
            </w:r>
          </w:p>
        </w:tc>
        <w:tc>
          <w:tcPr/>
          <w:p>
            <w:pPr>
              <w:pStyle w:val="Compact"/>
              <w:jc w:val="center"/>
            </w:pPr>
            <w:r>
              <w:t xml:space="preserve">0.4% (0.35)</w:t>
            </w:r>
          </w:p>
        </w:tc>
        <w:tc>
          <w:tcPr/>
          <w:p>
            <w:pPr>
              <w:pStyle w:val="Compact"/>
              <w:jc w:val="center"/>
            </w:pPr>
            <w:r>
              <w:t xml:space="preserve">1.5% (1.52)</w:t>
            </w:r>
          </w:p>
        </w:tc>
        <w:tc>
          <w:tcPr/>
          <w:p>
            <w:pPr>
              <w:pStyle w:val="Compact"/>
              <w:jc w:val="center"/>
            </w:pPr>
            <w:r>
              <w:t xml:space="preserve">0.6% (0.75)</w:t>
            </w:r>
          </w:p>
        </w:tc>
        <w:tc>
          <w:tcPr/>
          <w:p>
            <w:pPr>
              <w:pStyle w:val="Compact"/>
              <w:jc w:val="center"/>
            </w:pPr>
            <w:r>
              <w:t xml:space="preserve">0.2% (0.27)</w:t>
            </w:r>
          </w:p>
        </w:tc>
      </w:tr>
    </w:tbl>
    <w:p>
      <w:pPr>
        <w:pStyle w:val="BodyText"/>
      </w:pPr>
      <w:r>
        <w:rPr>
          <w:iCs/>
          <w:i/>
        </w:rPr>
        <w:t xml:space="preserve">Notes</w:t>
      </w:r>
      <w:r>
        <w:t xml:space="preserve">: CARs in percent from Eq. (6), for windows in trading days around each disclosure, with portfolio</w:t>
      </w:r>
      <w:r>
        <w:t xml:space="preserve"> </w:t>
      </w:r>
      <w:r>
        <w:rPr>
          <w:iCs/>
          <w:i/>
        </w:rPr>
        <w:t xml:space="preserve">t</w:t>
      </w:r>
      <w:r>
        <w:t xml:space="preserve">-statistics in parentheses and the benchmarks of Section 3.2. Source: Authors’ calculations.</w:t>
      </w:r>
    </w:p>
    <w:p>
      <w:pPr>
        <w:pStyle w:val="BodyText"/>
      </w:pPr>
      <w:r>
        <w:t xml:space="preserve">The two gains behaved differently afterwards. Over days 0 to +20 the announcement CAR lies between −5.5% and 1.6% and is never significant, whereas after the confirmation constituents earned 6.2% to 10.6%, significant under three of four benchmarks (</w:t>
      </w:r>
      <w:r>
        <w:rPr>
          <w:iCs/>
          <w:i/>
        </w:rPr>
        <w:t xml:space="preserve">t</w:t>
      </w:r>
      <w:r>
        <w:t xml:space="preserve"> </w:t>
      </w:r>
      <w:r>
        <w:t xml:space="preserve">between 1.94 and 3.03). The fading after the conditional announcement is consistent with temporary price pressure: in Harris and Gurel (1986), S&amp;P 500 additions gained more than 3% on the announcement, and the gain was almost fully reversed after two weeks. The lasting gain after the confirmation, once the upgrade was certain and dated, is consistent with a shift in demand (Shleifer, 1986; Chen et al., 2004) and with the persistent gains of frontier-market index additions (Biktimirov &amp; Afego, 2026). Our data end too soon to test for the reversal within a year that Burnham et al. (2018) find at the country level.</w:t>
      </w:r>
    </w:p>
    <w:p>
      <w:pPr>
        <w:pStyle w:val="BodyText"/>
      </w:pPr>
      <w:r>
        <w:t xml:space="preserve">Panel B reports the ITT group, and we add the named-but-excluded stocks in the text. The ITT group earned 3.5% to 7.5% in the announcement week, significant under three of four benchmarks (the matched benchmark yields</w:t>
      </w:r>
      <w:r>
        <w:t xml:space="preserve"> </w:t>
      </w:r>
      <w:r>
        <w:rPr>
          <w:iCs/>
          <w:i/>
        </w:rPr>
        <w:t xml:space="preserve">t</w:t>
      </w:r>
      <w:r>
        <w:t xml:space="preserve"> </w:t>
      </w:r>
      <w:r>
        <w:t xml:space="preserve">= 1.91), and 1.3% to 3.1% over three days at the confirmation, significant except against matched controls. Named-but-excluded stocks gained 2.3% to 6.2% in the announcement week (significant under three of four benchmarks) and nothing at the confirmation (−1.4% to 0.4%, never significant; not tabulated). No list was public at the announcement, so their announcement-week gain suggests that investors responded to characteristics they could observe, such as size and liquidity. By the confirmation the preliminary list was public, and only stocks that went on to be included gained. These results support H3 for the announcement and the confirmation but not for the constituent list.</w:t>
      </w:r>
    </w:p>
    <w:bookmarkEnd w:id="39"/>
    <w:bookmarkStart w:id="40" w:name="Xd93c3a97ece96bbe4751d05b35e07893c66d788"/>
    <w:p>
      <w:pPr>
        <w:pStyle w:val="Heading3"/>
      </w:pPr>
      <w:r>
        <w:t xml:space="preserve">4.3 The rebalancing session produced a trading surge only for included stocks</w:t>
      </w:r>
    </w:p>
    <w:p>
      <w:pPr>
        <w:pStyle w:val="FirstParagraph"/>
      </w:pPr>
      <w:r>
        <w:t xml:space="preserve">In Table 5 (Eq. 9), the log trading value of constituents on 18 September 2026, the last session before the upgrade took effect, rose 0.79 above its level on other sessions in the window, relative to never-named stocks (standard error 0.12,</w:t>
      </w:r>
      <w:r>
        <w:t xml:space="preserve"> </w:t>
      </w:r>
      <w:r>
        <w:rPr>
          <w:iCs/>
          <w:i/>
        </w:rPr>
        <w:t xml:space="preserve">t</w:t>
      </w:r>
      <w:r>
        <w:t xml:space="preserve"> </w:t>
      </w:r>
      <w:r>
        <w:t xml:space="preserve">= 6.84), and 0.84 relative to matched controls. On the effective date the excess fell to 0.20 (</w:t>
      </w:r>
      <w:r>
        <w:rPr>
          <w:iCs/>
          <w:i/>
        </w:rPr>
        <w:t xml:space="preserve">p</w:t>
      </w:r>
      <w:r>
        <w:t xml:space="preserve"> </w:t>
      </w:r>
      <w:r>
        <w:t xml:space="preserve">= 0.057) and 0.34 (</w:t>
      </w:r>
      <w:r>
        <w:rPr>
          <w:iCs/>
          <w:i/>
        </w:rPr>
        <w:t xml:space="preserve">p</w:t>
      </w:r>
      <w:r>
        <w:t xml:space="preserve"> </w:t>
      </w:r>
      <w:r>
        <w:t xml:space="preserve">= 0.007). Named-but-excluded stocks show no surge (−0.01 and −0.16). Mean abnormal log trading value on 18 September was 0.76 for constituents (standard error 0.12), −0.28 for matched controls (0.10) and 0.00 for named-but-excluded stocks (0.15).</w:t>
      </w:r>
    </w:p>
    <w:p>
      <w:pPr>
        <w:pStyle w:val="BodyText"/>
      </w:pPr>
      <w:r>
        <w:rPr>
          <w:bCs/>
          <w:b/>
        </w:rPr>
        <w:t xml:space="preserve">Table 5. Excess log trading value on the rebalancing and effective sessions</w:t>
      </w:r>
    </w:p>
    <w:tbl>
      <w:tblPr>
        <w:tblStyle w:val="Table"/>
        <w:tblW w:type="pct" w:w="5000"/>
        <w:tblLook w:firstRow="1" w:lastRow="0" w:firstColumn="0" w:lastColumn="0" w:noHBand="0" w:noVBand="0" w:val="0020"/>
        <w:jc w:val="start"/>
      </w:tblPr>
      <w:tblGrid>
        <w:gridCol w:w="1667"/>
        <w:gridCol w:w="2084"/>
        <w:gridCol w:w="2084"/>
        <w:gridCol w:w="2084"/>
      </w:tblGrid>
      <w:tr>
        <w:trPr>
          <w:tblHeader w:val="true"/>
        </w:trPr>
        <w:tc>
          <w:tcPr/>
          <w:p>
            <w:pPr>
              <w:pStyle w:val="Compact"/>
              <w:jc w:val="left"/>
            </w:pPr>
            <w:r>
              <w:t xml:space="preserve">Comparison</w:t>
            </w:r>
          </w:p>
        </w:tc>
        <w:tc>
          <w:tcPr/>
          <w:p>
            <w:pPr>
              <w:pStyle w:val="Compact"/>
              <w:jc w:val="center"/>
            </w:pPr>
            <w:r>
              <w:t xml:space="preserve">18 Sep 2026 (rebalancing)</w:t>
            </w:r>
          </w:p>
        </w:tc>
        <w:tc>
          <w:tcPr/>
          <w:p>
            <w:pPr>
              <w:pStyle w:val="Compact"/>
              <w:jc w:val="center"/>
            </w:pPr>
            <w:r>
              <w:t xml:space="preserve">21 Sep 2026 (effective date)</w:t>
            </w:r>
          </w:p>
        </w:tc>
        <w:tc>
          <w:tcPr/>
          <w:p>
            <w:pPr>
              <w:pStyle w:val="Compact"/>
              <w:jc w:val="center"/>
            </w:pPr>
            <w:r>
              <w:t xml:space="preserve">Observations</w:t>
            </w:r>
          </w:p>
        </w:tc>
      </w:tr>
      <w:tr>
        <w:tc>
          <w:tcPr/>
          <w:p>
            <w:pPr>
              <w:pStyle w:val="Compact"/>
              <w:jc w:val="left"/>
            </w:pPr>
            <w:r>
              <w:t xml:space="preserve">Constituents vs never-named</w:t>
            </w:r>
          </w:p>
        </w:tc>
        <w:tc>
          <w:tcPr/>
          <w:p>
            <w:pPr>
              <w:pStyle w:val="Compact"/>
              <w:jc w:val="center"/>
            </w:pPr>
            <w:r>
              <w:t xml:space="preserve">0.794*** (0.116)</w:t>
            </w:r>
          </w:p>
        </w:tc>
        <w:tc>
          <w:tcPr/>
          <w:p>
            <w:pPr>
              <w:pStyle w:val="Compact"/>
              <w:jc w:val="center"/>
            </w:pPr>
            <w:r>
              <w:t xml:space="preserve">0.202 (0.106)</w:t>
            </w:r>
          </w:p>
        </w:tc>
        <w:tc>
          <w:tcPr/>
          <w:p>
            <w:pPr>
              <w:pStyle w:val="Compact"/>
              <w:jc w:val="center"/>
            </w:pPr>
            <w:r>
              <w:t xml:space="preserve">10,820</w:t>
            </w:r>
          </w:p>
        </w:tc>
      </w:tr>
      <w:tr>
        <w:tc>
          <w:tcPr/>
          <w:p>
            <w:pPr>
              <w:pStyle w:val="Compact"/>
              <w:jc w:val="left"/>
            </w:pPr>
            <w:r>
              <w:t xml:space="preserve">Constituents vs matched controls</w:t>
            </w:r>
          </w:p>
        </w:tc>
        <w:tc>
          <w:tcPr/>
          <w:p>
            <w:pPr>
              <w:pStyle w:val="Compact"/>
              <w:jc w:val="center"/>
            </w:pPr>
            <w:r>
              <w:t xml:space="preserve">0.837*** (0.122)</w:t>
            </w:r>
          </w:p>
        </w:tc>
        <w:tc>
          <w:tcPr/>
          <w:p>
            <w:pPr>
              <w:pStyle w:val="Compact"/>
              <w:jc w:val="center"/>
            </w:pPr>
            <w:r>
              <w:t xml:space="preserve">0.341** (0.122)</w:t>
            </w:r>
          </w:p>
        </w:tc>
        <w:tc>
          <w:tcPr/>
          <w:p>
            <w:pPr>
              <w:pStyle w:val="Compact"/>
              <w:jc w:val="center"/>
            </w:pPr>
            <w:r>
              <w:t xml:space="preserve">1,536</w:t>
            </w:r>
          </w:p>
        </w:tc>
      </w:tr>
      <w:tr>
        <w:tc>
          <w:tcPr/>
          <w:p>
            <w:pPr>
              <w:pStyle w:val="Compact"/>
              <w:jc w:val="left"/>
            </w:pPr>
            <w:r>
              <w:t xml:space="preserve">Named-but-excluded vs never-named</w:t>
            </w:r>
          </w:p>
        </w:tc>
        <w:tc>
          <w:tcPr/>
          <w:p>
            <w:pPr>
              <w:pStyle w:val="Compact"/>
              <w:jc w:val="center"/>
            </w:pPr>
            <w:r>
              <w:t xml:space="preserve">−0.013 (0.116)</w:t>
            </w:r>
          </w:p>
        </w:tc>
        <w:tc>
          <w:tcPr/>
          <w:p>
            <w:pPr>
              <w:pStyle w:val="Compact"/>
              <w:jc w:val="center"/>
            </w:pPr>
            <w:r>
              <w:t xml:space="preserve">−0.159 (0.136)</w:t>
            </w:r>
          </w:p>
        </w:tc>
        <w:tc>
          <w:tcPr/>
          <w:p>
            <w:pPr>
              <w:pStyle w:val="Compact"/>
              <w:jc w:val="center"/>
            </w:pPr>
            <w:r>
              <w:t xml:space="preserve">10,500</w:t>
            </w:r>
          </w:p>
        </w:tc>
      </w:tr>
    </w:tbl>
    <w:p>
      <w:pPr>
        <w:pStyle w:val="BodyText"/>
      </w:pPr>
      <w:r>
        <w:rPr>
          <w:iCs/>
          <w:i/>
        </w:rPr>
        <w:t xml:space="preserve">Notes</w:t>
      </w:r>
      <w:r>
        <w:t xml:space="preserve">: Eq. (9) over 6 August to 23 September 2026; other details as in Table 2. Source: Authors’ calculations.</w:t>
      </w:r>
    </w:p>
    <w:p>
      <w:pPr>
        <w:pStyle w:val="BodyText"/>
      </w:pPr>
      <w:r>
        <w:t xml:space="preserve">The surge matches the trading that funds tracking FTSE benchmarks had to do: they were to buy the first tranche at the closing price of 18 September (FTSE Russell, 2026; VIR, 2026), and nothing obliged them to trade the stocks FTSE had passed over. Without data on who traded, we infer index demand from the timing and from the missing surge for named-but-excluded stocks, where a general rise in trading would have shown up. Prices showed no reliable change: the three-day CAR around the effective date lies between −0.5% and 0.9% (Table 4), consistent with other investors having bought earlier and supplying the stocks at the close, and with the second half of H3. Harris and Gurel (1986), by contrast, find price rises immediately after S&amp;P 500 additions are announced, which they attribute to index-fund buying pressure. The illiquidity decline at the disclosures and the volume surge at the close are consistent with the two stages at which benchmark changes move fund allocations, announcement and implementation (Raddatz et al., 2017).</w:t>
      </w:r>
    </w:p>
    <w:bookmarkEnd w:id="40"/>
    <w:bookmarkStart w:id="41" w:name="X3ffbb87a8103e948c61f7da85fe6de6611db7f9"/>
    <w:p>
      <w:pPr>
        <w:pStyle w:val="Heading3"/>
      </w:pPr>
      <w:r>
        <w:t xml:space="preserve">4.4 The rebalancing surge rose with FTSE size segment</w:t>
      </w:r>
    </w:p>
    <w:p>
      <w:pPr>
        <w:pStyle w:val="FirstParagraph"/>
      </w:pPr>
      <w:r>
        <w:t xml:space="preserve">FTSE assigned the constituents to size segments on 21 August 2026: three large-capitalization stocks (VCB, VIC, VHM), three mid-capitalization stocks (BID, VPB, HPG) and 18 small-capitalization stocks in our sample (VIR, 2026). H4 predicts a larger rebalancing surge for large constituents, whose index weights are larger, and benchmark-driven foreign allocations (Raddatz et al., 2017) suggest the same ordering for the persistent liquidity effect.</w:t>
      </w:r>
    </w:p>
    <w:p>
      <w:pPr>
        <w:pStyle w:val="BodyText"/>
      </w:pPr>
      <w:r>
        <w:t xml:space="preserve">Table 6 splits the constituent coefficients by segment. Illiquidity fell most for the three large stocks (−0.61, −1.35 and −2.20 log points), against −0.20, −0.63 and −0.82 for mid and −0.39, −0.85 and −1.00 for small stocks. The mid-small ordering does not follow size, and with three stocks in each upper segment we read these estimates as descriptive. The rebalancing surge rose monotonically with segment (abnormal log trading value of 1.23, 0.98 and 0.65), consistent with H4, although the two upper segments contain three stocks each.</w:t>
      </w:r>
    </w:p>
    <w:p>
      <w:pPr>
        <w:pStyle w:val="BodyText"/>
      </w:pPr>
      <w:r>
        <w:rPr>
          <w:bCs/>
          <w:b/>
        </w:rPr>
        <w:t xml:space="preserve">Table 6. Constituent effects by FTSE size segment</w:t>
      </w:r>
    </w:p>
    <w:tbl>
      <w:tblPr>
        <w:tblStyle w:val="Table"/>
        <w:tblW w:type="pct" w:w="5000"/>
        <w:tblLook w:firstRow="1" w:lastRow="0" w:firstColumn="0" w:lastColumn="0" w:noHBand="0" w:noVBand="0" w:val="0020"/>
        <w:jc w:val="start"/>
      </w:tblPr>
      <w:tblGrid>
        <w:gridCol w:w="1667"/>
        <w:gridCol w:w="2084"/>
        <w:gridCol w:w="2084"/>
        <w:gridCol w:w="2084"/>
      </w:tblGrid>
      <w:tr>
        <w:trPr>
          <w:tblHeader w:val="true"/>
        </w:trPr>
        <w:tc>
          <w:tcPr/>
          <w:p>
            <w:pPr>
              <w:pStyle w:val="Compact"/>
              <w:jc w:val="left"/>
            </w:pPr>
            <w:r>
              <w:t xml:space="preserve">Outcome, window</w:t>
            </w:r>
          </w:p>
        </w:tc>
        <w:tc>
          <w:tcPr/>
          <w:p>
            <w:pPr>
              <w:pStyle w:val="Compact"/>
              <w:jc w:val="center"/>
            </w:pPr>
            <w:r>
              <w:t xml:space="preserve">Large (3)</w:t>
            </w:r>
          </w:p>
        </w:tc>
        <w:tc>
          <w:tcPr/>
          <w:p>
            <w:pPr>
              <w:pStyle w:val="Compact"/>
              <w:jc w:val="center"/>
            </w:pPr>
            <w:r>
              <w:t xml:space="preserve">Mid (3)</w:t>
            </w:r>
          </w:p>
        </w:tc>
        <w:tc>
          <w:tcPr/>
          <w:p>
            <w:pPr>
              <w:pStyle w:val="Compact"/>
              <w:jc w:val="center"/>
            </w:pPr>
            <w:r>
              <w:t xml:space="preserve">Small (18)</w:t>
            </w:r>
          </w:p>
        </w:tc>
      </w:tr>
      <w:tr>
        <w:tc>
          <w:tcPr/>
          <w:p>
            <w:pPr>
              <w:pStyle w:val="Compact"/>
              <w:jc w:val="left"/>
            </w:pPr>
            <w:r>
              <w:t xml:space="preserve">Amihud, announcement</w:t>
            </w:r>
          </w:p>
        </w:tc>
        <w:tc>
          <w:tcPr/>
          <w:p>
            <w:pPr>
              <w:pStyle w:val="Compact"/>
              <w:jc w:val="center"/>
            </w:pPr>
            <w:r>
              <w:t xml:space="preserve">−0.607 (0.273)</w:t>
            </w:r>
          </w:p>
        </w:tc>
        <w:tc>
          <w:tcPr/>
          <w:p>
            <w:pPr>
              <w:pStyle w:val="Compact"/>
              <w:jc w:val="center"/>
            </w:pPr>
            <w:r>
              <w:t xml:space="preserve">−0.204 (0.119)</w:t>
            </w:r>
          </w:p>
        </w:tc>
        <w:tc>
          <w:tcPr/>
          <w:p>
            <w:pPr>
              <w:pStyle w:val="Compact"/>
              <w:jc w:val="center"/>
            </w:pPr>
            <w:r>
              <w:t xml:space="preserve">−0.387*** (0.113)</w:t>
            </w:r>
          </w:p>
        </w:tc>
      </w:tr>
      <w:tr>
        <w:tc>
          <w:tcPr/>
          <w:p>
            <w:pPr>
              <w:pStyle w:val="Compact"/>
              <w:jc w:val="left"/>
            </w:pPr>
            <w:r>
              <w:t xml:space="preserve">Amihud, confirmation</w:t>
            </w:r>
          </w:p>
        </w:tc>
        <w:tc>
          <w:tcPr/>
          <w:p>
            <w:pPr>
              <w:pStyle w:val="Compact"/>
              <w:jc w:val="center"/>
            </w:pPr>
            <w:r>
              <w:t xml:space="preserve">−1.350 (0.413)</w:t>
            </w:r>
          </w:p>
        </w:tc>
        <w:tc>
          <w:tcPr/>
          <w:p>
            <w:pPr>
              <w:pStyle w:val="Compact"/>
              <w:jc w:val="center"/>
            </w:pPr>
            <w:r>
              <w:t xml:space="preserve">−0.629 (0.076)</w:t>
            </w:r>
          </w:p>
        </w:tc>
        <w:tc>
          <w:tcPr/>
          <w:p>
            <w:pPr>
              <w:pStyle w:val="Compact"/>
              <w:jc w:val="center"/>
            </w:pPr>
            <w:r>
              <w:t xml:space="preserve">−0.855*** (0.133)</w:t>
            </w:r>
          </w:p>
        </w:tc>
      </w:tr>
      <w:tr>
        <w:tc>
          <w:tcPr/>
          <w:p>
            <w:pPr>
              <w:pStyle w:val="Compact"/>
              <w:jc w:val="left"/>
            </w:pPr>
            <w:r>
              <w:t xml:space="preserve">Amihud, list</w:t>
            </w:r>
          </w:p>
        </w:tc>
        <w:tc>
          <w:tcPr/>
          <w:p>
            <w:pPr>
              <w:pStyle w:val="Compact"/>
              <w:jc w:val="center"/>
            </w:pPr>
            <w:r>
              <w:t xml:space="preserve">−2.198 (0.396)</w:t>
            </w:r>
          </w:p>
        </w:tc>
        <w:tc>
          <w:tcPr/>
          <w:p>
            <w:pPr>
              <w:pStyle w:val="Compact"/>
              <w:jc w:val="center"/>
            </w:pPr>
            <w:r>
              <w:t xml:space="preserve">−0.819 (0.229)</w:t>
            </w:r>
          </w:p>
        </w:tc>
        <w:tc>
          <w:tcPr/>
          <w:p>
            <w:pPr>
              <w:pStyle w:val="Compact"/>
              <w:jc w:val="center"/>
            </w:pPr>
            <w:r>
              <w:t xml:space="preserve">−1.002*** (0.187)</w:t>
            </w:r>
          </w:p>
        </w:tc>
      </w:tr>
      <w:tr>
        <w:tc>
          <w:tcPr/>
          <w:p>
            <w:pPr>
              <w:pStyle w:val="Compact"/>
              <w:jc w:val="left"/>
            </w:pPr>
            <w:r>
              <w:t xml:space="preserve">Trading value, list</w:t>
            </w:r>
          </w:p>
        </w:tc>
        <w:tc>
          <w:tcPr/>
          <w:p>
            <w:pPr>
              <w:pStyle w:val="Compact"/>
              <w:jc w:val="center"/>
            </w:pPr>
            <w:r>
              <w:t xml:space="preserve">2.332 (0.484)</w:t>
            </w:r>
          </w:p>
        </w:tc>
        <w:tc>
          <w:tcPr/>
          <w:p>
            <w:pPr>
              <w:pStyle w:val="Compact"/>
              <w:jc w:val="center"/>
            </w:pPr>
            <w:r>
              <w:t xml:space="preserve">0.896 (0.194)</w:t>
            </w:r>
          </w:p>
        </w:tc>
        <w:tc>
          <w:tcPr/>
          <w:p>
            <w:pPr>
              <w:pStyle w:val="Compact"/>
              <w:jc w:val="center"/>
            </w:pPr>
            <w:r>
              <w:t xml:space="preserve">1.048*** (0.160)</w:t>
            </w:r>
          </w:p>
        </w:tc>
      </w:tr>
      <w:tr>
        <w:tc>
          <w:tcPr/>
          <w:p>
            <w:pPr>
              <w:pStyle w:val="Compact"/>
              <w:jc w:val="left"/>
            </w:pPr>
            <w:r>
              <w:t xml:space="preserve">Abnormal trading value, 18 Sep</w:t>
            </w:r>
          </w:p>
        </w:tc>
        <w:tc>
          <w:tcPr/>
          <w:p>
            <w:pPr>
              <w:pStyle w:val="Compact"/>
              <w:jc w:val="center"/>
            </w:pPr>
            <w:r>
              <w:t xml:space="preserve">1.231 (0.110)</w:t>
            </w:r>
          </w:p>
        </w:tc>
        <w:tc>
          <w:tcPr/>
          <w:p>
            <w:pPr>
              <w:pStyle w:val="Compact"/>
              <w:jc w:val="center"/>
            </w:pPr>
            <w:r>
              <w:t xml:space="preserve">0.976 (0.294)</w:t>
            </w:r>
          </w:p>
        </w:tc>
        <w:tc>
          <w:tcPr/>
          <w:p>
            <w:pPr>
              <w:pStyle w:val="Compact"/>
              <w:jc w:val="center"/>
            </w:pPr>
            <w:r>
              <w:t xml:space="preserve">0.645 (0.150)</w:t>
            </w:r>
          </w:p>
        </w:tc>
      </w:tr>
    </w:tbl>
    <w:p>
      <w:pPr>
        <w:pStyle w:val="BodyText"/>
      </w:pPr>
      <w:r>
        <w:rPr>
          <w:iCs/>
          <w:i/>
        </w:rPr>
        <w:t xml:space="preserve">Notes</w:t>
      </w:r>
      <w:r>
        <w:t xml:space="preserve">: Eq. (7) with segment-by-window interactions; the last row reports the mean (standard error), significance marks are omitted for the three-stock segments and the last row, and other details are as in Table 2. Source: Authors’ calculations.</w:t>
      </w:r>
    </w:p>
    <w:bookmarkEnd w:id="41"/>
    <w:bookmarkStart w:id="42" w:name="X4abac36360d333b95b94ffbe444442951c3e286"/>
    <w:p>
      <w:pPr>
        <w:pStyle w:val="Heading3"/>
      </w:pPr>
      <w:r>
        <w:t xml:space="preserve">4.5 Volatility rose, so the illiquidity decline is conservative</w:t>
      </w:r>
    </w:p>
    <w:p>
      <w:pPr>
        <w:pStyle w:val="FirstParagraph"/>
      </w:pPr>
      <w:r>
        <w:t xml:space="preserve">In Table 7, the weekly volatility of constituents rose by 0.34 and 0.21 log points in the announcement and confirmation windows (both significant at 0.1%) and by an insignificant 0.14 in the list window (column 1). Because the Amihud ratio divides absolute returns by traded value (Amihud, 2002), rising volatility pushes it up, so the measured decline in illiquidity understates the gain in trading capacity. Controlling for volatility enlarges the Amihud coefficients to −0.57, −1.00 and −1.20 (column 5).</w:t>
      </w:r>
    </w:p>
    <w:p>
      <w:pPr>
        <w:pStyle w:val="BodyText"/>
      </w:pPr>
      <w:r>
        <w:t xml:space="preserve">The CS spread rose by 0.09 to 0.13 percentage points (column 2), and by 0.11 to 0.14 percentage points in the matched sample (column 3), from a pre-period mean of 0.57%; with the volatility control, the rise shrinks to 0.06, 0.08 and 0.12 percentage points (column 4). The rise contrasts with S&amp;P 500 additions, whose liquidity gain came mainly through lower direct trading costs (Hegde &amp; McDermott, 2003). Because the Corwin and Schultz (2012) estimator loads on intraday price ranges, the residual rise may reflect volatility the weekly control misses, so we limit our liquidity claims to price impact and trading activity.</w:t>
      </w:r>
    </w:p>
    <w:p>
      <w:pPr>
        <w:pStyle w:val="BodyText"/>
      </w:pPr>
      <w:r>
        <w:rPr>
          <w:bCs/>
          <w:b/>
        </w:rPr>
        <w:t xml:space="preserve">Table 7. Volatility, CS spread and Amihud estimates for constituents</w:t>
      </w:r>
    </w:p>
    <w:tbl>
      <w:tblPr>
        <w:tblStyle w:val="Table"/>
        <w:tblW w:type="pct" w:w="5000"/>
        <w:tblLook w:firstRow="1" w:lastRow="0" w:firstColumn="0" w:lastColumn="0" w:noHBand="0" w:noVBand="0" w:val="0020"/>
        <w:jc w:val="start"/>
      </w:tblPr>
      <w:tblGrid>
        <w:gridCol w:w="1092"/>
        <w:gridCol w:w="1365"/>
        <w:gridCol w:w="1365"/>
        <w:gridCol w:w="1365"/>
        <w:gridCol w:w="1365"/>
        <w:gridCol w:w="1365"/>
      </w:tblGrid>
      <w:tr>
        <w:trPr>
          <w:tblHeader w:val="true"/>
        </w:trPr>
        <w:tc>
          <w:tcPr/>
          <w:p>
            <w:pPr>
              <w:pStyle w:val="Compact"/>
              <w:jc w:val="left"/>
            </w:pPr>
            <w:r>
              <w:t xml:space="preserve">Window</w:t>
            </w:r>
          </w:p>
        </w:tc>
        <w:tc>
          <w:tcPr/>
          <w:p>
            <w:pPr>
              <w:pStyle w:val="Compact"/>
              <w:jc w:val="center"/>
            </w:pPr>
            <w:r>
              <w:t xml:space="preserve">(1) Volatility</w:t>
            </w:r>
          </w:p>
        </w:tc>
        <w:tc>
          <w:tcPr/>
          <w:p>
            <w:pPr>
              <w:pStyle w:val="Compact"/>
              <w:jc w:val="center"/>
            </w:pPr>
            <w:r>
              <w:t xml:space="preserve">(2) CS spread</w:t>
            </w:r>
          </w:p>
        </w:tc>
        <w:tc>
          <w:tcPr/>
          <w:p>
            <w:pPr>
              <w:pStyle w:val="Compact"/>
              <w:jc w:val="center"/>
            </w:pPr>
            <w:r>
              <w:t xml:space="preserve">(3) CS spread, matched</w:t>
            </w:r>
          </w:p>
        </w:tc>
        <w:tc>
          <w:tcPr/>
          <w:p>
            <w:pPr>
              <w:pStyle w:val="Compact"/>
              <w:jc w:val="center"/>
            </w:pPr>
            <w:r>
              <w:t xml:space="preserve">(4) CS spread, volatility control</w:t>
            </w:r>
          </w:p>
        </w:tc>
        <w:tc>
          <w:tcPr/>
          <w:p>
            <w:pPr>
              <w:pStyle w:val="Compact"/>
              <w:jc w:val="center"/>
            </w:pPr>
            <w:r>
              <w:t xml:space="preserve">(5) Amihud, volatility control</w:t>
            </w:r>
          </w:p>
        </w:tc>
      </w:tr>
      <w:tr>
        <w:tc>
          <w:tcPr/>
          <w:p>
            <w:pPr>
              <w:pStyle w:val="Compact"/>
              <w:jc w:val="left"/>
            </w:pPr>
            <w:r>
              <w:t xml:space="preserve">Announcement</w:t>
            </w:r>
          </w:p>
        </w:tc>
        <w:tc>
          <w:tcPr/>
          <w:p>
            <w:pPr>
              <w:pStyle w:val="Compact"/>
              <w:jc w:val="center"/>
            </w:pPr>
            <w:r>
              <w:t xml:space="preserve">0.341*** (0.058)</w:t>
            </w:r>
          </w:p>
        </w:tc>
        <w:tc>
          <w:tcPr/>
          <w:p>
            <w:pPr>
              <w:pStyle w:val="Compact"/>
              <w:jc w:val="center"/>
            </w:pPr>
            <w:r>
              <w:t xml:space="preserve">0.0009** (0.0003)</w:t>
            </w:r>
          </w:p>
        </w:tc>
        <w:tc>
          <w:tcPr/>
          <w:p>
            <w:pPr>
              <w:pStyle w:val="Compact"/>
              <w:jc w:val="center"/>
            </w:pPr>
            <w:r>
              <w:t xml:space="preserve">0.0011** (0.0004)</w:t>
            </w:r>
          </w:p>
        </w:tc>
        <w:tc>
          <w:tcPr/>
          <w:p>
            <w:pPr>
              <w:pStyle w:val="Compact"/>
              <w:jc w:val="center"/>
            </w:pPr>
            <w:r>
              <w:t xml:space="preserve">0.0006* (0.0003)</w:t>
            </w:r>
          </w:p>
        </w:tc>
        <w:tc>
          <w:tcPr/>
          <w:p>
            <w:pPr>
              <w:pStyle w:val="Compact"/>
              <w:jc w:val="center"/>
            </w:pPr>
            <w:r>
              <w:t xml:space="preserve">−0.574*** (0.102)</w:t>
            </w:r>
          </w:p>
        </w:tc>
      </w:tr>
      <w:tr>
        <w:tc>
          <w:tcPr/>
          <w:p>
            <w:pPr>
              <w:pStyle w:val="Compact"/>
              <w:jc w:val="left"/>
            </w:pPr>
            <w:r>
              <w:t xml:space="preserve">Confirmation</w:t>
            </w:r>
          </w:p>
        </w:tc>
        <w:tc>
          <w:tcPr/>
          <w:p>
            <w:pPr>
              <w:pStyle w:val="Compact"/>
              <w:jc w:val="center"/>
            </w:pPr>
            <w:r>
              <w:t xml:space="preserve">0.215*** (0.056)</w:t>
            </w:r>
          </w:p>
        </w:tc>
        <w:tc>
          <w:tcPr/>
          <w:p>
            <w:pPr>
              <w:pStyle w:val="Compact"/>
              <w:jc w:val="center"/>
            </w:pPr>
            <w:r>
              <w:t xml:space="preserve">0.0010** (0.0003)</w:t>
            </w:r>
          </w:p>
        </w:tc>
        <w:tc>
          <w:tcPr/>
          <w:p>
            <w:pPr>
              <w:pStyle w:val="Compact"/>
              <w:jc w:val="center"/>
            </w:pPr>
            <w:r>
              <w:t xml:space="preserve">0.0014*** (0.0004)</w:t>
            </w:r>
          </w:p>
        </w:tc>
        <w:tc>
          <w:tcPr/>
          <w:p>
            <w:pPr>
              <w:pStyle w:val="Compact"/>
              <w:jc w:val="center"/>
            </w:pPr>
            <w:r>
              <w:t xml:space="preserve">0.0008* (0.0003)</w:t>
            </w:r>
          </w:p>
        </w:tc>
        <w:tc>
          <w:tcPr/>
          <w:p>
            <w:pPr>
              <w:pStyle w:val="Compact"/>
              <w:jc w:val="center"/>
            </w:pPr>
            <w:r>
              <w:t xml:space="preserve">−1.003*** (0.122)</w:t>
            </w:r>
          </w:p>
        </w:tc>
      </w:tr>
      <w:tr>
        <w:tc>
          <w:tcPr/>
          <w:p>
            <w:pPr>
              <w:pStyle w:val="Compact"/>
              <w:jc w:val="left"/>
            </w:pPr>
            <w:r>
              <w:t xml:space="preserve">List</w:t>
            </w:r>
          </w:p>
        </w:tc>
        <w:tc>
          <w:tcPr/>
          <w:p>
            <w:pPr>
              <w:pStyle w:val="Compact"/>
              <w:jc w:val="center"/>
            </w:pPr>
            <w:r>
              <w:t xml:space="preserve">0.139 (0.086)</w:t>
            </w:r>
          </w:p>
        </w:tc>
        <w:tc>
          <w:tcPr/>
          <w:p>
            <w:pPr>
              <w:pStyle w:val="Compact"/>
              <w:jc w:val="center"/>
            </w:pPr>
            <w:r>
              <w:t xml:space="preserve">0.0013** (0.0005)</w:t>
            </w:r>
          </w:p>
        </w:tc>
        <w:tc>
          <w:tcPr/>
          <w:p>
            <w:pPr>
              <w:pStyle w:val="Compact"/>
              <w:jc w:val="center"/>
            </w:pPr>
            <w:r>
              <w:t xml:space="preserve">0.0013* (0.0006)</w:t>
            </w:r>
          </w:p>
        </w:tc>
        <w:tc>
          <w:tcPr/>
          <w:p>
            <w:pPr>
              <w:pStyle w:val="Compact"/>
              <w:jc w:val="center"/>
            </w:pPr>
            <w:r>
              <w:t xml:space="preserve">0.0012* (0.0005)</w:t>
            </w:r>
          </w:p>
        </w:tc>
        <w:tc>
          <w:tcPr/>
          <w:p>
            <w:pPr>
              <w:pStyle w:val="Compact"/>
              <w:jc w:val="center"/>
            </w:pPr>
            <w:r>
              <w:t xml:space="preserve">−1.203*** (0.164)</w:t>
            </w:r>
          </w:p>
        </w:tc>
      </w:tr>
      <w:tr>
        <w:tc>
          <w:tcPr/>
          <w:p>
            <w:pPr>
              <w:pStyle w:val="Compact"/>
              <w:jc w:val="left"/>
            </w:pPr>
            <w:r>
              <w:t xml:space="preserve">Volatility</w:t>
            </w:r>
          </w:p>
        </w:tc>
        <w:tc>
          <w:tcPr/>
          <w:p>
            <w:pPr>
              <w:pStyle w:val="Compact"/>
            </w:pPr>
          </w:p>
        </w:tc>
        <w:tc>
          <w:tcPr/>
          <w:p>
            <w:pPr>
              <w:pStyle w:val="Compact"/>
            </w:pPr>
          </w:p>
        </w:tc>
        <w:tc>
          <w:tcPr/>
          <w:p>
            <w:pPr>
              <w:pStyle w:val="Compact"/>
            </w:pPr>
          </w:p>
        </w:tc>
        <w:tc>
          <w:tcPr/>
          <w:p>
            <w:pPr>
              <w:pStyle w:val="Compact"/>
              <w:jc w:val="center"/>
            </w:pPr>
            <w:r>
              <w:t xml:space="preserve">0.0010*** (0.0001)</w:t>
            </w:r>
          </w:p>
        </w:tc>
        <w:tc>
          <w:tcPr/>
          <w:p>
            <w:pPr>
              <w:pStyle w:val="Compact"/>
              <w:jc w:val="center"/>
            </w:pPr>
            <w:r>
              <w:t xml:space="preserve">0.535*** (0.021)</w:t>
            </w:r>
          </w:p>
        </w:tc>
      </w:tr>
      <w:tr>
        <w:tc>
          <w:tcPr/>
          <w:p>
            <w:pPr>
              <w:pStyle w:val="Compact"/>
              <w:jc w:val="left"/>
            </w:pPr>
            <w:r>
              <w:t xml:space="preserve">Observations</w:t>
            </w:r>
          </w:p>
        </w:tc>
        <w:tc>
          <w:tcPr/>
          <w:p>
            <w:pPr>
              <w:pStyle w:val="Compact"/>
              <w:jc w:val="center"/>
            </w:pPr>
            <w:r>
              <w:t xml:space="preserve">34,369</w:t>
            </w:r>
          </w:p>
        </w:tc>
        <w:tc>
          <w:tcPr/>
          <w:p>
            <w:pPr>
              <w:pStyle w:val="Compact"/>
              <w:jc w:val="center"/>
            </w:pPr>
            <w:r>
              <w:t xml:space="preserve">34,369</w:t>
            </w:r>
          </w:p>
        </w:tc>
        <w:tc>
          <w:tcPr/>
          <w:p>
            <w:pPr>
              <w:pStyle w:val="Compact"/>
              <w:jc w:val="center"/>
            </w:pPr>
            <w:r>
              <w:t xml:space="preserve">4,751</w:t>
            </w:r>
          </w:p>
        </w:tc>
        <w:tc>
          <w:tcPr/>
          <w:p>
            <w:pPr>
              <w:pStyle w:val="Compact"/>
              <w:jc w:val="center"/>
            </w:pPr>
            <w:r>
              <w:t xml:space="preserve">34,369</w:t>
            </w:r>
          </w:p>
        </w:tc>
        <w:tc>
          <w:tcPr/>
          <w:p>
            <w:pPr>
              <w:pStyle w:val="Compact"/>
              <w:jc w:val="center"/>
            </w:pPr>
            <w:r>
              <w:t xml:space="preserve">34,369</w:t>
            </w:r>
          </w:p>
        </w:tc>
      </w:tr>
    </w:tbl>
    <w:p>
      <w:pPr>
        <w:pStyle w:val="BodyText"/>
      </w:pPr>
      <w:r>
        <w:rPr>
          <w:iCs/>
          <w:i/>
        </w:rPr>
        <w:t xml:space="preserve">Notes</w:t>
      </w:r>
      <w:r>
        <w:t xml:space="preserve">: Eq. (7), with volatility</w:t>
      </w:r>
      <w:r>
        <w:t xml:space="preserve"> </w:t>
      </w:r>
      <m:oMath>
        <m:sSub>
          <m:e>
            <m:r>
              <m:rPr>
                <m:sty m:val="p"/>
              </m:rPr>
              <m:t>V</m:t>
            </m:r>
            <m:r>
              <m:rPr>
                <m:sty m:val="p"/>
              </m:rPr>
              <m:t>o</m:t>
            </m:r>
            <m:r>
              <m:rPr>
                <m:sty m:val="p"/>
              </m:rPr>
              <m:t>l</m:t>
            </m:r>
          </m:e>
          <m:sub>
            <m:r>
              <m:t>i</m:t>
            </m:r>
            <m:r>
              <m:t>w</m:t>
            </m:r>
          </m:sub>
        </m:sSub>
      </m:oMath>
      <w:r>
        <w:t xml:space="preserve"> </w:t>
      </w:r>
      <w:r>
        <w:t xml:space="preserve">from Eq. (4), spreads in decimal units (0.0010 = 0.10 percentage points) and other details as in Table 2. Source: Authors’ calculations.</w:t>
      </w:r>
    </w:p>
    <w:bookmarkEnd w:id="42"/>
    <w:bookmarkEnd w:id="43"/>
    <w:bookmarkStart w:id="46" w:name="robustness-and-selection"/>
    <w:p>
      <w:pPr>
        <w:pStyle w:val="Heading2"/>
      </w:pPr>
      <w:r>
        <w:t xml:space="preserve">5. Robustness and selection</w:t>
      </w:r>
    </w:p>
    <w:bookmarkStart w:id="44" w:name="robustness-of-the-liquidity-result"/>
    <w:p>
      <w:pPr>
        <w:pStyle w:val="Heading3"/>
      </w:pPr>
      <w:r>
        <w:t xml:space="preserve">5.1 Robustness of the liquidity result</w:t>
      </w:r>
    </w:p>
    <w:p>
      <w:pPr>
        <w:pStyle w:val="FirstParagraph"/>
      </w:pPr>
      <w:r>
        <w:t xml:space="preserve">Table 8 collects the robustness checks for the constituent Amihud result. The coefficients remain negative in every specification; they are of similar size except in the weighted matched sample with a trend and the drift specification, where they are about half as large (the ITT row compares with Table 3).</w:t>
      </w:r>
    </w:p>
    <w:p>
      <w:pPr>
        <w:pStyle w:val="BodyText"/>
      </w:pPr>
      <w:r>
        <w:rPr>
          <w:bCs/>
          <w:b/>
        </w:rPr>
        <w:t xml:space="preserve">Table 8. Robustness of the constituent Amihud estimates</w:t>
      </w:r>
    </w:p>
    <w:tbl>
      <w:tblPr>
        <w:tblStyle w:val="Table"/>
        <w:tblW w:type="pct" w:w="5000"/>
        <w:tblLook w:firstRow="1" w:lastRow="0" w:firstColumn="0" w:lastColumn="0" w:noHBand="0" w:noVBand="0" w:val="0020"/>
        <w:jc w:val="start"/>
      </w:tblPr>
      <w:tblGrid>
        <w:gridCol w:w="1320"/>
        <w:gridCol w:w="1650"/>
        <w:gridCol w:w="1650"/>
        <w:gridCol w:w="1650"/>
        <w:gridCol w:w="1650"/>
      </w:tblGrid>
      <w:tr>
        <w:trPr>
          <w:tblHeader w:val="true"/>
        </w:trPr>
        <w:tc>
          <w:tcPr/>
          <w:p>
            <w:pPr>
              <w:pStyle w:val="Compact"/>
              <w:jc w:val="left"/>
            </w:pPr>
            <w:r>
              <w:t xml:space="preserve">Specification</w:t>
            </w:r>
          </w:p>
        </w:tc>
        <w:tc>
          <w:tcPr/>
          <w:p>
            <w:pPr>
              <w:pStyle w:val="Compact"/>
              <w:jc w:val="center"/>
            </w:pPr>
            <w:r>
              <w:t xml:space="preserve">Announcement</w:t>
            </w:r>
          </w:p>
        </w:tc>
        <w:tc>
          <w:tcPr/>
          <w:p>
            <w:pPr>
              <w:pStyle w:val="Compact"/>
              <w:jc w:val="center"/>
            </w:pPr>
            <w:r>
              <w:t xml:space="preserve">Confirmation</w:t>
            </w:r>
          </w:p>
        </w:tc>
        <w:tc>
          <w:tcPr/>
          <w:p>
            <w:pPr>
              <w:pStyle w:val="Compact"/>
              <w:jc w:val="center"/>
            </w:pPr>
            <w:r>
              <w:t xml:space="preserve">List</w:t>
            </w:r>
          </w:p>
        </w:tc>
        <w:tc>
          <w:tcPr/>
          <w:p>
            <w:pPr>
              <w:pStyle w:val="Compact"/>
              <w:jc w:val="center"/>
            </w:pPr>
            <w:r>
              <w:t xml:space="preserve">Observations</w:t>
            </w:r>
          </w:p>
        </w:tc>
      </w:tr>
      <w:tr>
        <w:tc>
          <w:tcPr/>
          <w:p>
            <w:pPr>
              <w:pStyle w:val="Compact"/>
              <w:jc w:val="left"/>
            </w:pPr>
            <w:r>
              <w:t xml:space="preserve">Baseline (Table 2, column 1)</w:t>
            </w:r>
          </w:p>
        </w:tc>
        <w:tc>
          <w:tcPr/>
          <w:p>
            <w:pPr>
              <w:pStyle w:val="Compact"/>
              <w:jc w:val="center"/>
            </w:pPr>
            <w:r>
              <w:t xml:space="preserve">−0.392*** (0.098)</w:t>
            </w:r>
          </w:p>
        </w:tc>
        <w:tc>
          <w:tcPr/>
          <w:p>
            <w:pPr>
              <w:pStyle w:val="Compact"/>
              <w:jc w:val="center"/>
            </w:pPr>
            <w:r>
              <w:t xml:space="preserve">−0.888*** (0.124)</w:t>
            </w:r>
          </w:p>
        </w:tc>
        <w:tc>
          <w:tcPr/>
          <w:p>
            <w:pPr>
              <w:pStyle w:val="Compact"/>
              <w:jc w:val="center"/>
            </w:pPr>
            <w:r>
              <w:t xml:space="preserve">−1.129*** (0.178)</w:t>
            </w:r>
          </w:p>
        </w:tc>
        <w:tc>
          <w:tcPr/>
          <w:p>
            <w:pPr>
              <w:pStyle w:val="Compact"/>
              <w:jc w:val="center"/>
            </w:pPr>
            <w:r>
              <w:t xml:space="preserve">34,369</w:t>
            </w:r>
          </w:p>
        </w:tc>
      </w:tr>
      <w:tr>
        <w:tc>
          <w:tcPr/>
          <w:p>
            <w:pPr>
              <w:pStyle w:val="Compact"/>
              <w:jc w:val="left"/>
            </w:pPr>
            <w:r>
              <w:t xml:space="preserve">Size-tercile-by-week fixed effects</w:t>
            </w:r>
          </w:p>
        </w:tc>
        <w:tc>
          <w:tcPr/>
          <w:p>
            <w:pPr>
              <w:pStyle w:val="Compact"/>
              <w:jc w:val="center"/>
            </w:pPr>
            <w:r>
              <w:t xml:space="preserve">−0.424*** (0.108)</w:t>
            </w:r>
          </w:p>
        </w:tc>
        <w:tc>
          <w:tcPr/>
          <w:p>
            <w:pPr>
              <w:pStyle w:val="Compact"/>
              <w:jc w:val="center"/>
            </w:pPr>
            <w:r>
              <w:t xml:space="preserve">−0.786*** (0.139)</w:t>
            </w:r>
          </w:p>
        </w:tc>
        <w:tc>
          <w:tcPr/>
          <w:p>
            <w:pPr>
              <w:pStyle w:val="Compact"/>
              <w:jc w:val="center"/>
            </w:pPr>
            <w:r>
              <w:t xml:space="preserve">−0.978*** (0.207)</w:t>
            </w:r>
          </w:p>
        </w:tc>
        <w:tc>
          <w:tcPr/>
          <w:p>
            <w:pPr>
              <w:pStyle w:val="Compact"/>
              <w:jc w:val="center"/>
            </w:pPr>
            <w:r>
              <w:t xml:space="preserve">34,369</w:t>
            </w:r>
          </w:p>
        </w:tc>
      </w:tr>
      <w:tr>
        <w:tc>
          <w:tcPr/>
          <w:p>
            <w:pPr>
              <w:pStyle w:val="Compact"/>
              <w:jc w:val="left"/>
            </w:pPr>
            <w:r>
              <w:t xml:space="preserve">Excl. Vingroup stocks</w:t>
            </w:r>
          </w:p>
        </w:tc>
        <w:tc>
          <w:tcPr/>
          <w:p>
            <w:pPr>
              <w:pStyle w:val="Compact"/>
              <w:jc w:val="center"/>
            </w:pPr>
            <w:r>
              <w:t xml:space="preserve">−0.389*** (0.100)</w:t>
            </w:r>
          </w:p>
        </w:tc>
        <w:tc>
          <w:tcPr/>
          <w:p>
            <w:pPr>
              <w:pStyle w:val="Compact"/>
              <w:jc w:val="center"/>
            </w:pPr>
            <w:r>
              <w:t xml:space="preserve">−0.863*** (0.114)</w:t>
            </w:r>
          </w:p>
        </w:tc>
        <w:tc>
          <w:tcPr/>
          <w:p>
            <w:pPr>
              <w:pStyle w:val="Compact"/>
              <w:jc w:val="center"/>
            </w:pPr>
            <w:r>
              <w:t xml:space="preserve">−1.007*** (0.168)</w:t>
            </w:r>
          </w:p>
        </w:tc>
        <w:tc>
          <w:tcPr/>
          <w:p>
            <w:pPr>
              <w:pStyle w:val="Compact"/>
              <w:jc w:val="center"/>
            </w:pPr>
            <w:r>
              <w:t xml:space="preserve">34,072</w:t>
            </w:r>
          </w:p>
        </w:tc>
      </w:tr>
      <w:tr>
        <w:tc>
          <w:tcPr/>
          <w:p>
            <w:pPr>
              <w:pStyle w:val="Compact"/>
              <w:jc w:val="left"/>
            </w:pPr>
            <w:r>
              <w:t xml:space="preserve">Linear trend</w:t>
            </w:r>
          </w:p>
        </w:tc>
        <w:tc>
          <w:tcPr/>
          <w:p>
            <w:pPr>
              <w:pStyle w:val="Compact"/>
              <w:jc w:val="center"/>
            </w:pPr>
            <w:r>
              <w:t xml:space="preserve">−0.382*** (0.098)</w:t>
            </w:r>
          </w:p>
        </w:tc>
        <w:tc>
          <w:tcPr/>
          <w:p>
            <w:pPr>
              <w:pStyle w:val="Compact"/>
              <w:jc w:val="center"/>
            </w:pPr>
            <w:r>
              <w:t xml:space="preserve">−0.874*** (0.156)</w:t>
            </w:r>
          </w:p>
        </w:tc>
        <w:tc>
          <w:tcPr/>
          <w:p>
            <w:pPr>
              <w:pStyle w:val="Compact"/>
              <w:jc w:val="center"/>
            </w:pPr>
            <w:r>
              <w:t xml:space="preserve">−1.111*** (0.225)</w:t>
            </w:r>
          </w:p>
        </w:tc>
        <w:tc>
          <w:tcPr/>
          <w:p>
            <w:pPr>
              <w:pStyle w:val="Compact"/>
              <w:jc w:val="center"/>
            </w:pPr>
            <w:r>
              <w:t xml:space="preserve">34,369</w:t>
            </w:r>
          </w:p>
        </w:tc>
      </w:tr>
      <w:tr>
        <w:tc>
          <w:tcPr/>
          <w:p>
            <w:pPr>
              <w:pStyle w:val="Compact"/>
              <w:jc w:val="left"/>
            </w:pPr>
            <w:r>
              <w:t xml:space="preserve">Matched sample with trend</w:t>
            </w:r>
          </w:p>
        </w:tc>
        <w:tc>
          <w:tcPr/>
          <w:p>
            <w:pPr>
              <w:pStyle w:val="Compact"/>
              <w:jc w:val="center"/>
            </w:pPr>
            <w:r>
              <w:t xml:space="preserve">−0.204 (0.138)</w:t>
            </w:r>
          </w:p>
        </w:tc>
        <w:tc>
          <w:tcPr/>
          <w:p>
            <w:pPr>
              <w:pStyle w:val="Compact"/>
              <w:jc w:val="center"/>
            </w:pPr>
            <w:r>
              <w:t xml:space="preserve">−0.425* (0.199)</w:t>
            </w:r>
          </w:p>
        </w:tc>
        <w:tc>
          <w:tcPr/>
          <w:p>
            <w:pPr>
              <w:pStyle w:val="Compact"/>
              <w:jc w:val="center"/>
            </w:pPr>
            <w:r>
              <w:t xml:space="preserve">−0.637* (0.262)</w:t>
            </w:r>
          </w:p>
        </w:tc>
        <w:tc>
          <w:tcPr/>
          <w:p>
            <w:pPr>
              <w:pStyle w:val="Compact"/>
              <w:jc w:val="center"/>
            </w:pPr>
            <w:r>
              <w:t xml:space="preserve">4,751</w:t>
            </w:r>
          </w:p>
        </w:tc>
      </w:tr>
      <w:tr>
        <w:tc>
          <w:tcPr/>
          <w:p>
            <w:pPr>
              <w:pStyle w:val="Compact"/>
              <w:jc w:val="left"/>
            </w:pPr>
            <w:r>
              <w:t xml:space="preserve">Post-announcement drift</w:t>
            </w:r>
          </w:p>
        </w:tc>
        <w:tc>
          <w:tcPr/>
          <w:p>
            <w:pPr>
              <w:pStyle w:val="Compact"/>
              <w:jc w:val="center"/>
            </w:pPr>
            <w:r>
              <w:t xml:space="preserve">−0.231* (0.110)</w:t>
            </w:r>
          </w:p>
        </w:tc>
        <w:tc>
          <w:tcPr/>
          <w:p>
            <w:pPr>
              <w:pStyle w:val="Compact"/>
              <w:jc w:val="center"/>
            </w:pPr>
            <w:r>
              <w:t xml:space="preserve">−0.446** (0.171)</w:t>
            </w:r>
          </w:p>
        </w:tc>
        <w:tc>
          <w:tcPr/>
          <w:p>
            <w:pPr>
              <w:pStyle w:val="Compact"/>
              <w:jc w:val="center"/>
            </w:pPr>
            <w:r>
              <w:t xml:space="preserve">−0.541* (0.235)</w:t>
            </w:r>
          </w:p>
        </w:tc>
        <w:tc>
          <w:tcPr/>
          <w:p>
            <w:pPr>
              <w:pStyle w:val="Compact"/>
              <w:jc w:val="center"/>
            </w:pPr>
            <w:r>
              <w:t xml:space="preserve">34,369</w:t>
            </w:r>
          </w:p>
        </w:tc>
      </w:tr>
      <w:tr>
        <w:tc>
          <w:tcPr/>
          <w:p>
            <w:pPr>
              <w:pStyle w:val="Compact"/>
              <w:jc w:val="left"/>
            </w:pPr>
            <w:r>
              <w:t xml:space="preserve">Excl. July and August 2025</w:t>
            </w:r>
          </w:p>
        </w:tc>
        <w:tc>
          <w:tcPr/>
          <w:p>
            <w:pPr>
              <w:pStyle w:val="Compact"/>
              <w:jc w:val="center"/>
            </w:pPr>
            <w:r>
              <w:t xml:space="preserve">−0.354*** (0.105)</w:t>
            </w:r>
          </w:p>
        </w:tc>
        <w:tc>
          <w:tcPr/>
          <w:p>
            <w:pPr>
              <w:pStyle w:val="Compact"/>
              <w:jc w:val="center"/>
            </w:pPr>
            <w:r>
              <w:t xml:space="preserve">−0.850*** (0.130)</w:t>
            </w:r>
          </w:p>
        </w:tc>
        <w:tc>
          <w:tcPr/>
          <w:p>
            <w:pPr>
              <w:pStyle w:val="Compact"/>
              <w:jc w:val="center"/>
            </w:pPr>
            <w:r>
              <w:t xml:space="preserve">−1.091*** (0.183)</w:t>
            </w:r>
          </w:p>
        </w:tc>
        <w:tc>
          <w:tcPr/>
          <w:p>
            <w:pPr>
              <w:pStyle w:val="Compact"/>
              <w:jc w:val="center"/>
            </w:pPr>
            <w:r>
              <w:t xml:space="preserve">31,212</w:t>
            </w:r>
          </w:p>
        </w:tc>
      </w:tr>
      <w:tr>
        <w:tc>
          <w:tcPr/>
          <w:p>
            <w:pPr>
              <w:pStyle w:val="Compact"/>
              <w:jc w:val="left"/>
            </w:pPr>
            <w:r>
              <w:t xml:space="preserve">Excl. banks and brokers (11)</w:t>
            </w:r>
          </w:p>
        </w:tc>
        <w:tc>
          <w:tcPr/>
          <w:p>
            <w:pPr>
              <w:pStyle w:val="Compact"/>
              <w:jc w:val="center"/>
            </w:pPr>
            <w:r>
              <w:t xml:space="preserve">−0.439** (0.163)</w:t>
            </w:r>
          </w:p>
        </w:tc>
        <w:tc>
          <w:tcPr/>
          <w:p>
            <w:pPr>
              <w:pStyle w:val="Compact"/>
              <w:jc w:val="center"/>
            </w:pPr>
            <w:r>
              <w:t xml:space="preserve">−1.042*** (0.210)</w:t>
            </w:r>
          </w:p>
        </w:tc>
        <w:tc>
          <w:tcPr/>
          <w:p>
            <w:pPr>
              <w:pStyle w:val="Compact"/>
              <w:jc w:val="center"/>
            </w:pPr>
            <w:r>
              <w:t xml:space="preserve">−1.398*** (0.315)</w:t>
            </w:r>
          </w:p>
        </w:tc>
        <w:tc>
          <w:tcPr/>
          <w:p>
            <w:pPr>
              <w:pStyle w:val="Compact"/>
              <w:jc w:val="center"/>
            </w:pPr>
            <w:r>
              <w:t xml:space="preserve">33,082</w:t>
            </w:r>
          </w:p>
        </w:tc>
      </w:tr>
      <w:tr>
        <w:tc>
          <w:tcPr/>
          <w:p>
            <w:pPr>
              <w:pStyle w:val="Compact"/>
              <w:jc w:val="left"/>
            </w:pPr>
            <w:r>
              <w:t xml:space="preserve">ITT excl. banks and brokers (19)</w:t>
            </w:r>
          </w:p>
        </w:tc>
        <w:tc>
          <w:tcPr/>
          <w:p>
            <w:pPr>
              <w:pStyle w:val="Compact"/>
              <w:jc w:val="center"/>
            </w:pPr>
            <w:r>
              <w:t xml:space="preserve">−0.225* (0.095)</w:t>
            </w:r>
          </w:p>
        </w:tc>
        <w:tc>
          <w:tcPr/>
          <w:p>
            <w:pPr>
              <w:pStyle w:val="Compact"/>
              <w:jc w:val="center"/>
            </w:pPr>
            <w:r>
              <w:t xml:space="preserve">−0.515** (0.163)</w:t>
            </w:r>
          </w:p>
        </w:tc>
        <w:tc>
          <w:tcPr/>
          <w:p>
            <w:pPr>
              <w:pStyle w:val="Compact"/>
              <w:jc w:val="center"/>
            </w:pPr>
            <w:r>
              <w:t xml:space="preserve">−0.831*** (0.223)</w:t>
            </w:r>
          </w:p>
        </w:tc>
        <w:tc>
          <w:tcPr/>
          <w:p>
            <w:pPr>
              <w:pStyle w:val="Compact"/>
              <w:jc w:val="center"/>
            </w:pPr>
            <w:r>
              <w:t xml:space="preserve">33,874</w:t>
            </w:r>
          </w:p>
        </w:tc>
      </w:tr>
      <w:tr>
        <w:tc>
          <w:tcPr/>
          <w:p>
            <w:pPr>
              <w:pStyle w:val="Compact"/>
              <w:jc w:val="left"/>
            </w:pPr>
            <w:r>
              <w:t xml:space="preserve">Wild cluster bootstrap</w:t>
            </w:r>
            <w:r>
              <w:t xml:space="preserve"> </w:t>
            </w:r>
            <w:r>
              <w:rPr>
                <w:iCs/>
                <w:i/>
              </w:rPr>
              <w:t xml:space="preserve">p</w:t>
            </w:r>
          </w:p>
        </w:tc>
        <w:tc>
          <w:tcPr/>
          <w:p>
            <w:pPr>
              <w:pStyle w:val="Compact"/>
              <w:jc w:val="center"/>
            </w:pPr>
            <w:r>
              <w:t xml:space="preserve">&lt; 0.001</w:t>
            </w:r>
          </w:p>
        </w:tc>
        <w:tc>
          <w:tcPr/>
          <w:p>
            <w:pPr>
              <w:pStyle w:val="Compact"/>
              <w:jc w:val="center"/>
            </w:pPr>
            <w:r>
              <w:t xml:space="preserve">&lt; 0.001</w:t>
            </w:r>
          </w:p>
        </w:tc>
        <w:tc>
          <w:tcPr/>
          <w:p>
            <w:pPr>
              <w:pStyle w:val="Compact"/>
              <w:jc w:val="center"/>
            </w:pPr>
            <w:r>
              <w:t xml:space="preserve">&lt; 0.001</w:t>
            </w:r>
          </w:p>
        </w:tc>
        <w:tc>
          <w:tcPr/>
          <w:p>
            <w:pPr>
              <w:pStyle w:val="Compact"/>
            </w:pPr>
          </w:p>
        </w:tc>
      </w:tr>
      <w:tr>
        <w:tc>
          <w:tcPr/>
          <w:p>
            <w:pPr>
              <w:pStyle w:val="Compact"/>
              <w:jc w:val="left"/>
            </w:pPr>
            <w:r>
              <w:t xml:space="preserve">Randomization inference</w:t>
            </w:r>
            <w:r>
              <w:t xml:space="preserve"> </w:t>
            </w:r>
            <w:r>
              <w:rPr>
                <w:iCs/>
                <w:i/>
              </w:rPr>
              <w:t xml:space="preserve">p</w:t>
            </w:r>
          </w:p>
        </w:tc>
        <w:tc>
          <w:tcPr/>
          <w:p>
            <w:pPr>
              <w:pStyle w:val="Compact"/>
              <w:jc w:val="center"/>
            </w:pPr>
            <w:r>
              <w:t xml:space="preserve">&lt; 0.002</w:t>
            </w:r>
          </w:p>
        </w:tc>
        <w:tc>
          <w:tcPr/>
          <w:p>
            <w:pPr>
              <w:pStyle w:val="Compact"/>
              <w:jc w:val="center"/>
            </w:pPr>
            <w:r>
              <w:t xml:space="preserve">&lt; 0.002</w:t>
            </w:r>
          </w:p>
        </w:tc>
        <w:tc>
          <w:tcPr/>
          <w:p>
            <w:pPr>
              <w:pStyle w:val="Compact"/>
              <w:jc w:val="center"/>
            </w:pPr>
            <w:r>
              <w:t xml:space="preserve">&lt; 0.002</w:t>
            </w:r>
          </w:p>
        </w:tc>
        <w:tc>
          <w:tcPr/>
          <w:p>
            <w:pPr>
              <w:pStyle w:val="Compact"/>
            </w:pPr>
          </w:p>
        </w:tc>
      </w:tr>
    </w:tbl>
    <w:p>
      <w:pPr>
        <w:pStyle w:val="BodyText"/>
      </w:pPr>
      <w:r>
        <w:rPr>
          <w:iCs/>
          <w:i/>
        </w:rPr>
        <w:t xml:space="preserve">Notes</w:t>
      </w:r>
      <w:r>
        <w:t xml:space="preserve">: Dependent variable log Amihud; the excluded stocks and the inference settings (one-sided randomization inference) are given in Sections 3.3 and 5.1, and other details are as in Table 2. Source: Authors’ calculations.</w:t>
      </w:r>
    </w:p>
    <w:p>
      <w:pPr>
        <w:pStyle w:val="BodyText"/>
      </w:pPr>
      <w:r>
        <w:rPr>
          <w:bCs/>
          <w:b/>
        </w:rPr>
        <w:t xml:space="preserve">Pre-announcement months.</w:t>
      </w:r>
      <w:r>
        <w:t xml:space="preserve"> </w:t>
      </w:r>
      <w:r>
        <w:t xml:space="preserve">The positive pre-period deviations in Figure 1 work against the estimated declines. Dropping July and August 2025, the two months with significant positive deviations, or adding a constituent-specific linear trend (−0.0002 per week, standard error 0.003) leaves the estimates almost unchanged (Table 8). The weighted matched sample with a trend yields estimates about half as large, with the announcement estimate not significant, so we rest the announcement-stage conclusion on the full-sample, ITT and trend estimates and treat it as less certain than the later stages.</w:t>
      </w:r>
    </w:p>
    <w:p>
      <w:pPr>
        <w:pStyle w:val="BodyText"/>
      </w:pPr>
      <w:r>
        <w:rPr>
          <w:bCs/>
          <w:b/>
        </w:rPr>
        <w:t xml:space="preserve">Size-related shocks.</w:t>
      </w:r>
      <w:r>
        <w:t xml:space="preserve"> </w:t>
      </w:r>
      <w:r>
        <w:t xml:space="preserve">With size-tercile-by-week fixed effects, the confirmation and list coefficients shrink by 12% and 13% and all three remain significant at 0.1%; the predicted-constituent estimates in Table 3, which use only pre-period size, point the same way.</w:t>
      </w:r>
    </w:p>
    <w:p>
      <w:pPr>
        <w:pStyle w:val="BodyText"/>
      </w:pPr>
      <w:r>
        <w:rPr>
          <w:bCs/>
          <w:b/>
        </w:rPr>
        <w:t xml:space="preserve">Trading value.</w:t>
      </w:r>
      <w:r>
        <w:t xml:space="preserve"> </w:t>
      </w:r>
      <w:r>
        <w:t xml:space="preserve">A constituent-specific linear trend in trading value is strong (0.010 log points per week,</w:t>
      </w:r>
      <w:r>
        <w:t xml:space="preserve"> </w:t>
      </w:r>
      <w:r>
        <w:rPr>
          <w:iCs/>
          <w:i/>
        </w:rPr>
        <w:t xml:space="preserve">p</w:t>
      </w:r>
      <w:r>
        <w:t xml:space="preserve"> </w:t>
      </w:r>
      <w:r>
        <w:t xml:space="preserve">&lt; 0.001), and trend-adjusted effects fall to 0.28, 0.39 and 0.43 log points, the last significant only at 10%.</w:t>
      </w:r>
    </w:p>
    <w:p>
      <w:pPr>
        <w:pStyle w:val="BodyText"/>
      </w:pPr>
      <w:r>
        <w:rPr>
          <w:bCs/>
          <w:b/>
        </w:rPr>
        <w:t xml:space="preserve">Inference and influential stocks.</w:t>
      </w:r>
      <w:r>
        <w:t xml:space="preserve"> </w:t>
      </w:r>
      <w:r>
        <w:t xml:space="preserve">Two-way clustering by stock and week widens standard errors by less than 17%. Excluding the three Vingroup-family stocks changes the estimates by at most 11%. In the unweighted matched sample, with 48 clusters, the wild cluster bootstrap</w:t>
      </w:r>
      <w:r>
        <w:t xml:space="preserve"> </w:t>
      </w:r>
      <w:r>
        <w:rPr>
          <w:iCs/>
          <w:i/>
        </w:rPr>
        <w:t xml:space="preserve">p</w:t>
      </w:r>
      <w:r>
        <w:t xml:space="preserve">-values remain at or below 0.003.</w:t>
      </w:r>
    </w:p>
    <w:p>
      <w:pPr>
        <w:pStyle w:val="BodyText"/>
      </w:pPr>
      <w:r>
        <w:rPr>
          <w:bCs/>
          <w:b/>
        </w:rPr>
        <w:t xml:space="preserve">Sector composition and the pre-funding reform.</w:t>
      </w:r>
      <w:r>
        <w:t xml:space="preserve"> </w:t>
      </w:r>
      <w:r>
        <w:t xml:space="preserve">Banks (VCB, BID, VPB, HDB, STB, SHB, SSB, MSB) and securities firms (SSI, VCI, VIX, VND, HCM) make up 13 of the 24 constituents and 8 of the 27 ITT stocks, which also include EIB; the Vingroup stocks are VIC, VHM and VRE. Without the banks and securities firms, the remaining 11 constituents and 19 ITT stocks show similar or larger declines (Table 8). LSEG (2026) lists the removal of pre-funding requirements for foreign institutional investors among the reforms behind the upgrade, a reform that applies to every stock foreign investors can buy. The 85 large never-named stocks also became more liquid (Section 4.1), but this comparison does not separate the reform from the upgrade for the largest stocks.</w:t>
      </w:r>
    </w:p>
    <w:p>
      <w:pPr>
        <w:pStyle w:val="BodyText"/>
      </w:pPr>
      <w:r>
        <w:rPr>
          <w:bCs/>
          <w:b/>
        </w:rPr>
        <w:t xml:space="preserve">Placebo.</w:t>
      </w:r>
      <w:r>
        <w:t xml:space="preserve"> </w:t>
      </w:r>
      <w:r>
        <w:t xml:space="preserve">A fake event on 7 April 2025, estimated on pre-announcement data only, yields a coefficient of 0.04 (standard error 0.10).</w:t>
      </w:r>
    </w:p>
    <w:bookmarkEnd w:id="44"/>
    <w:bookmarkStart w:id="45" w:name="X47ba60828c54190aeb0bbb5d7aeca48613d2926"/>
    <w:p>
      <w:pPr>
        <w:pStyle w:val="Heading3"/>
      </w:pPr>
      <w:r>
        <w:t xml:space="preserve">5.2 Selection: FTSE’s lists partly followed rising liquidity</w:t>
      </w:r>
    </w:p>
    <w:p>
      <w:pPr>
        <w:pStyle w:val="FirstParagraph"/>
      </w:pPr>
      <w:r>
        <w:t xml:space="preserve">Table 9 uses the 14 stocks FTSE named but did not include to test for selection. They became less illiquid than never-named stocks by 0.29, 0.55 and 0.87 log points, 62% to 77% of the constituent effects, the first significant only at 10% (panel A). Without BSR, whose pre-period spans two venues, the estimates are −0.23, −0.46 and −0.73, only the last significant at 5%. The gains concentrate in GEE and BSR.</w:t>
      </w:r>
    </w:p>
    <w:p>
      <w:pPr>
        <w:pStyle w:val="BodyText"/>
      </w:pPr>
      <w:r>
        <w:t xml:space="preserve">Panel B splits the period after the announcement into three screening windows, assigning weeks by their start date: S1 from 7 October to 31 December 2025, the last date of the data FTSE screened for the April 2026 list; S2 from 1 January to 6 April 2026; and S3 from 7 April 2026. GEE, added in April, became 1.83 log points less illiquid relative to never-named stocks during S1, inside that data window (Appendix Table A.3). BSR improved mostly after the cut-off (−0.39 in S1, −1.68 in S2). It joined HOSE only in January 2025, after the data date of the November list (VietnamPlus, 2024), which provides a reason other than liquidity for its later addition. The twelve November names changed little (−0.02, −0.19 and −0.30 log points, none significant at 5%), and only PLX, which FTSE dropped in April, and DPM fell by more than 0.5 log points by the April list.</w:t>
      </w:r>
    </w:p>
    <w:p>
      <w:pPr>
        <w:pStyle w:val="BodyText"/>
      </w:pPr>
      <w:r>
        <w:rPr>
          <w:bCs/>
          <w:b/>
        </w:rPr>
        <w:t xml:space="preserve">Table 9. Named-but-excluded stocks and the timing of FTSE’s screening</w:t>
      </w:r>
    </w:p>
    <w:p>
      <w:pPr>
        <w:pStyle w:val="BodyText"/>
      </w:pPr>
      <w:r>
        <w:t xml:space="preserve">Panel A. Named-but-excluded (14) and constituents</w:t>
      </w:r>
    </w:p>
    <w:tbl>
      <w:tblPr>
        <w:tblStyle w:val="Table"/>
        <w:tblW w:type="pct" w:w="5000"/>
        <w:tblLook w:firstRow="1" w:lastRow="0" w:firstColumn="0" w:lastColumn="0" w:noHBand="0" w:noVBand="0" w:val="0020"/>
        <w:jc w:val="start"/>
      </w:tblPr>
      <w:tblGrid>
        <w:gridCol w:w="1667"/>
        <w:gridCol w:w="2084"/>
        <w:gridCol w:w="2084"/>
        <w:gridCol w:w="2084"/>
      </w:tblGrid>
      <w:tr>
        <w:trPr>
          <w:tblHeader w:val="true"/>
        </w:trPr>
        <w:tc>
          <w:tcPr/>
          <w:p>
            <w:pPr>
              <w:pStyle w:val="Compact"/>
              <w:jc w:val="left"/>
            </w:pPr>
            <w:r>
              <w:t xml:space="preserve">Window</w:t>
            </w:r>
          </w:p>
        </w:tc>
        <w:tc>
          <w:tcPr/>
          <w:p>
            <w:pPr>
              <w:pStyle w:val="Compact"/>
              <w:jc w:val="center"/>
            </w:pPr>
            <w:r>
              <w:t xml:space="preserve">Constituents: Amihud</w:t>
            </w:r>
          </w:p>
        </w:tc>
        <w:tc>
          <w:tcPr/>
          <w:p>
            <w:pPr>
              <w:pStyle w:val="Compact"/>
              <w:jc w:val="center"/>
            </w:pPr>
            <w:r>
              <w:t xml:space="preserve">Named: Amihud</w:t>
            </w:r>
          </w:p>
        </w:tc>
        <w:tc>
          <w:tcPr/>
          <w:p>
            <w:pPr>
              <w:pStyle w:val="Compact"/>
              <w:jc w:val="center"/>
            </w:pPr>
            <w:r>
              <w:t xml:space="preserve">Named: trading value</w:t>
            </w:r>
          </w:p>
        </w:tc>
      </w:tr>
      <w:tr>
        <w:tc>
          <w:tcPr/>
          <w:p>
            <w:pPr>
              <w:pStyle w:val="Compact"/>
              <w:jc w:val="left"/>
            </w:pPr>
            <w:r>
              <w:t xml:space="preserve">Announcement</w:t>
            </w:r>
          </w:p>
        </w:tc>
        <w:tc>
          <w:tcPr/>
          <w:p>
            <w:pPr>
              <w:pStyle w:val="Compact"/>
              <w:jc w:val="center"/>
            </w:pPr>
            <w:r>
              <w:t xml:space="preserve">−0.392*** (0.098)</w:t>
            </w:r>
          </w:p>
        </w:tc>
        <w:tc>
          <w:tcPr/>
          <w:p>
            <w:pPr>
              <w:pStyle w:val="Compact"/>
              <w:jc w:val="center"/>
            </w:pPr>
            <w:r>
              <w:t xml:space="preserve">−0.293 (0.154)</w:t>
            </w:r>
          </w:p>
        </w:tc>
        <w:tc>
          <w:tcPr/>
          <w:p>
            <w:pPr>
              <w:pStyle w:val="Compact"/>
              <w:jc w:val="center"/>
            </w:pPr>
            <w:r>
              <w:t xml:space="preserve">0.589** (0.186)</w:t>
            </w:r>
          </w:p>
        </w:tc>
      </w:tr>
      <w:tr>
        <w:tc>
          <w:tcPr/>
          <w:p>
            <w:pPr>
              <w:pStyle w:val="Compact"/>
              <w:jc w:val="left"/>
            </w:pPr>
            <w:r>
              <w:t xml:space="preserve">Confirmation</w:t>
            </w:r>
          </w:p>
        </w:tc>
        <w:tc>
          <w:tcPr/>
          <w:p>
            <w:pPr>
              <w:pStyle w:val="Compact"/>
              <w:jc w:val="center"/>
            </w:pPr>
            <w:r>
              <w:t xml:space="preserve">−0.888*** (0.124)</w:t>
            </w:r>
          </w:p>
        </w:tc>
        <w:tc>
          <w:tcPr/>
          <w:p>
            <w:pPr>
              <w:pStyle w:val="Compact"/>
              <w:jc w:val="center"/>
            </w:pPr>
            <w:r>
              <w:t xml:space="preserve">−0.554* (0.255)</w:t>
            </w:r>
          </w:p>
        </w:tc>
        <w:tc>
          <w:tcPr/>
          <w:p>
            <w:pPr>
              <w:pStyle w:val="Compact"/>
              <w:jc w:val="center"/>
            </w:pPr>
            <w:r>
              <w:t xml:space="preserve">0.683* (0.269)</w:t>
            </w:r>
          </w:p>
        </w:tc>
      </w:tr>
      <w:tr>
        <w:tc>
          <w:tcPr/>
          <w:p>
            <w:pPr>
              <w:pStyle w:val="Compact"/>
              <w:jc w:val="left"/>
            </w:pPr>
            <w:r>
              <w:t xml:space="preserve">List and rebalancing</w:t>
            </w:r>
          </w:p>
        </w:tc>
        <w:tc>
          <w:tcPr/>
          <w:p>
            <w:pPr>
              <w:pStyle w:val="Compact"/>
              <w:jc w:val="center"/>
            </w:pPr>
            <w:r>
              <w:t xml:space="preserve">−1.129*** (0.178)</w:t>
            </w:r>
          </w:p>
        </w:tc>
        <w:tc>
          <w:tcPr/>
          <w:p>
            <w:pPr>
              <w:pStyle w:val="Compact"/>
              <w:jc w:val="center"/>
            </w:pPr>
            <w:r>
              <w:t xml:space="preserve">−0.865** (0.304)</w:t>
            </w:r>
          </w:p>
        </w:tc>
        <w:tc>
          <w:tcPr/>
          <w:p>
            <w:pPr>
              <w:pStyle w:val="Compact"/>
              <w:jc w:val="center"/>
            </w:pPr>
            <w:r>
              <w:t xml:space="preserve">0.653 (0.345)</w:t>
            </w:r>
          </w:p>
        </w:tc>
      </w:tr>
    </w:tbl>
    <w:p>
      <w:pPr>
        <w:pStyle w:val="BodyText"/>
      </w:pPr>
      <w:r>
        <w:t xml:space="preserve">Panel B. log Amihud by screening window</w:t>
      </w:r>
    </w:p>
    <w:tbl>
      <w:tblPr>
        <w:tblStyle w:val="Table"/>
        <w:tblW w:type="pct" w:w="5000"/>
        <w:tblLook w:firstRow="1" w:lastRow="0" w:firstColumn="0" w:lastColumn="0" w:noHBand="0" w:noVBand="0" w:val="0020"/>
        <w:jc w:val="start"/>
      </w:tblPr>
      <w:tblGrid>
        <w:gridCol w:w="1667"/>
        <w:gridCol w:w="2084"/>
        <w:gridCol w:w="2084"/>
        <w:gridCol w:w="2084"/>
      </w:tblGrid>
      <w:tr>
        <w:trPr>
          <w:tblHeader w:val="true"/>
        </w:trPr>
        <w:tc>
          <w:tcPr/>
          <w:p>
            <w:pPr>
              <w:pStyle w:val="Compact"/>
              <w:jc w:val="left"/>
            </w:pPr>
            <w:r>
              <w:t xml:space="preserve">Group</w:t>
            </w:r>
          </w:p>
        </w:tc>
        <w:tc>
          <w:tcPr/>
          <w:p>
            <w:pPr>
              <w:pStyle w:val="Compact"/>
              <w:jc w:val="center"/>
            </w:pPr>
            <w:r>
              <w:t xml:space="preserve">S1</w:t>
            </w:r>
          </w:p>
        </w:tc>
        <w:tc>
          <w:tcPr/>
          <w:p>
            <w:pPr>
              <w:pStyle w:val="Compact"/>
              <w:jc w:val="center"/>
            </w:pPr>
            <w:r>
              <w:t xml:space="preserve">S2</w:t>
            </w:r>
          </w:p>
        </w:tc>
        <w:tc>
          <w:tcPr/>
          <w:p>
            <w:pPr>
              <w:pStyle w:val="Compact"/>
              <w:jc w:val="center"/>
            </w:pPr>
            <w:r>
              <w:t xml:space="preserve">S3</w:t>
            </w:r>
          </w:p>
        </w:tc>
      </w:tr>
      <w:tr>
        <w:tc>
          <w:tcPr/>
          <w:p>
            <w:pPr>
              <w:pStyle w:val="Compact"/>
              <w:jc w:val="left"/>
            </w:pPr>
            <w:r>
              <w:t xml:space="preserve">Constituents (24)</w:t>
            </w:r>
          </w:p>
        </w:tc>
        <w:tc>
          <w:tcPr/>
          <w:p>
            <w:pPr>
              <w:pStyle w:val="Compact"/>
              <w:jc w:val="center"/>
            </w:pPr>
            <w:r>
              <w:t xml:space="preserve">−0.339** (0.110)</w:t>
            </w:r>
          </w:p>
        </w:tc>
        <w:tc>
          <w:tcPr/>
          <w:p>
            <w:pPr>
              <w:pStyle w:val="Compact"/>
              <w:jc w:val="center"/>
            </w:pPr>
            <w:r>
              <w:t xml:space="preserve">−0.440*** (0.100)</w:t>
            </w:r>
          </w:p>
        </w:tc>
        <w:tc>
          <w:tcPr/>
          <w:p>
            <w:pPr>
              <w:pStyle w:val="Compact"/>
              <w:jc w:val="center"/>
            </w:pPr>
            <w:r>
              <w:t xml:space="preserve">−0.932*** (0.129)</w:t>
            </w:r>
          </w:p>
        </w:tc>
      </w:tr>
      <w:tr>
        <w:tc>
          <w:tcPr/>
          <w:p>
            <w:pPr>
              <w:pStyle w:val="Compact"/>
              <w:jc w:val="left"/>
            </w:pPr>
            <w:r>
              <w:t xml:space="preserve">Named Nov 2025, not included (12)</w:t>
            </w:r>
          </w:p>
        </w:tc>
        <w:tc>
          <w:tcPr/>
          <w:p>
            <w:pPr>
              <w:pStyle w:val="Compact"/>
              <w:jc w:val="center"/>
            </w:pPr>
            <w:r>
              <w:t xml:space="preserve">−0.024 (0.092)</w:t>
            </w:r>
          </w:p>
        </w:tc>
        <w:tc>
          <w:tcPr/>
          <w:p>
            <w:pPr>
              <w:pStyle w:val="Compact"/>
              <w:jc w:val="center"/>
            </w:pPr>
            <w:r>
              <w:t xml:space="preserve">−0.185 (0.127)</w:t>
            </w:r>
          </w:p>
        </w:tc>
        <w:tc>
          <w:tcPr/>
          <w:p>
            <w:pPr>
              <w:pStyle w:val="Compact"/>
              <w:jc w:val="center"/>
            </w:pPr>
            <w:r>
              <w:t xml:space="preserve">−0.295 (0.168)</w:t>
            </w:r>
          </w:p>
        </w:tc>
      </w:tr>
      <w:tr>
        <w:tc>
          <w:tcPr/>
          <w:p>
            <w:pPr>
              <w:pStyle w:val="Compact"/>
              <w:jc w:val="left"/>
            </w:pPr>
            <w:r>
              <w:t xml:space="preserve">Added Apr 2026: GEE, BSR</w:t>
            </w:r>
          </w:p>
        </w:tc>
        <w:tc>
          <w:tcPr/>
          <w:p>
            <w:pPr>
              <w:pStyle w:val="Compact"/>
              <w:jc w:val="center"/>
            </w:pPr>
            <w:r>
              <w:t xml:space="preserve">−1.15</w:t>
            </w:r>
          </w:p>
        </w:tc>
        <w:tc>
          <w:tcPr/>
          <w:p>
            <w:pPr>
              <w:pStyle w:val="Compact"/>
              <w:jc w:val="center"/>
            </w:pPr>
            <w:r>
              <w:t xml:space="preserve">−1.67</w:t>
            </w:r>
          </w:p>
        </w:tc>
        <w:tc>
          <w:tcPr/>
          <w:p>
            <w:pPr>
              <w:pStyle w:val="Compact"/>
              <w:jc w:val="center"/>
            </w:pPr>
            <w:r>
              <w:t xml:space="preserve">−2.51</w:t>
            </w:r>
          </w:p>
        </w:tc>
      </w:tr>
    </w:tbl>
    <w:p>
      <w:pPr>
        <w:pStyle w:val="BodyText"/>
      </w:pPr>
      <w:r>
        <w:rPr>
          <w:iCs/>
          <w:i/>
        </w:rPr>
        <w:t xml:space="preserve">Notes</w:t>
      </w:r>
      <w:r>
        <w:t xml:space="preserve">: One regression per panel on all 366 stocks, relative to never-named stocks, with S1–S3 as defined in Section 5.2, point estimates only for the two-stock row and other details as in Table 2. Source: Authors’ calculations.</w:t>
      </w:r>
    </w:p>
    <w:p>
      <w:pPr>
        <w:pStyle w:val="BodyText"/>
      </w:pPr>
      <w:r>
        <w:t xml:space="preserve">FTSE’s screens rest on investability, and at least one stock became eligible after its liquidity rose during the screening window. The same can happen among the final constituents, chosen on June 2026 data, and could favour stocks with large gains on disclosure dates. Studies that use index additions as an exogenous liquidity shock (Becker-Blease &amp; Paul, 2006) rely on membership not following liquidity; the Vietnamese lists show that this premise can fail when the index provider screens on recent liquidity. The ITT group, fixed on 2024 data, is not exposed to this selection and still shows illiquidity declines of 24% to 56% and an announcement-week price response significant under three of four benchmarks. We report both sets of estimates and treat neither as a bound on the other.</w:t>
      </w:r>
    </w:p>
    <w:bookmarkEnd w:id="45"/>
    <w:bookmarkEnd w:id="46"/>
    <w:bookmarkStart w:id="47" w:name="discussion-and-conclusion"/>
    <w:p>
      <w:pPr>
        <w:pStyle w:val="Heading2"/>
      </w:pPr>
      <w:r>
        <w:t xml:space="preserve">6. Discussion and conclusion</w:t>
      </w:r>
    </w:p>
    <w:p>
      <w:pPr>
        <w:pStyle w:val="FirstParagraph"/>
      </w:pPr>
      <w:r>
        <w:t xml:space="preserve">Liquidity and price gains for likely index stocks came with FTSE’s disclosures of Vietnam’s reclassification, before the first index tranche took effect. The pre-announcement eligible stocks became 24% less illiquid within months and 56% less by the constituent list, and the constituents 32% and 68%, with a discrete step at the confirmation. The prices of constituents rose by 3.9% to 7.8% in the announcement week and 2.7% to 4.5% around the confirmation, and only the confirmation gain lasted, under three of four benchmarks. The first tranche brought a trading surge at the rebalancing close, largest for the large-capitalization constituents and absent for excluded stocks, but no reliable price effect.</w:t>
      </w:r>
    </w:p>
    <w:p>
      <w:pPr>
        <w:pStyle w:val="BodyText"/>
      </w:pPr>
      <w:r>
        <w:t xml:space="preserve">These findings favour the recognition channel over the price-pressure channel as the source of lasting effects: prices and liquidity moved with FTSE’s public statements, and the first-tranche rebalancing brought a trading surge but no reliable price effect. This reading fits developed-market studies that find lasting liquidity gains after inclusion (Hegde &amp; McDermott, 2003) and frontier-market evidence that index effects reflect investor demand rather than liquidity alone (Biktimirov &amp; Afego, 2026); in Vietnam, prices and liquidity moved together at disclosure. Unlike a routine reconstitution, the Vietnamese upgrade changed which benchmark family could hold the stocks, and FTSE announced it months in advance.</w:t>
      </w:r>
    </w:p>
    <w:p>
      <w:pPr>
        <w:pStyle w:val="BodyText"/>
      </w:pPr>
      <w:r>
        <w:t xml:space="preserve">The largest liquidity gain, for the three large-capitalization stocks (−2.20 log points in the list window; Table 6), is consistent with investors weighting attention by expected index weight, although three stocks support only a descriptive reading. The results also qualify an index-level study of the same market that found no structural break in aggregate HOSE liquidity at FTSE watch-list reviews. The 2025 and 2026 decisions were followed by liquidity gains in the stocks they concerned, while large never-named stocks moved much less (−0.21 against −1.13 log points). Index averages over hundreds of stocks outside FTSE’s screens could have diluted that shift; we do not test whether other stocks lost liquidity in absolute terms.</w:t>
      </w:r>
    </w:p>
    <w:p>
      <w:pPr>
        <w:pStyle w:val="BodyText"/>
      </w:pPr>
      <w:r>
        <w:t xml:space="preserve">Because FTSE’s eligibility lists partly followed rising liquidity and the final constituents were chosen on mid-2026 data, we report constituent and ITT estimates side by side; both show a large response at disclosure, and the ITT estimates do not depend on FTSE’s final choice.</w:t>
      </w:r>
    </w:p>
    <w:p>
      <w:pPr>
        <w:pStyle w:val="BodyText"/>
      </w:pPr>
      <w:r>
        <w:t xml:space="preserve">The results carry two implications, both drawn from a single event. For regulators, the response arrived with credible, dated announcements rather than with index trading, which is consistent with early communication bringing it forward, although one event cannot show that earlier communication causes larger gains. For issuers, the gains concentrated in stocks FTSE could hold, and free float and foreign-ownership headroom enter FTSE’s screens and index weights, although we do not test whether raising them would change the outcome.</w:t>
      </w:r>
    </w:p>
    <w:p>
      <w:pPr>
        <w:pStyle w:val="BodyText"/>
      </w:pPr>
      <w:r>
        <w:t xml:space="preserve">The sample omits stocks delisted before 24 September 2026. The data end two sessions after the effective date, and the first tranche carried 10% of the eventual weight, so the analysis cannot evaluate the 2027 tranches. The price data do not identify investor type, so we cannot observe whether foreign investors drove the gains. For the largest stocks, the upgrade cannot be fully separated from the concurrent removal of pre-funding requirements. BSR changed trading venue during the pre-period, and the preliminary and April lists come from press reports rather than FTSE documents. Extending the panel through September 2027 with foreign-flow data would show whether the constituent effects persist through the remaining tranches and whether foreign trading drives them.</w:t>
      </w:r>
    </w:p>
    <w:bookmarkEnd w:id="47"/>
    <w:bookmarkStart w:id="48" w:name="appendix"/>
    <w:p>
      <w:pPr>
        <w:pStyle w:val="Heading2"/>
      </w:pPr>
      <w:r>
        <w:t xml:space="preserve">Appendix</w:t>
      </w:r>
    </w:p>
    <w:p>
      <w:pPr>
        <w:pStyle w:val="FirstParagraph"/>
      </w:pPr>
      <w:r>
        <w:t xml:space="preserve">Table A.1 lists the stocks on each FTSE list (Sections 2.1 and 3.1), Table A.2 reports covariate balance for the matched sample (Section 3.3), and Table A.3 reports the liquidity change of each named-but-excluded stock by screening window (Section 5.2).</w:t>
      </w:r>
    </w:p>
    <w:p>
      <w:pPr>
        <w:pStyle w:val="BodyText"/>
      </w:pPr>
      <w:r>
        <w:rPr>
          <w:bCs/>
          <w:b/>
        </w:rPr>
        <w:t xml:space="preserve">Table A.1. Stocks by FTSE list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List</w:t>
            </w:r>
          </w:p>
        </w:tc>
        <w:tc>
          <w:tcPr/>
          <w:p>
            <w:pPr>
              <w:pStyle w:val="Compact"/>
              <w:jc w:val="left"/>
            </w:pPr>
            <w:r>
              <w:t xml:space="preserve">Stocks</w:t>
            </w:r>
          </w:p>
        </w:tc>
      </w:tr>
      <w:tr>
        <w:tc>
          <w:tcPr/>
          <w:p>
            <w:pPr>
              <w:pStyle w:val="Compact"/>
              <w:jc w:val="left"/>
            </w:pPr>
            <w:r>
              <w:t xml:space="preserve">Preliminary list, Nov 2025 (data as of 31 Dec 2024), later constituents (15)</w:t>
            </w:r>
          </w:p>
        </w:tc>
        <w:tc>
          <w:tcPr/>
          <w:p>
            <w:pPr>
              <w:pStyle w:val="Compact"/>
              <w:jc w:val="left"/>
            </w:pPr>
            <w:r>
              <w:t xml:space="preserve">GEX, HPG, MSN, SHB, SSI, STB, VCB, VCI, VHM, VIC, VIX, VJC, VND, VNM, VRE</w:t>
            </w:r>
          </w:p>
        </w:tc>
      </w:tr>
      <w:tr>
        <w:tc>
          <w:tcPr/>
          <w:p>
            <w:pPr>
              <w:pStyle w:val="Compact"/>
              <w:jc w:val="left"/>
            </w:pPr>
            <w:r>
              <w:t xml:space="preserve">Preliminary list, not included (12 on HOSE)</w:t>
            </w:r>
          </w:p>
        </w:tc>
        <w:tc>
          <w:tcPr/>
          <w:p>
            <w:pPr>
              <w:pStyle w:val="Compact"/>
              <w:jc w:val="left"/>
            </w:pPr>
            <w:r>
              <w:t xml:space="preserve">DGC, DIG, DPM, DXG, EIB, FRT, KBC, KDC, KDH, PDR, PLX, SAB (HUT trades on the Hanoi exchange)</w:t>
            </w:r>
          </w:p>
        </w:tc>
      </w:tr>
      <w:tr>
        <w:tc>
          <w:tcPr/>
          <w:p>
            <w:pPr>
              <w:pStyle w:val="Compact"/>
              <w:jc w:val="left"/>
            </w:pPr>
            <w:r>
              <w:t xml:space="preserve">Added to the April 2026 list (data as of 31 Dec 2025)</w:t>
            </w:r>
          </w:p>
        </w:tc>
        <w:tc>
          <w:tcPr/>
          <w:p>
            <w:pPr>
              <w:pStyle w:val="Compact"/>
              <w:jc w:val="left"/>
            </w:pPr>
            <w:r>
              <w:t xml:space="preserve">BID, FPT, NVL (later constituents); GEE, BSR (not included); PLX removed</w:t>
            </w:r>
          </w:p>
        </w:tc>
      </w:tr>
      <w:tr>
        <w:tc>
          <w:tcPr/>
          <w:p>
            <w:pPr>
              <w:pStyle w:val="Compact"/>
              <w:jc w:val="left"/>
            </w:pPr>
            <w:r>
              <w:t xml:space="preserve">Constituents on neither list</w:t>
            </w:r>
          </w:p>
        </w:tc>
        <w:tc>
          <w:tcPr/>
          <w:p>
            <w:pPr>
              <w:pStyle w:val="Compact"/>
              <w:jc w:val="left"/>
            </w:pPr>
            <w:r>
              <w:t xml:space="preserve">HCM, HDB, MCH, MSB, SSB, VPB (in sample); TCX, VCK, VPL (listed after Oct 2025)</w:t>
            </w:r>
          </w:p>
        </w:tc>
      </w:tr>
    </w:tbl>
    <w:p>
      <w:pPr>
        <w:pStyle w:val="BodyText"/>
      </w:pPr>
      <w:r>
        <w:rPr>
          <w:iCs/>
          <w:i/>
        </w:rPr>
        <w:t xml:space="preserve">Sources</w:t>
      </w:r>
      <w:r>
        <w:t xml:space="preserve">: Viet Nam News (2025); The Investor (2026a, 2026b); FTSE Russell (2026); VIR (2026).</w:t>
      </w:r>
    </w:p>
    <w:p>
      <w:pPr>
        <w:pStyle w:val="BodyText"/>
      </w:pPr>
      <w:r>
        <w:rPr>
          <w:bCs/>
          <w:b/>
        </w:rPr>
        <w:t xml:space="preserve">Table A.2. Covariate balance before and after matching, constituents vs never-named stocks</w:t>
      </w:r>
    </w:p>
    <w:tbl>
      <w:tblPr>
        <w:tblStyle w:val="Table"/>
        <w:tblW w:type="pct" w:w="5000"/>
        <w:tblLook w:firstRow="1" w:lastRow="0" w:firstColumn="0" w:lastColumn="0" w:noHBand="0" w:noVBand="0" w:val="0020"/>
        <w:jc w:val="start"/>
      </w:tblPr>
      <w:tblGrid>
        <w:gridCol w:w="1092"/>
        <w:gridCol w:w="1365"/>
        <w:gridCol w:w="1365"/>
        <w:gridCol w:w="1365"/>
        <w:gridCol w:w="1365"/>
        <w:gridCol w:w="1365"/>
      </w:tblGrid>
      <w:tr>
        <w:trPr>
          <w:tblHeader w:val="true"/>
        </w:trPr>
        <w:tc>
          <w:tcPr/>
          <w:p>
            <w:pPr>
              <w:pStyle w:val="Compact"/>
              <w:jc w:val="left"/>
            </w:pPr>
            <w:r>
              <w:t xml:space="preserve">Variable</w:t>
            </w:r>
          </w:p>
        </w:tc>
        <w:tc>
          <w:tcPr/>
          <w:p>
            <w:pPr>
              <w:pStyle w:val="Compact"/>
              <w:jc w:val="center"/>
            </w:pPr>
            <w:r>
              <w:t xml:space="preserve">Constituents</w:t>
            </w:r>
          </w:p>
        </w:tc>
        <w:tc>
          <w:tcPr/>
          <w:p>
            <w:pPr>
              <w:pStyle w:val="Compact"/>
              <w:jc w:val="center"/>
            </w:pPr>
            <w:r>
              <w:t xml:space="preserve">Controls, all</w:t>
            </w:r>
          </w:p>
        </w:tc>
        <w:tc>
          <w:tcPr/>
          <w:p>
            <w:pPr>
              <w:pStyle w:val="Compact"/>
              <w:jc w:val="center"/>
            </w:pPr>
            <w:r>
              <w:t xml:space="preserve">SMD, all</w:t>
            </w:r>
          </w:p>
        </w:tc>
        <w:tc>
          <w:tcPr/>
          <w:p>
            <w:pPr>
              <w:pStyle w:val="Compact"/>
              <w:jc w:val="center"/>
            </w:pPr>
            <w:r>
              <w:t xml:space="preserve">Controls, matched</w:t>
            </w:r>
          </w:p>
        </w:tc>
        <w:tc>
          <w:tcPr/>
          <w:p>
            <w:pPr>
              <w:pStyle w:val="Compact"/>
              <w:jc w:val="center"/>
            </w:pPr>
            <w:r>
              <w:t xml:space="preserve">SMD, matched</w:t>
            </w:r>
          </w:p>
        </w:tc>
      </w:tr>
      <w:tr>
        <w:tc>
          <w:tcPr/>
          <w:p>
            <w:pPr>
              <w:pStyle w:val="Compact"/>
              <w:jc w:val="left"/>
            </w:pPr>
            <w:r>
              <w:t xml:space="preserve">Propensity score</w:t>
            </w:r>
          </w:p>
        </w:tc>
        <w:tc>
          <w:tcPr/>
          <w:p>
            <w:pPr>
              <w:pStyle w:val="Compact"/>
              <w:jc w:val="center"/>
            </w:pPr>
            <w:r>
              <w:t xml:space="preserve">0.522</w:t>
            </w:r>
          </w:p>
        </w:tc>
        <w:tc>
          <w:tcPr/>
          <w:p>
            <w:pPr>
              <w:pStyle w:val="Compact"/>
              <w:jc w:val="center"/>
            </w:pPr>
            <w:r>
              <w:t xml:space="preserve">0.035</w:t>
            </w:r>
          </w:p>
        </w:tc>
        <w:tc>
          <w:tcPr/>
          <w:p>
            <w:pPr>
              <w:pStyle w:val="Compact"/>
              <w:jc w:val="center"/>
            </w:pPr>
            <w:r>
              <w:t xml:space="preserve">1.80</w:t>
            </w:r>
          </w:p>
        </w:tc>
        <w:tc>
          <w:tcPr/>
          <w:p>
            <w:pPr>
              <w:pStyle w:val="Compact"/>
              <w:jc w:val="center"/>
            </w:pPr>
            <w:r>
              <w:t xml:space="preserve">0.500</w:t>
            </w:r>
          </w:p>
        </w:tc>
        <w:tc>
          <w:tcPr/>
          <w:p>
            <w:pPr>
              <w:pStyle w:val="Compact"/>
              <w:jc w:val="center"/>
            </w:pPr>
            <w:r>
              <w:t xml:space="preserve">0.08</w:t>
            </w:r>
          </w:p>
        </w:tc>
      </w:tr>
      <w:tr>
        <w:tc>
          <w:tcPr/>
          <w:p>
            <w:pPr>
              <w:pStyle w:val="Compact"/>
              <w:jc w:val="left"/>
            </w:pPr>
            <w:r>
              <w:t xml:space="preserve">Log trading value</w:t>
            </w:r>
          </w:p>
        </w:tc>
        <w:tc>
          <w:tcPr/>
          <w:p>
            <w:pPr>
              <w:pStyle w:val="Compact"/>
              <w:jc w:val="center"/>
            </w:pPr>
            <w:r>
              <w:t xml:space="preserve">5.170</w:t>
            </w:r>
          </w:p>
        </w:tc>
        <w:tc>
          <w:tcPr/>
          <w:p>
            <w:pPr>
              <w:pStyle w:val="Compact"/>
              <w:jc w:val="center"/>
            </w:pPr>
            <w:r>
              <w:t xml:space="preserve">1.585</w:t>
            </w:r>
          </w:p>
        </w:tc>
        <w:tc>
          <w:tcPr/>
          <w:p>
            <w:pPr>
              <w:pStyle w:val="Compact"/>
              <w:jc w:val="center"/>
            </w:pPr>
            <w:r>
              <w:t xml:space="preserve">4.06</w:t>
            </w:r>
          </w:p>
        </w:tc>
        <w:tc>
          <w:tcPr/>
          <w:p>
            <w:pPr>
              <w:pStyle w:val="Compact"/>
              <w:jc w:val="center"/>
            </w:pPr>
            <w:r>
              <w:t xml:space="preserve">5.132</w:t>
            </w:r>
          </w:p>
        </w:tc>
        <w:tc>
          <w:tcPr/>
          <w:p>
            <w:pPr>
              <w:pStyle w:val="Compact"/>
              <w:jc w:val="center"/>
            </w:pPr>
            <w:r>
              <w:t xml:space="preserve">0.04</w:t>
            </w:r>
          </w:p>
        </w:tc>
      </w:tr>
      <w:tr>
        <w:tc>
          <w:tcPr/>
          <w:p>
            <w:pPr>
              <w:pStyle w:val="Compact"/>
              <w:jc w:val="left"/>
            </w:pPr>
            <w:r>
              <w:t xml:space="preserve">Log median price</w:t>
            </w:r>
          </w:p>
        </w:tc>
        <w:tc>
          <w:tcPr/>
          <w:p>
            <w:pPr>
              <w:pStyle w:val="Compact"/>
              <w:jc w:val="center"/>
            </w:pPr>
            <w:r>
              <w:t xml:space="preserve">3.228</w:t>
            </w:r>
          </w:p>
        </w:tc>
        <w:tc>
          <w:tcPr/>
          <w:p>
            <w:pPr>
              <w:pStyle w:val="Compact"/>
              <w:jc w:val="center"/>
            </w:pPr>
            <w:r>
              <w:t xml:space="preserve">2.725</w:t>
            </w:r>
          </w:p>
        </w:tc>
        <w:tc>
          <w:tcPr/>
          <w:p>
            <w:pPr>
              <w:pStyle w:val="Compact"/>
              <w:jc w:val="center"/>
            </w:pPr>
            <w:r>
              <w:t xml:space="preserve">0.66</w:t>
            </w:r>
          </w:p>
        </w:tc>
        <w:tc>
          <w:tcPr/>
          <w:p>
            <w:pPr>
              <w:pStyle w:val="Compact"/>
              <w:jc w:val="center"/>
            </w:pPr>
            <w:r>
              <w:t xml:space="preserve">3.061</w:t>
            </w:r>
          </w:p>
        </w:tc>
        <w:tc>
          <w:tcPr/>
          <w:p>
            <w:pPr>
              <w:pStyle w:val="Compact"/>
              <w:jc w:val="center"/>
            </w:pPr>
            <w:r>
              <w:t xml:space="preserve">0.22</w:t>
            </w:r>
          </w:p>
        </w:tc>
      </w:tr>
      <w:tr>
        <w:tc>
          <w:tcPr/>
          <w:p>
            <w:pPr>
              <w:pStyle w:val="Compact"/>
              <w:jc w:val="left"/>
            </w:pPr>
            <w:r>
              <w:t xml:space="preserve">Return volatility</w:t>
            </w:r>
          </w:p>
        </w:tc>
        <w:tc>
          <w:tcPr/>
          <w:p>
            <w:pPr>
              <w:pStyle w:val="Compact"/>
              <w:jc w:val="center"/>
            </w:pPr>
            <w:r>
              <w:t xml:space="preserve">0.0206</w:t>
            </w:r>
          </w:p>
        </w:tc>
        <w:tc>
          <w:tcPr/>
          <w:p>
            <w:pPr>
              <w:pStyle w:val="Compact"/>
              <w:jc w:val="center"/>
            </w:pPr>
            <w:r>
              <w:t xml:space="preserve">0.0207</w:t>
            </w:r>
          </w:p>
        </w:tc>
        <w:tc>
          <w:tcPr/>
          <w:p>
            <w:pPr>
              <w:pStyle w:val="Compact"/>
              <w:jc w:val="center"/>
            </w:pPr>
            <w:r>
              <w:t xml:space="preserve">−0.03</w:t>
            </w:r>
          </w:p>
        </w:tc>
        <w:tc>
          <w:tcPr/>
          <w:p>
            <w:pPr>
              <w:pStyle w:val="Compact"/>
              <w:jc w:val="center"/>
            </w:pPr>
            <w:r>
              <w:t xml:space="preserve">0.0194</w:t>
            </w:r>
          </w:p>
        </w:tc>
        <w:tc>
          <w:tcPr/>
          <w:p>
            <w:pPr>
              <w:pStyle w:val="Compact"/>
              <w:jc w:val="center"/>
            </w:pPr>
            <w:r>
              <w:t xml:space="preserve">0.33</w:t>
            </w:r>
          </w:p>
        </w:tc>
      </w:tr>
    </w:tbl>
    <w:p>
      <w:pPr>
        <w:pStyle w:val="BodyText"/>
      </w:pPr>
      <w:r>
        <w:rPr>
          <w:iCs/>
          <w:i/>
        </w:rPr>
        <w:t xml:space="preserve">Notes</w:t>
      </w:r>
      <w:r>
        <w:t xml:space="preserve">: Pre-period means (log trading value is the mean daily log of 1 plus traded value in VND billion) and standardized mean differences (SMD); log price and volatility stay above 0.10 after matching, so the matched estimates are paired with the size-by-week and trend specifications. Source: Authors’ calculations.</w:t>
      </w:r>
    </w:p>
    <w:p>
      <w:pPr>
        <w:pStyle w:val="BodyText"/>
      </w:pPr>
      <w:r>
        <w:rPr>
          <w:bCs/>
          <w:b/>
        </w:rPr>
        <w:t xml:space="preserve">Table A.3. Change in log Amihud of named-but-excluded stocks, by screening window</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Stock</w:t>
            </w:r>
          </w:p>
        </w:tc>
        <w:tc>
          <w:tcPr/>
          <w:p>
            <w:pPr>
              <w:pStyle w:val="Compact"/>
              <w:jc w:val="center"/>
            </w:pPr>
            <w:r>
              <w:t xml:space="preserve">First named</w:t>
            </w:r>
          </w:p>
        </w:tc>
        <w:tc>
          <w:tcPr/>
          <w:p>
            <w:pPr>
              <w:pStyle w:val="Compact"/>
              <w:jc w:val="center"/>
            </w:pPr>
            <w:r>
              <w:t xml:space="preserve">S1</w:t>
            </w:r>
          </w:p>
        </w:tc>
        <w:tc>
          <w:tcPr/>
          <w:p>
            <w:pPr>
              <w:pStyle w:val="Compact"/>
              <w:jc w:val="center"/>
            </w:pPr>
            <w:r>
              <w:t xml:space="preserve">S2</w:t>
            </w:r>
          </w:p>
        </w:tc>
        <w:tc>
          <w:tcPr/>
          <w:p>
            <w:pPr>
              <w:pStyle w:val="Compact"/>
              <w:jc w:val="center"/>
            </w:pPr>
            <w:r>
              <w:t xml:space="preserve">S3</w:t>
            </w:r>
          </w:p>
        </w:tc>
      </w:tr>
      <w:tr>
        <w:tc>
          <w:tcPr/>
          <w:p>
            <w:pPr>
              <w:pStyle w:val="Compact"/>
              <w:jc w:val="left"/>
            </w:pPr>
            <w:r>
              <w:t xml:space="preserve">BSR</w:t>
            </w:r>
          </w:p>
        </w:tc>
        <w:tc>
          <w:tcPr/>
          <w:p>
            <w:pPr>
              <w:pStyle w:val="Compact"/>
              <w:jc w:val="center"/>
            </w:pPr>
            <w:r>
              <w:t xml:space="preserve">Apr 2026</w:t>
            </w:r>
          </w:p>
        </w:tc>
        <w:tc>
          <w:tcPr/>
          <w:p>
            <w:pPr>
              <w:pStyle w:val="Compact"/>
              <w:jc w:val="center"/>
            </w:pPr>
            <w:r>
              <w:t xml:space="preserve">−0.39</w:t>
            </w:r>
          </w:p>
        </w:tc>
        <w:tc>
          <w:tcPr/>
          <w:p>
            <w:pPr>
              <w:pStyle w:val="Compact"/>
              <w:jc w:val="center"/>
            </w:pPr>
            <w:r>
              <w:t xml:space="preserve">−1.68</w:t>
            </w:r>
          </w:p>
        </w:tc>
        <w:tc>
          <w:tcPr/>
          <w:p>
            <w:pPr>
              <w:pStyle w:val="Compact"/>
              <w:jc w:val="center"/>
            </w:pPr>
            <w:r>
              <w:t xml:space="preserve">−1.81</w:t>
            </w:r>
          </w:p>
        </w:tc>
      </w:tr>
      <w:tr>
        <w:tc>
          <w:tcPr/>
          <w:p>
            <w:pPr>
              <w:pStyle w:val="Compact"/>
              <w:jc w:val="left"/>
            </w:pPr>
            <w:r>
              <w:t xml:space="preserve">GEE</w:t>
            </w:r>
          </w:p>
        </w:tc>
        <w:tc>
          <w:tcPr/>
          <w:p>
            <w:pPr>
              <w:pStyle w:val="Compact"/>
              <w:jc w:val="center"/>
            </w:pPr>
            <w:r>
              <w:t xml:space="preserve">Apr 2026</w:t>
            </w:r>
          </w:p>
        </w:tc>
        <w:tc>
          <w:tcPr/>
          <w:p>
            <w:pPr>
              <w:pStyle w:val="Compact"/>
              <w:jc w:val="center"/>
            </w:pPr>
            <w:r>
              <w:t xml:space="preserve">−1.83</w:t>
            </w:r>
          </w:p>
        </w:tc>
        <w:tc>
          <w:tcPr/>
          <w:p>
            <w:pPr>
              <w:pStyle w:val="Compact"/>
              <w:jc w:val="center"/>
            </w:pPr>
            <w:r>
              <w:t xml:space="preserve">−1.59</w:t>
            </w:r>
          </w:p>
        </w:tc>
        <w:tc>
          <w:tcPr/>
          <w:p>
            <w:pPr>
              <w:pStyle w:val="Compact"/>
              <w:jc w:val="center"/>
            </w:pPr>
            <w:r>
              <w:t xml:space="preserve">−2.98</w:t>
            </w:r>
          </w:p>
        </w:tc>
      </w:tr>
      <w:tr>
        <w:tc>
          <w:tcPr/>
          <w:p>
            <w:pPr>
              <w:pStyle w:val="Compact"/>
              <w:jc w:val="left"/>
            </w:pPr>
            <w:r>
              <w:t xml:space="preserve">DGC</w:t>
            </w:r>
          </w:p>
        </w:tc>
        <w:tc>
          <w:tcPr/>
          <w:p>
            <w:pPr>
              <w:pStyle w:val="Compact"/>
              <w:jc w:val="center"/>
            </w:pPr>
            <w:r>
              <w:t xml:space="preserve">Nov 2025</w:t>
            </w:r>
          </w:p>
        </w:tc>
        <w:tc>
          <w:tcPr/>
          <w:p>
            <w:pPr>
              <w:pStyle w:val="Compact"/>
              <w:jc w:val="center"/>
            </w:pPr>
            <w:r>
              <w:t xml:space="preserve">0.11</w:t>
            </w:r>
          </w:p>
        </w:tc>
        <w:tc>
          <w:tcPr/>
          <w:p>
            <w:pPr>
              <w:pStyle w:val="Compact"/>
              <w:jc w:val="center"/>
            </w:pPr>
            <w:r>
              <w:t xml:space="preserve">0.18</w:t>
            </w:r>
          </w:p>
        </w:tc>
        <w:tc>
          <w:tcPr/>
          <w:p>
            <w:pPr>
              <w:pStyle w:val="Compact"/>
              <w:jc w:val="center"/>
            </w:pPr>
            <w:r>
              <w:t xml:space="preserve">1.20</w:t>
            </w:r>
          </w:p>
        </w:tc>
      </w:tr>
      <w:tr>
        <w:tc>
          <w:tcPr/>
          <w:p>
            <w:pPr>
              <w:pStyle w:val="Compact"/>
              <w:jc w:val="left"/>
            </w:pPr>
            <w:r>
              <w:t xml:space="preserve">DIG</w:t>
            </w:r>
          </w:p>
        </w:tc>
        <w:tc>
          <w:tcPr/>
          <w:p>
            <w:pPr>
              <w:pStyle w:val="Compact"/>
              <w:jc w:val="center"/>
            </w:pPr>
            <w:r>
              <w:t xml:space="preserve">Nov 2025</w:t>
            </w:r>
          </w:p>
        </w:tc>
        <w:tc>
          <w:tcPr/>
          <w:p>
            <w:pPr>
              <w:pStyle w:val="Compact"/>
              <w:jc w:val="center"/>
            </w:pPr>
            <w:r>
              <w:t xml:space="preserve">−0.01</w:t>
            </w:r>
          </w:p>
        </w:tc>
        <w:tc>
          <w:tcPr/>
          <w:p>
            <w:pPr>
              <w:pStyle w:val="Compact"/>
              <w:jc w:val="center"/>
            </w:pPr>
            <w:r>
              <w:t xml:space="preserve">0.04</w:t>
            </w:r>
          </w:p>
        </w:tc>
        <w:tc>
          <w:tcPr/>
          <w:p>
            <w:pPr>
              <w:pStyle w:val="Compact"/>
              <w:jc w:val="center"/>
            </w:pPr>
            <w:r>
              <w:t xml:space="preserve">0.19</w:t>
            </w:r>
          </w:p>
        </w:tc>
      </w:tr>
      <w:tr>
        <w:tc>
          <w:tcPr/>
          <w:p>
            <w:pPr>
              <w:pStyle w:val="Compact"/>
              <w:jc w:val="left"/>
            </w:pPr>
            <w:r>
              <w:t xml:space="preserve">DPM</w:t>
            </w:r>
          </w:p>
        </w:tc>
        <w:tc>
          <w:tcPr/>
          <w:p>
            <w:pPr>
              <w:pStyle w:val="Compact"/>
              <w:jc w:val="center"/>
            </w:pPr>
            <w:r>
              <w:t xml:space="preserve">Nov 2025</w:t>
            </w:r>
          </w:p>
        </w:tc>
        <w:tc>
          <w:tcPr/>
          <w:p>
            <w:pPr>
              <w:pStyle w:val="Compact"/>
              <w:jc w:val="center"/>
            </w:pPr>
            <w:r>
              <w:t xml:space="preserve">−0.21</w:t>
            </w:r>
          </w:p>
        </w:tc>
        <w:tc>
          <w:tcPr/>
          <w:p>
            <w:pPr>
              <w:pStyle w:val="Compact"/>
              <w:jc w:val="center"/>
            </w:pPr>
            <w:r>
              <w:t xml:space="preserve">−0.86</w:t>
            </w:r>
          </w:p>
        </w:tc>
        <w:tc>
          <w:tcPr/>
          <w:p>
            <w:pPr>
              <w:pStyle w:val="Compact"/>
              <w:jc w:val="center"/>
            </w:pPr>
            <w:r>
              <w:t xml:space="preserve">−0.74</w:t>
            </w:r>
          </w:p>
        </w:tc>
      </w:tr>
      <w:tr>
        <w:tc>
          <w:tcPr/>
          <w:p>
            <w:pPr>
              <w:pStyle w:val="Compact"/>
              <w:jc w:val="left"/>
            </w:pPr>
            <w:r>
              <w:t xml:space="preserve">DXG</w:t>
            </w:r>
          </w:p>
        </w:tc>
        <w:tc>
          <w:tcPr/>
          <w:p>
            <w:pPr>
              <w:pStyle w:val="Compact"/>
              <w:jc w:val="center"/>
            </w:pPr>
            <w:r>
              <w:t xml:space="preserve">Nov 2025</w:t>
            </w:r>
          </w:p>
        </w:tc>
        <w:tc>
          <w:tcPr/>
          <w:p>
            <w:pPr>
              <w:pStyle w:val="Compact"/>
              <w:jc w:val="center"/>
            </w:pPr>
            <w:r>
              <w:t xml:space="preserve">−0.02</w:t>
            </w:r>
          </w:p>
        </w:tc>
        <w:tc>
          <w:tcPr/>
          <w:p>
            <w:pPr>
              <w:pStyle w:val="Compact"/>
              <w:jc w:val="center"/>
            </w:pPr>
            <w:r>
              <w:t xml:space="preserve">−0.12</w:t>
            </w:r>
          </w:p>
        </w:tc>
        <w:tc>
          <w:tcPr/>
          <w:p>
            <w:pPr>
              <w:pStyle w:val="Compact"/>
              <w:jc w:val="center"/>
            </w:pPr>
            <w:r>
              <w:t xml:space="preserve">−0.32</w:t>
            </w:r>
          </w:p>
        </w:tc>
      </w:tr>
      <w:tr>
        <w:tc>
          <w:tcPr/>
          <w:p>
            <w:pPr>
              <w:pStyle w:val="Compact"/>
              <w:jc w:val="left"/>
            </w:pPr>
            <w:r>
              <w:t xml:space="preserve">EIB</w:t>
            </w:r>
          </w:p>
        </w:tc>
        <w:tc>
          <w:tcPr/>
          <w:p>
            <w:pPr>
              <w:pStyle w:val="Compact"/>
              <w:jc w:val="center"/>
            </w:pPr>
            <w:r>
              <w:t xml:space="preserve">Nov 2025</w:t>
            </w:r>
          </w:p>
        </w:tc>
        <w:tc>
          <w:tcPr/>
          <w:p>
            <w:pPr>
              <w:pStyle w:val="Compact"/>
              <w:jc w:val="center"/>
            </w:pPr>
            <w:r>
              <w:t xml:space="preserve">0.22</w:t>
            </w:r>
          </w:p>
        </w:tc>
        <w:tc>
          <w:tcPr/>
          <w:p>
            <w:pPr>
              <w:pStyle w:val="Compact"/>
              <w:jc w:val="center"/>
            </w:pPr>
            <w:r>
              <w:t xml:space="preserve">−0.24</w:t>
            </w:r>
          </w:p>
        </w:tc>
        <w:tc>
          <w:tcPr/>
          <w:p>
            <w:pPr>
              <w:pStyle w:val="Compact"/>
              <w:jc w:val="center"/>
            </w:pPr>
            <w:r>
              <w:t xml:space="preserve">−0.61</w:t>
            </w:r>
          </w:p>
        </w:tc>
      </w:tr>
      <w:tr>
        <w:tc>
          <w:tcPr/>
          <w:p>
            <w:pPr>
              <w:pStyle w:val="Compact"/>
              <w:jc w:val="left"/>
            </w:pPr>
            <w:r>
              <w:t xml:space="preserve">FRT</w:t>
            </w:r>
          </w:p>
        </w:tc>
        <w:tc>
          <w:tcPr/>
          <w:p>
            <w:pPr>
              <w:pStyle w:val="Compact"/>
              <w:jc w:val="center"/>
            </w:pPr>
            <w:r>
              <w:t xml:space="preserve">Nov 2025</w:t>
            </w:r>
          </w:p>
        </w:tc>
        <w:tc>
          <w:tcPr/>
          <w:p>
            <w:pPr>
              <w:pStyle w:val="Compact"/>
              <w:jc w:val="center"/>
            </w:pPr>
            <w:r>
              <w:t xml:space="preserve">−0.02</w:t>
            </w:r>
          </w:p>
        </w:tc>
        <w:tc>
          <w:tcPr/>
          <w:p>
            <w:pPr>
              <w:pStyle w:val="Compact"/>
              <w:jc w:val="center"/>
            </w:pPr>
            <w:r>
              <w:t xml:space="preserve">−0.10</w:t>
            </w:r>
          </w:p>
        </w:tc>
        <w:tc>
          <w:tcPr/>
          <w:p>
            <w:pPr>
              <w:pStyle w:val="Compact"/>
              <w:jc w:val="center"/>
            </w:pPr>
            <w:r>
              <w:t xml:space="preserve">−0.10</w:t>
            </w:r>
          </w:p>
        </w:tc>
      </w:tr>
      <w:tr>
        <w:tc>
          <w:tcPr/>
          <w:p>
            <w:pPr>
              <w:pStyle w:val="Compact"/>
              <w:jc w:val="left"/>
            </w:pPr>
            <w:r>
              <w:t xml:space="preserve">KBC</w:t>
            </w:r>
          </w:p>
        </w:tc>
        <w:tc>
          <w:tcPr/>
          <w:p>
            <w:pPr>
              <w:pStyle w:val="Compact"/>
              <w:jc w:val="center"/>
            </w:pPr>
            <w:r>
              <w:t xml:space="preserve">Nov 2025</w:t>
            </w:r>
          </w:p>
        </w:tc>
        <w:tc>
          <w:tcPr/>
          <w:p>
            <w:pPr>
              <w:pStyle w:val="Compact"/>
              <w:jc w:val="center"/>
            </w:pPr>
            <w:r>
              <w:t xml:space="preserve">0.31</w:t>
            </w:r>
          </w:p>
        </w:tc>
        <w:tc>
          <w:tcPr/>
          <w:p>
            <w:pPr>
              <w:pStyle w:val="Compact"/>
              <w:jc w:val="center"/>
            </w:pPr>
            <w:r>
              <w:t xml:space="preserve">0.04</w:t>
            </w:r>
          </w:p>
        </w:tc>
        <w:tc>
          <w:tcPr/>
          <w:p>
            <w:pPr>
              <w:pStyle w:val="Compact"/>
              <w:jc w:val="center"/>
            </w:pPr>
            <w:r>
              <w:t xml:space="preserve">0.03</w:t>
            </w:r>
          </w:p>
        </w:tc>
      </w:tr>
      <w:tr>
        <w:tc>
          <w:tcPr/>
          <w:p>
            <w:pPr>
              <w:pStyle w:val="Compact"/>
              <w:jc w:val="left"/>
            </w:pPr>
            <w:r>
              <w:t xml:space="preserve">KDC</w:t>
            </w:r>
          </w:p>
        </w:tc>
        <w:tc>
          <w:tcPr/>
          <w:p>
            <w:pPr>
              <w:pStyle w:val="Compact"/>
              <w:jc w:val="center"/>
            </w:pPr>
            <w:r>
              <w:t xml:space="preserve">Nov 2025</w:t>
            </w:r>
          </w:p>
        </w:tc>
        <w:tc>
          <w:tcPr/>
          <w:p>
            <w:pPr>
              <w:pStyle w:val="Compact"/>
              <w:jc w:val="center"/>
            </w:pPr>
            <w:r>
              <w:t xml:space="preserve">0.66</w:t>
            </w:r>
          </w:p>
        </w:tc>
        <w:tc>
          <w:tcPr/>
          <w:p>
            <w:pPr>
              <w:pStyle w:val="Compact"/>
              <w:jc w:val="center"/>
            </w:pPr>
            <w:r>
              <w:t xml:space="preserve">0.46</w:t>
            </w:r>
          </w:p>
        </w:tc>
        <w:tc>
          <w:tcPr/>
          <w:p>
            <w:pPr>
              <w:pStyle w:val="Compact"/>
              <w:jc w:val="center"/>
            </w:pPr>
            <w:r>
              <w:t xml:space="preserve">0.10</w:t>
            </w:r>
          </w:p>
        </w:tc>
      </w:tr>
      <w:tr>
        <w:tc>
          <w:tcPr/>
          <w:p>
            <w:pPr>
              <w:pStyle w:val="Compact"/>
              <w:jc w:val="left"/>
            </w:pPr>
            <w:r>
              <w:t xml:space="preserve">KDH</w:t>
            </w:r>
          </w:p>
        </w:tc>
        <w:tc>
          <w:tcPr/>
          <w:p>
            <w:pPr>
              <w:pStyle w:val="Compact"/>
              <w:jc w:val="center"/>
            </w:pPr>
            <w:r>
              <w:t xml:space="preserve">Nov 2025</w:t>
            </w:r>
          </w:p>
        </w:tc>
        <w:tc>
          <w:tcPr/>
          <w:p>
            <w:pPr>
              <w:pStyle w:val="Compact"/>
              <w:jc w:val="center"/>
            </w:pPr>
            <w:r>
              <w:t xml:space="preserve">−0.33</w:t>
            </w:r>
          </w:p>
        </w:tc>
        <w:tc>
          <w:tcPr/>
          <w:p>
            <w:pPr>
              <w:pStyle w:val="Compact"/>
              <w:jc w:val="center"/>
            </w:pPr>
            <w:r>
              <w:t xml:space="preserve">−0.16</w:t>
            </w:r>
          </w:p>
        </w:tc>
        <w:tc>
          <w:tcPr/>
          <w:p>
            <w:pPr>
              <w:pStyle w:val="Compact"/>
              <w:jc w:val="center"/>
            </w:pPr>
            <w:r>
              <w:t xml:space="preserve">−0.47</w:t>
            </w:r>
          </w:p>
        </w:tc>
      </w:tr>
      <w:tr>
        <w:tc>
          <w:tcPr/>
          <w:p>
            <w:pPr>
              <w:pStyle w:val="Compact"/>
              <w:jc w:val="left"/>
            </w:pPr>
            <w:r>
              <w:t xml:space="preserve">PDR</w:t>
            </w:r>
          </w:p>
        </w:tc>
        <w:tc>
          <w:tcPr/>
          <w:p>
            <w:pPr>
              <w:pStyle w:val="Compact"/>
              <w:jc w:val="center"/>
            </w:pPr>
            <w:r>
              <w:t xml:space="preserve">Nov 2025</w:t>
            </w:r>
          </w:p>
        </w:tc>
        <w:tc>
          <w:tcPr/>
          <w:p>
            <w:pPr>
              <w:pStyle w:val="Compact"/>
              <w:jc w:val="center"/>
            </w:pPr>
            <w:r>
              <w:t xml:space="preserve">−0.25</w:t>
            </w:r>
          </w:p>
        </w:tc>
        <w:tc>
          <w:tcPr/>
          <w:p>
            <w:pPr>
              <w:pStyle w:val="Compact"/>
              <w:jc w:val="center"/>
            </w:pPr>
            <w:r>
              <w:t xml:space="preserve">−0.19</w:t>
            </w:r>
          </w:p>
        </w:tc>
        <w:tc>
          <w:tcPr/>
          <w:p>
            <w:pPr>
              <w:pStyle w:val="Compact"/>
              <w:jc w:val="center"/>
            </w:pPr>
            <w:r>
              <w:t xml:space="preserve">−0.50</w:t>
            </w:r>
          </w:p>
        </w:tc>
      </w:tr>
      <w:tr>
        <w:tc>
          <w:tcPr/>
          <w:p>
            <w:pPr>
              <w:pStyle w:val="Compact"/>
              <w:jc w:val="left"/>
            </w:pPr>
            <w:r>
              <w:t xml:space="preserve">PLX</w:t>
            </w:r>
          </w:p>
        </w:tc>
        <w:tc>
          <w:tcPr/>
          <w:p>
            <w:pPr>
              <w:pStyle w:val="Compact"/>
              <w:jc w:val="center"/>
            </w:pPr>
            <w:r>
              <w:t xml:space="preserve">Nov 2025</w:t>
            </w:r>
          </w:p>
        </w:tc>
        <w:tc>
          <w:tcPr/>
          <w:p>
            <w:pPr>
              <w:pStyle w:val="Compact"/>
              <w:jc w:val="center"/>
            </w:pPr>
            <w:r>
              <w:t xml:space="preserve">−0.37</w:t>
            </w:r>
          </w:p>
        </w:tc>
        <w:tc>
          <w:tcPr/>
          <w:p>
            <w:pPr>
              <w:pStyle w:val="Compact"/>
              <w:jc w:val="center"/>
            </w:pPr>
            <w:r>
              <w:t xml:space="preserve">−1.12</w:t>
            </w:r>
          </w:p>
        </w:tc>
        <w:tc>
          <w:tcPr/>
          <w:p>
            <w:pPr>
              <w:pStyle w:val="Compact"/>
              <w:jc w:val="center"/>
            </w:pPr>
            <w:r>
              <w:t xml:space="preserve">−1.04</w:t>
            </w:r>
          </w:p>
        </w:tc>
      </w:tr>
      <w:tr>
        <w:tc>
          <w:tcPr/>
          <w:p>
            <w:pPr>
              <w:pStyle w:val="Compact"/>
              <w:jc w:val="left"/>
            </w:pPr>
            <w:r>
              <w:t xml:space="preserve">SAB</w:t>
            </w:r>
          </w:p>
        </w:tc>
        <w:tc>
          <w:tcPr/>
          <w:p>
            <w:pPr>
              <w:pStyle w:val="Compact"/>
              <w:jc w:val="center"/>
            </w:pPr>
            <w:r>
              <w:t xml:space="preserve">Nov 2025</w:t>
            </w:r>
          </w:p>
        </w:tc>
        <w:tc>
          <w:tcPr/>
          <w:p>
            <w:pPr>
              <w:pStyle w:val="Compact"/>
              <w:jc w:val="center"/>
            </w:pPr>
            <w:r>
              <w:t xml:space="preserve">−0.17</w:t>
            </w:r>
          </w:p>
        </w:tc>
        <w:tc>
          <w:tcPr/>
          <w:p>
            <w:pPr>
              <w:pStyle w:val="Compact"/>
              <w:jc w:val="center"/>
            </w:pPr>
            <w:r>
              <w:t xml:space="preserve">0.02</w:t>
            </w:r>
          </w:p>
        </w:tc>
        <w:tc>
          <w:tcPr/>
          <w:p>
            <w:pPr>
              <w:pStyle w:val="Compact"/>
              <w:jc w:val="center"/>
            </w:pPr>
            <w:r>
              <w:t xml:space="preserve">−0.11</w:t>
            </w:r>
          </w:p>
        </w:tc>
      </w:tr>
    </w:tbl>
    <w:p>
      <w:pPr>
        <w:pStyle w:val="BodyText"/>
      </w:pPr>
      <w:r>
        <w:rPr>
          <w:iCs/>
          <w:i/>
        </w:rPr>
        <w:t xml:space="preserve">Notes</w:t>
      </w:r>
      <w:r>
        <w:t xml:space="preserve">: Change in mean log Amihud relative to never-named stocks and to the pre-announcement level of the stock, with S1–S3 as defined in Section 5.2. Source: Authors’ calculations.</w:t>
      </w:r>
    </w:p>
    <w:bookmarkEnd w:id="48"/>
    <w:bookmarkStart w:id="49" w:name="declarations"/>
    <w:p>
      <w:pPr>
        <w:pStyle w:val="Heading2"/>
      </w:pPr>
      <w:r>
        <w:t xml:space="preserve">Declarations</w:t>
      </w:r>
    </w:p>
    <w:p>
      <w:pPr>
        <w:pStyle w:val="FirstParagraph"/>
      </w:pPr>
      <w:r>
        <w:rPr>
          <w:bCs/>
          <w:b/>
        </w:rPr>
        <w:t xml:space="preserve">Data availability.</w:t>
      </w:r>
      <w:r>
        <w:t xml:space="preserve"> </w:t>
      </w:r>
      <w:r>
        <w:t xml:space="preserve">Daily price and volume data are public and were retrieved through the vnstock library (VCI source). The downloaded files and the R code that reproduces all tables and figures (R 4.3.3, fixest 0.14.2, MatchIt 4.5.5, data.table 1.14.10) are available from the corresponding author and will be deposited in a public repository on acceptance.</w:t>
      </w:r>
    </w:p>
    <w:p>
      <w:pPr>
        <w:pStyle w:val="BodyText"/>
      </w:pPr>
      <w:r>
        <w:rPr>
          <w:bCs/>
          <w:b/>
        </w:rPr>
        <w:t xml:space="preserve">Ethics.</w:t>
      </w:r>
      <w:r>
        <w:t xml:space="preserve"> </w:t>
      </w:r>
      <w:r>
        <w:t xml:space="preserve">The study uses public market data and involves no human participants.</w:t>
      </w:r>
    </w:p>
    <w:p>
      <w:pPr>
        <w:pStyle w:val="BodyText"/>
      </w:pPr>
      <w:r>
        <w:rPr>
          <w:bCs/>
          <w:b/>
        </w:rPr>
        <w:t xml:space="preserve">Funding.</w:t>
      </w:r>
      <w:r>
        <w:t xml:space="preserve"> </w:t>
      </w:r>
      <w:r>
        <w:t xml:space="preserve">This research did not receive any specific grant from funding agencies in the public, commercial, or not-for-profit sectors.</w:t>
      </w:r>
    </w:p>
    <w:bookmarkEnd w:id="49"/>
    <w:bookmarkStart w:id="50" w:name="X1f74eb43af444059c7518034463b6c89b1cacf4"/>
    <w:p>
      <w:pPr>
        <w:pStyle w:val="Heading2"/>
      </w:pPr>
      <w:r>
        <w:t xml:space="preserve">Declaration of generative AI and AI-assisted technologies in the manuscript preparation process</w:t>
      </w:r>
    </w:p>
    <w:p>
      <w:pPr>
        <w:pStyle w:val="FirstParagraph"/>
      </w:pPr>
      <w:r>
        <w:t xml:space="preserve">During the preparation of this work the authors used Claude (Anthropic) in order to organize the analysis code, draft text, simulate peer review and verify references against Crossref. After using this tool, the authors reviewed and edited the content as needed and take full responsibility for the content of the published article.</w:t>
      </w:r>
    </w:p>
    <w:bookmarkEnd w:id="50"/>
    <w:bookmarkStart w:id="51" w:name="references"/>
    <w:p>
      <w:pPr>
        <w:pStyle w:val="Heading2"/>
      </w:pPr>
      <w:r>
        <w:t xml:space="preserve">References</w:t>
      </w:r>
    </w:p>
    <w:p>
      <w:pPr>
        <w:pStyle w:val="FirstParagraph"/>
      </w:pPr>
      <w:r>
        <w:t xml:space="preserve">Amihud, Y. (2002). Illiquidity and stock returns: Cross-section and time-series effects.</w:t>
      </w:r>
      <w:r>
        <w:t xml:space="preserve"> </w:t>
      </w:r>
      <w:r>
        <w:rPr>
          <w:iCs/>
          <w:i/>
        </w:rPr>
        <w:t xml:space="preserve">Journal of Financial Markets, 5</w:t>
      </w:r>
      <w:r>
        <w:t xml:space="preserve">(1), 31–56. https://doi.org/10.1016/S1386-4181(01)00024-6</w:t>
      </w:r>
    </w:p>
    <w:p>
      <w:pPr>
        <w:pStyle w:val="BodyText"/>
      </w:pPr>
      <w:r>
        <w:t xml:space="preserve">Becker-Blease, J. R., &amp; Paul, D. L. (2006). Stock liquidity and investment opportunities: Evidence from index additions.</w:t>
      </w:r>
      <w:r>
        <w:t xml:space="preserve"> </w:t>
      </w:r>
      <w:r>
        <w:rPr>
          <w:iCs/>
          <w:i/>
        </w:rPr>
        <w:t xml:space="preserve">Financial Management, 35</w:t>
      </w:r>
      <w:r>
        <w:t xml:space="preserve">(3), 35–51. https://doi.org/10.1111/j.1755-053X.2006.tb00146.x</w:t>
      </w:r>
    </w:p>
    <w:p>
      <w:pPr>
        <w:pStyle w:val="BodyText"/>
      </w:pPr>
      <w:r>
        <w:t xml:space="preserve">Bekaert, G., Harvey, C. R., &amp; Lundblad, C. (2007). Liquidity and expected returns: Lessons from emerging markets.</w:t>
      </w:r>
      <w:r>
        <w:t xml:space="preserve"> </w:t>
      </w:r>
      <w:r>
        <w:rPr>
          <w:iCs/>
          <w:i/>
        </w:rPr>
        <w:t xml:space="preserve">Review of Financial Studies, 20</w:t>
      </w:r>
      <w:r>
        <w:t xml:space="preserve">(6), 1783–1831. https://doi.org/10.1093/rfs/hhm030</w:t>
      </w:r>
    </w:p>
    <w:p>
      <w:pPr>
        <w:pStyle w:val="BodyText"/>
      </w:pPr>
      <w:r>
        <w:t xml:space="preserve">Biktimirov, E. N., &amp; Afego, P. N. (2026). Is there an index effect in frontier markets?</w:t>
      </w:r>
      <w:r>
        <w:t xml:space="preserve"> </w:t>
      </w:r>
      <w:r>
        <w:rPr>
          <w:iCs/>
          <w:i/>
        </w:rPr>
        <w:t xml:space="preserve">International Review of Economics &amp; Finance, 110</w:t>
      </w:r>
      <w:r>
        <w:t xml:space="preserve">, 105562. https://doi.org/10.1016/j.iref.2026.105562</w:t>
      </w:r>
    </w:p>
    <w:p>
      <w:pPr>
        <w:pStyle w:val="BodyText"/>
      </w:pPr>
      <w:r>
        <w:t xml:space="preserve">Brown, S. J., &amp; Warner, J. B. (1985). Using daily stock returns: The case of event studies.</w:t>
      </w:r>
      <w:r>
        <w:t xml:space="preserve"> </w:t>
      </w:r>
      <w:r>
        <w:rPr>
          <w:iCs/>
          <w:i/>
        </w:rPr>
        <w:t xml:space="preserve">Journal of Financial Economics, 14</w:t>
      </w:r>
      <w:r>
        <w:t xml:space="preserve">(1), 3–31. https://doi.org/10.1016/0304-405X(85)90042-X</w:t>
      </w:r>
    </w:p>
    <w:p>
      <w:pPr>
        <w:pStyle w:val="BodyText"/>
      </w:pPr>
      <w:r>
        <w:t xml:space="preserve">Burnham, T. C., Gakidis, H., &amp; Wurgler, J. (2018). Investing in the presence of massive flows: The case of MSCI country reclassifications.</w:t>
      </w:r>
      <w:r>
        <w:t xml:space="preserve"> </w:t>
      </w:r>
      <w:r>
        <w:rPr>
          <w:iCs/>
          <w:i/>
        </w:rPr>
        <w:t xml:space="preserve">Financial Analysts Journal, 74</w:t>
      </w:r>
      <w:r>
        <w:t xml:space="preserve">(1), 77–87. https://doi.org/10.2469/faj.v74.n1.8</w:t>
      </w:r>
    </w:p>
    <w:p>
      <w:pPr>
        <w:pStyle w:val="BodyText"/>
      </w:pPr>
      <w:r>
        <w:t xml:space="preserve">Callaway, B., &amp; Sant’Anna, P. H. C. (2021). Difference-in-differences with multiple time periods.</w:t>
      </w:r>
      <w:r>
        <w:t xml:space="preserve"> </w:t>
      </w:r>
      <w:r>
        <w:rPr>
          <w:iCs/>
          <w:i/>
        </w:rPr>
        <w:t xml:space="preserve">Journal of Econometrics, 225</w:t>
      </w:r>
      <w:r>
        <w:t xml:space="preserve">(2), 200–230. https://doi.org/10.1016/j.jeconom.2020.12.001</w:t>
      </w:r>
    </w:p>
    <w:p>
      <w:pPr>
        <w:pStyle w:val="BodyText"/>
      </w:pPr>
      <w:r>
        <w:t xml:space="preserve">Cameron, A. C., Gelbach, J. B., &amp; Miller, D. L. (2008). Bootstrap-based improvements for inference with clustered errors.</w:t>
      </w:r>
      <w:r>
        <w:t xml:space="preserve"> </w:t>
      </w:r>
      <w:r>
        <w:rPr>
          <w:iCs/>
          <w:i/>
        </w:rPr>
        <w:t xml:space="preserve">Review of Economics and Statistics, 90</w:t>
      </w:r>
      <w:r>
        <w:t xml:space="preserve">(3), 414–427. https://doi.org/10.1162/rest.90.3.414</w:t>
      </w:r>
    </w:p>
    <w:p>
      <w:pPr>
        <w:pStyle w:val="BodyText"/>
      </w:pPr>
      <w:r>
        <w:t xml:space="preserve">Chen, H., Noronha, G., &amp; Singal, V. (2004). The price response to S&amp;P 500 index additions and deletions: Evidence of asymmetry and a new explanation.</w:t>
      </w:r>
      <w:r>
        <w:t xml:space="preserve"> </w:t>
      </w:r>
      <w:r>
        <w:rPr>
          <w:iCs/>
          <w:i/>
        </w:rPr>
        <w:t xml:space="preserve">The Journal of Finance, 59</w:t>
      </w:r>
      <w:r>
        <w:t xml:space="preserve">(4), 1901–1930. https://doi.org/10.1111/j.1540-6261.2004.00683.x</w:t>
      </w:r>
    </w:p>
    <w:p>
      <w:pPr>
        <w:pStyle w:val="BodyText"/>
      </w:pPr>
      <w:r>
        <w:t xml:space="preserve">Chordia, T., Roll, R., &amp; Subrahmanyam, A. (2000). Commonality in liquidity.</w:t>
      </w:r>
      <w:r>
        <w:t xml:space="preserve"> </w:t>
      </w:r>
      <w:r>
        <w:rPr>
          <w:iCs/>
          <w:i/>
        </w:rPr>
        <w:t xml:space="preserve">Journal of Financial Economics, 56</w:t>
      </w:r>
      <w:r>
        <w:t xml:space="preserve">(1), 3–28. https://doi.org/10.1016/S0304-405X(99)00057-4</w:t>
      </w:r>
    </w:p>
    <w:p>
      <w:pPr>
        <w:pStyle w:val="BodyText"/>
      </w:pPr>
      <w:r>
        <w:t xml:space="preserve">Corwin, S. A., &amp; Schultz, P. (2012). A simple way to estimate bid-ask spreads from daily high and low prices.</w:t>
      </w:r>
      <w:r>
        <w:t xml:space="preserve"> </w:t>
      </w:r>
      <w:r>
        <w:rPr>
          <w:iCs/>
          <w:i/>
        </w:rPr>
        <w:t xml:space="preserve">The Journal of Finance, 67</w:t>
      </w:r>
      <w:r>
        <w:t xml:space="preserve">(2), 719–760. https://doi.org/10.1111/j.1540-6261.2012.01729.x</w:t>
      </w:r>
    </w:p>
    <w:p>
      <w:pPr>
        <w:pStyle w:val="BodyText"/>
      </w:pPr>
      <w:r>
        <w:t xml:space="preserve">Dong, S., Zheng, J., Jia, H., &amp; Zhang, Z. (2023). Impact of capital market internationalization on stock markets: Evidence from the inclusion of China A-shares in the MSCI Emerging Markets Index.</w:t>
      </w:r>
      <w:r>
        <w:t xml:space="preserve"> </w:t>
      </w:r>
      <w:r>
        <w:rPr>
          <w:iCs/>
          <w:i/>
        </w:rPr>
        <w:t xml:space="preserve">Research in International Business and Finance, 66</w:t>
      </w:r>
      <w:r>
        <w:t xml:space="preserve">, 101989. https://doi.org/10.1016/j.ribaf.2023.101989</w:t>
      </w:r>
    </w:p>
    <w:p>
      <w:pPr>
        <w:pStyle w:val="BodyText"/>
      </w:pPr>
      <w:r>
        <w:t xml:space="preserve">FTSE Russell. (n.d.).</w:t>
      </w:r>
      <w:r>
        <w:t xml:space="preserve"> </w:t>
      </w:r>
      <w:r>
        <w:rPr>
          <w:iCs/>
          <w:i/>
        </w:rPr>
        <w:t xml:space="preserve">FTSE Global Equity Index Series ground rules</w:t>
      </w:r>
      <w:r>
        <w:t xml:space="preserve">. https://www.lseg.com/content/dam/ftse-russell/en_us/documents/ground-rules/ftse-global-equity-index-series-ground-rules.pdf Accessed 24 September 2026.</w:t>
      </w:r>
    </w:p>
    <w:p>
      <w:pPr>
        <w:pStyle w:val="BodyText"/>
      </w:pPr>
      <w:r>
        <w:t xml:space="preserve">FTSE Russell. (2018, September 26).</w:t>
      </w:r>
      <w:r>
        <w:t xml:space="preserve"> </w:t>
      </w:r>
      <w:r>
        <w:rPr>
          <w:iCs/>
          <w:i/>
        </w:rPr>
        <w:t xml:space="preserve">FTSE classification of markets: September 2018</w:t>
      </w:r>
      <w:r>
        <w:t xml:space="preserve">. https://www.lseg.com/content/dam/ftse-russell/en_us/documents/country-classification/ftse-country-classification-update-2018.pdf Accessed 24 September 2026.</w:t>
      </w:r>
    </w:p>
    <w:p>
      <w:pPr>
        <w:pStyle w:val="BodyText"/>
      </w:pPr>
      <w:r>
        <w:t xml:space="preserve">FTSE Russell. (2026, April).</w:t>
      </w:r>
      <w:r>
        <w:t xml:space="preserve"> </w:t>
      </w:r>
      <w:r>
        <w:rPr>
          <w:iCs/>
          <w:i/>
        </w:rPr>
        <w:t xml:space="preserve">Reclassification of Vietnam from frontier to secondary emerging market status: FAQ</w:t>
      </w:r>
      <w:r>
        <w:t xml:space="preserve"> </w:t>
      </w:r>
      <w:r>
        <w:t xml:space="preserve">(Version 1.2). https://www.lseg.com/content/dam/ftse-russell/en_us/documents/policy-documents/ftse-faq-document-vietnam-reclassification.pdf Accessed 24 September 2026.</w:t>
      </w:r>
    </w:p>
    <w:p>
      <w:pPr>
        <w:pStyle w:val="BodyText"/>
      </w:pPr>
      <w:r>
        <w:t xml:space="preserve">Gregoriou, A., &amp; Nguyen, N. D. (2010). Stock liquidity and investment opportunities: New evidence from FTSE 100 index deletions.</w:t>
      </w:r>
      <w:r>
        <w:t xml:space="preserve"> </w:t>
      </w:r>
      <w:r>
        <w:rPr>
          <w:iCs/>
          <w:i/>
        </w:rPr>
        <w:t xml:space="preserve">Journal of International Financial Markets, Institutions and Money, 20</w:t>
      </w:r>
      <w:r>
        <w:t xml:space="preserve">(3), 267–274. https://doi.org/10.1016/j.intfin.2010.03.005</w:t>
      </w:r>
    </w:p>
    <w:p>
      <w:pPr>
        <w:pStyle w:val="BodyText"/>
      </w:pPr>
      <w:r>
        <w:t xml:space="preserve">Harris, L., &amp; Gurel, E. (1986). Price and volume effects associated with changes in the S&amp;P 500 list: New evidence for the existence of price pressures.</w:t>
      </w:r>
      <w:r>
        <w:t xml:space="preserve"> </w:t>
      </w:r>
      <w:r>
        <w:rPr>
          <w:iCs/>
          <w:i/>
        </w:rPr>
        <w:t xml:space="preserve">The Journal of Finance, 41</w:t>
      </w:r>
      <w:r>
        <w:t xml:space="preserve">(4), 815–829. https://doi.org/10.1111/j.1540-6261.1986.tb04550.x</w:t>
      </w:r>
    </w:p>
    <w:p>
      <w:pPr>
        <w:pStyle w:val="BodyText"/>
      </w:pPr>
      <w:r>
        <w:t xml:space="preserve">Hau, H., Massa, M., &amp; Peress, J. (2010). Do demand curves for currencies slope down? Evidence from the MSCI global index change.</w:t>
      </w:r>
      <w:r>
        <w:t xml:space="preserve"> </w:t>
      </w:r>
      <w:r>
        <w:rPr>
          <w:iCs/>
          <w:i/>
        </w:rPr>
        <w:t xml:space="preserve">Review of Financial Studies, 23</w:t>
      </w:r>
      <w:r>
        <w:t xml:space="preserve">(4), 1681–1717. https://doi.org/10.1093/rfs/hhp095</w:t>
      </w:r>
    </w:p>
    <w:p>
      <w:pPr>
        <w:pStyle w:val="BodyText"/>
      </w:pPr>
      <w:r>
        <w:t xml:space="preserve">Hegde, S. P., &amp; McDermott, J. B. (2003). The liquidity effects of revisions to the S&amp;P 500 index: An empirical analysis.</w:t>
      </w:r>
      <w:r>
        <w:t xml:space="preserve"> </w:t>
      </w:r>
      <w:r>
        <w:rPr>
          <w:iCs/>
          <w:i/>
        </w:rPr>
        <w:t xml:space="preserve">Journal of Financial Markets, 6</w:t>
      </w:r>
      <w:r>
        <w:t xml:space="preserve">(3), 413–459. https://doi.org/10.1016/S1386-4181(02)00046-0</w:t>
      </w:r>
    </w:p>
    <w:p>
      <w:pPr>
        <w:pStyle w:val="BodyText"/>
      </w:pPr>
      <w:r>
        <w:t xml:space="preserve">Ho, D. E., Imai, K., King, G., &amp; Stuart, E. A. (2007). Matching as nonparametric preprocessing for reducing model dependence in parametric causal inference.</w:t>
      </w:r>
      <w:r>
        <w:t xml:space="preserve"> </w:t>
      </w:r>
      <w:r>
        <w:rPr>
          <w:iCs/>
          <w:i/>
        </w:rPr>
        <w:t xml:space="preserve">Political Analysis, 15</w:t>
      </w:r>
      <w:r>
        <w:t xml:space="preserve">(3), 199–236. https://doi.org/10.1093/pan/mpl013</w:t>
      </w:r>
    </w:p>
    <w:p>
      <w:pPr>
        <w:pStyle w:val="BodyText"/>
      </w:pPr>
      <w:r>
        <w:t xml:space="preserve">Kang, W., &amp; Zhang, H. (2014). Measuring liquidity in emerging markets.</w:t>
      </w:r>
      <w:r>
        <w:t xml:space="preserve"> </w:t>
      </w:r>
      <w:r>
        <w:rPr>
          <w:iCs/>
          <w:i/>
        </w:rPr>
        <w:t xml:space="preserve">Pacific-Basin Finance Journal, 27</w:t>
      </w:r>
      <w:r>
        <w:t xml:space="preserve">, 49–71. https://doi.org/10.1016/j.pacfin.2014.02.001</w:t>
      </w:r>
    </w:p>
    <w:p>
      <w:pPr>
        <w:pStyle w:val="BodyText"/>
      </w:pPr>
      <w:r>
        <w:t xml:space="preserve">LSEG. (2025, October 7).</w:t>
      </w:r>
      <w:r>
        <w:t xml:space="preserve"> </w:t>
      </w:r>
      <w:r>
        <w:rPr>
          <w:iCs/>
          <w:i/>
        </w:rPr>
        <w:t xml:space="preserve">FTSE Russell announces results of September 2025 semi-annual country classification review for equities and fixed income</w:t>
      </w:r>
      <w:r>
        <w:t xml:space="preserve"> </w:t>
      </w:r>
      <w:r>
        <w:t xml:space="preserve">[Press release]. https://www.lseg.com/en/media-centre/press-releases/ftse-russell/2025/ftse-russell-country-classification-september-2025 Accessed 24 September 2026.</w:t>
      </w:r>
    </w:p>
    <w:p>
      <w:pPr>
        <w:pStyle w:val="BodyText"/>
      </w:pPr>
      <w:r>
        <w:t xml:space="preserve">LSEG. (2026, April 7).</w:t>
      </w:r>
      <w:r>
        <w:t xml:space="preserve"> </w:t>
      </w:r>
      <w:r>
        <w:rPr>
          <w:iCs/>
          <w:i/>
        </w:rPr>
        <w:t xml:space="preserve">FTSE Russell announces results of March 2026 semi-annual country classification review for equities and fixed income</w:t>
      </w:r>
      <w:r>
        <w:t xml:space="preserve"> </w:t>
      </w:r>
      <w:r>
        <w:t xml:space="preserve">[Press release]. https://www.lseg.com/en/media-centre/press-releases/ftse-russell/2026/ftse-russell-announces-results-march-2026-semi-annual-country-classification-review-equities-fixed-income Accessed 24 September 2026.</w:t>
      </w:r>
    </w:p>
    <w:p>
      <w:pPr>
        <w:pStyle w:val="BodyText"/>
      </w:pPr>
      <w:r>
        <w:t xml:space="preserve">Nguyen, C. T., Hai, P. T., &amp; Nguyen, H. K. (2021). Stock market returns and liquidity during the COVID-19 outbreak: Evidence from the financial services sector in Vietnam.</w:t>
      </w:r>
      <w:r>
        <w:t xml:space="preserve"> </w:t>
      </w:r>
      <w:r>
        <w:rPr>
          <w:iCs/>
          <w:i/>
        </w:rPr>
        <w:t xml:space="preserve">Asian Journal of Economics and Banking, 5</w:t>
      </w:r>
      <w:r>
        <w:t xml:space="preserve">(3), 324–342. https://doi.org/10.1108/AJEB-06-2021-0070</w:t>
      </w:r>
    </w:p>
    <w:p>
      <w:pPr>
        <w:pStyle w:val="BodyText"/>
      </w:pPr>
      <w:r>
        <w:t xml:space="preserve">Raddatz, C., Schmukler, S. L., &amp; Williams, T. (2017). International asset allocations and capital flows: The benchmark effect.</w:t>
      </w:r>
      <w:r>
        <w:t xml:space="preserve"> </w:t>
      </w:r>
      <w:r>
        <w:rPr>
          <w:iCs/>
          <w:i/>
        </w:rPr>
        <w:t xml:space="preserve">Journal of International Economics, 108</w:t>
      </w:r>
      <w:r>
        <w:t xml:space="preserve">, 413–430. https://doi.org/10.1016/j.jinteco.2017.06.007</w:t>
      </w:r>
    </w:p>
    <w:p>
      <w:pPr>
        <w:pStyle w:val="BodyText"/>
      </w:pPr>
      <w:r>
        <w:t xml:space="preserve">Roth, J., Sant’Anna, P. H. C., Bilinski, A., &amp; Poe, J. (2023). What’s trending in difference-in-differences? A synthesis of the recent econometrics literature.</w:t>
      </w:r>
      <w:r>
        <w:t xml:space="preserve"> </w:t>
      </w:r>
      <w:r>
        <w:rPr>
          <w:iCs/>
          <w:i/>
        </w:rPr>
        <w:t xml:space="preserve">Journal of Econometrics, 235</w:t>
      </w:r>
      <w:r>
        <w:t xml:space="preserve">(2), 2218–2244. https://doi.org/10.1016/j.jeconom.2023.03.008</w:t>
      </w:r>
    </w:p>
    <w:p>
      <w:pPr>
        <w:pStyle w:val="BodyText"/>
      </w:pPr>
      <w:r>
        <w:t xml:space="preserve">Shleifer, A. (1986). Do demand curves for stocks slope down?</w:t>
      </w:r>
      <w:r>
        <w:t xml:space="preserve"> </w:t>
      </w:r>
      <w:r>
        <w:rPr>
          <w:iCs/>
          <w:i/>
        </w:rPr>
        <w:t xml:space="preserve">The Journal of Finance, 41</w:t>
      </w:r>
      <w:r>
        <w:t xml:space="preserve">(3), 579–590. https://doi.org/10.1111/j.1540-6261.1986.tb04518.x</w:t>
      </w:r>
    </w:p>
    <w:p>
      <w:pPr>
        <w:pStyle w:val="BodyText"/>
      </w:pPr>
      <w:r>
        <w:t xml:space="preserve">Stereńczak, S., Zaremba, A., &amp; Umar, Z. (2020). Is there an illiquidity premium in frontier markets?</w:t>
      </w:r>
      <w:r>
        <w:t xml:space="preserve"> </w:t>
      </w:r>
      <w:r>
        <w:rPr>
          <w:iCs/>
          <w:i/>
        </w:rPr>
        <w:t xml:space="preserve">Emerging Markets Review, 42</w:t>
      </w:r>
      <w:r>
        <w:t xml:space="preserve">, 100673. https://doi.org/10.1016/j.ememar.2019.100673</w:t>
      </w:r>
    </w:p>
    <w:p>
      <w:pPr>
        <w:pStyle w:val="BodyText"/>
      </w:pPr>
      <w:r>
        <w:t xml:space="preserve">The Investor. (2026a, March 4).</w:t>
      </w:r>
      <w:r>
        <w:t xml:space="preserve"> </w:t>
      </w:r>
      <w:r>
        <w:rPr>
          <w:iCs/>
          <w:i/>
        </w:rPr>
        <w:t xml:space="preserve">FTSE Russell eyes 28 Vietnam stocks ahead of market status upgrade review</w:t>
      </w:r>
      <w:r>
        <w:t xml:space="preserve">. https://theinvestor.vn/ftse-russell-eyes-28-vietnam-stocks-ahead-of-market-status-upgrade-review-d18516.html Accessed 24 September 2026.</w:t>
      </w:r>
    </w:p>
    <w:p>
      <w:pPr>
        <w:pStyle w:val="BodyText"/>
      </w:pPr>
      <w:r>
        <w:t xml:space="preserve">The Investor. (2026b, April 8).</w:t>
      </w:r>
      <w:r>
        <w:t xml:space="preserve"> </w:t>
      </w:r>
      <w:r>
        <w:rPr>
          <w:iCs/>
          <w:i/>
        </w:rPr>
        <w:t xml:space="preserve">FTSE Russell names 32 Vietnamese stocks eligible for emerging-market index inclusion</w:t>
      </w:r>
      <w:r>
        <w:t xml:space="preserve">. https://theinvestor.vn/ftse-russell-names-32-vietnamese-stocks-eligible-for-emerging-market-index-inclusion-d18800.html Accessed 24 September 2026.</w:t>
      </w:r>
    </w:p>
    <w:p>
      <w:pPr>
        <w:pStyle w:val="BodyText"/>
      </w:pPr>
      <w:r>
        <w:t xml:space="preserve">Viet Nam News. (2025, November 13).</w:t>
      </w:r>
      <w:r>
        <w:t xml:space="preserve"> </w:t>
      </w:r>
      <w:r>
        <w:rPr>
          <w:iCs/>
          <w:i/>
        </w:rPr>
        <w:t xml:space="preserve">FTSE Russell plans inclusion of 28 Vietnamese stocks in 2026 market upgrade</w:t>
      </w:r>
      <w:r>
        <w:t xml:space="preserve">. https://vietnamnews.vn/economy/1729462/ftse-russell-plans-inclusion-of-28-vietnamese-stocks-in-2026-market-upgrade.html Accessed 24 September 2026.</w:t>
      </w:r>
    </w:p>
    <w:p>
      <w:pPr>
        <w:pStyle w:val="BodyText"/>
      </w:pPr>
      <w:r>
        <w:t xml:space="preserve">VietnamPlus. (2024, December 30).</w:t>
      </w:r>
      <w:r>
        <w:t xml:space="preserve"> </w:t>
      </w:r>
      <w:r>
        <w:rPr>
          <w:iCs/>
          <w:i/>
        </w:rPr>
        <w:t xml:space="preserve">Vietnamese billion dollar oil refinery exits UPCoM to join HoSE</w:t>
      </w:r>
      <w:r>
        <w:t xml:space="preserve">. https://en.vietnamplus.vn/vietnamese-billion-dollar-oil-refinery-exits-upcom-to-join-hose-post307514.vnp Accessed 24 September 2026.</w:t>
      </w:r>
    </w:p>
    <w:p>
      <w:pPr>
        <w:pStyle w:val="BodyText"/>
      </w:pPr>
      <w:r>
        <w:t xml:space="preserve">VIR. (2026, August 22).</w:t>
      </w:r>
      <w:r>
        <w:t xml:space="preserve"> </w:t>
      </w:r>
      <w:r>
        <w:rPr>
          <w:iCs/>
          <w:i/>
        </w:rPr>
        <w:t xml:space="preserve">FTSE Russell names 27 Vietnamese stocks in review</w:t>
      </w:r>
      <w:r>
        <w:t xml:space="preserve">. https://vir.com.vn/ftse-russell-names-27-vietnamese-stocks-in-review-159265.html Accessed 24 September 2026.</w:t>
      </w:r>
    </w:p>
    <w:bookmarkEnd w:id="51"/>
    <w:bookmarkEnd w:id="52"/>
    <w:sectPr>
      <w:headerReference r:id="rId9" w:type="default"/>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end"/>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line="480" w:lineRule="auto"/>
    </w:pPr>
    <w:rPr>
      <w:rFonts w:ascii="Times New Roman" w:cs="Times New Roman" w:eastAsia="Times New Roman" w:hAnsi="Times New Roman"/>
      <w:sz w:val="24"/>
    </w:rPr>
  </w:style>
  <w:style w:styleId="BodyText" w:type="paragraph">
    <w:name w:val="Body Text"/>
    <w:basedOn w:val="Normal"/>
    <w:link w:val="BodyTextChar"/>
    <w:pPr>
      <w:spacing w:after="0" w:before="180" w:line="480" w:lineRule="auto"/>
    </w:pPr>
    <w:qFormat/>
    <w:rPr>
      <w:rFonts w:ascii="Times New Roman" w:cs="Times New Roman" w:eastAsia="Times New Roman" w:hAnsi="Times New Roman"/>
      <w:sz w:val="24"/>
    </w:rPr>
  </w:style>
  <w:style w:customStyle="1" w:styleId="FirstParagraph" w:type="paragraph">
    <w:name w:val="First Paragraph"/>
    <w:basedOn w:val="BodyText"/>
    <w:next w:val="BodyText"/>
    <w:qFormat/>
    <w:pPr>
      <w:spacing w:after="0" w:line="480" w:lineRule="auto"/>
    </w:pPr>
    <w:rPr>
      <w:rFonts w:ascii="Times New Roman" w:cs="Times New Roman" w:eastAsia="Times New Roman" w:hAnsi="Times New Roman"/>
      <w:sz w:val="24"/>
    </w:rPr>
  </w:style>
  <w:style w:customStyle="1" w:styleId="Compact" w:type="paragraph">
    <w:name w:val="Compact"/>
    <w:basedOn w:val="BodyText"/>
    <w:qFormat/>
    <w:pPr>
      <w:spacing w:after="36" w:before="36"/>
    </w:pPr>
    <w:rPr>
      <w:rFonts w:ascii="Times New Roman" w:cs="Times New Roman" w:eastAsia="Times New Roman" w:hAnsi="Times New Roman"/>
      <w:sz w:val="20"/>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sz w:val="32"/>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sz w:val="30"/>
      <w:szCs w:val="30"/>
    </w:rPr>
  </w:style>
  <w:style w:customStyle="1" w:styleId="Author" w:type="paragraph">
    <w:name w:val="Author"/>
    <w:next w:val="BodyText"/>
    <w:qFormat/>
    <w:pPr>
      <w:keepNext/>
      <w:keepLines/>
      <w:jc w:val="center"/>
    </w:pPr>
    <w:rPr>
      <w:rFonts w:ascii="Times New Roman" w:cs="Times New Roman" w:eastAsia="Times New Roman" w:hAnsi="Times New Roman"/>
    </w:rPr>
  </w:style>
  <w:style w:styleId="Date" w:type="paragraph">
    <w:name w:val="Date"/>
    <w:next w:val="BodyText"/>
    <w:qFormat/>
    <w:pPr>
      <w:keepNext/>
      <w:keepLines/>
      <w:jc w:val="center"/>
    </w:pPr>
    <w:rPr>
      <w:rFonts w:ascii="Times New Roman" w:cs="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cs="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default="1" w:styleId="DefaultParagraphFont" w:type="character">
    <w:name w:val="Default Paragraph Font"/>
    <w:semiHidden/>
    <w:unhideWhenUsed/>
    <w:rPr>
      <w:rFonts w:ascii="Times New Roman" w:cs="Times New Roman" w:eastAsia="Times New Roman" w:hAnsi="Times New Roman"/>
    </w:rPr>
  </w:style>
  <w:style w:default="1" w:styleId="Table" w:type="table">
    <w:name w:val="Table"/>
    <w:basedOn w:val="TableNormal"/>
    <w:semiHidden/>
    <w:unhideWhenUsed/>
    <w:qFormat/>
    <w:rPr>
      <w:rFonts w:ascii="Times New Roman" w:cs="Times New Roman" w:eastAsia="Times New Roman" w:hAnsi="Times New Roman"/>
      <w:sz w:val="20"/>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sz w:val="22"/>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rPr>
      <w:rFonts w:ascii="Times New Roman" w:cs="Times New Roman" w:eastAsia="Times New Roman" w:hAnsi="Times New Roman"/>
    </w:rPr>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rPr>
      <w:rFonts w:ascii="Times New Roman" w:cs="Times New Roman" w:eastAsia="Times New Roman" w:hAnsi="Times New Roman"/>
    </w:rPr>
  </w:style>
  <w:style w:styleId="FootnoteReference" w:type="character">
    <w:name w:val="Footnote Reference"/>
    <w:basedOn w:val="BodyTextChar"/>
    <w:rPr>
      <w:rFonts w:ascii="Times New Roman" w:cs="Times New Roman" w:eastAsia="Times New Roman" w:hAnsi="Times New Roman"/>
      <w:vertAlign w:val="superscript"/>
    </w:rPr>
  </w:style>
  <w:style w:styleId="Hyperlink" w:type="character">
    <w:name w:val="Hyperlink"/>
    <w:basedOn w:val="BodyTextChar"/>
    <w:rPr>
      <w:rFonts w:ascii="Times New Roman" w:cs="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Type="http://schemas.openxmlformats.org/officeDocument/2006/relationships/image" Id="rId32" Target="media/rId32.png" /><Relationship Type="http://schemas.openxmlformats.org/officeDocument/2006/relationships/image" Id="rId35" Target="media/rId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2026-09-24T09:36:47Z</dcterms:created>
  <dcterms:modified xsi:type="dcterms:W3CDTF">2026-09-24T09:36:47Z</dcterms:modified>
</cp:coreProperties>
</file>

<file path=docProps/custom.xml><?xml version="1.0" encoding="utf-8"?>
<Properties xmlns="http://schemas.openxmlformats.org/officeDocument/2006/custom-properties" xmlns:vt="http://schemas.openxmlformats.org/officeDocument/2006/docPropsVTypes"/>
</file>