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t xml:space="preserve">Do price limits delay price discovery? Overnight gaps after limit closes in Vietnam</w:t>
      </w:r>
    </w:p>
    <w:p>
      <w:pPr>
        <w:pStyle w:val="BodyText"/>
        <w:spacing w:line="360" w:lineRule="auto" w:after="120"/>
        <w:jc w:val="left"/>
      </w:pPr>
      <w:r>
        <w:t xml:space="preserve">Ha Hong Hanh</w:t>
      </w:r>
      <w:r>
        <w:rPr>
          <w:vertAlign w:val="superscript"/>
        </w:rPr>
        <w:t xml:space="preserve">1</w:t>
      </w:r>
      <w:r>
        <w:t xml:space="preserve">, Nguyen Van Trung</w:t>
      </w:r>
      <w:r>
        <w:rPr>
          <w:vertAlign w:val="superscript"/>
        </w:rPr>
        <w:t xml:space="preserve">2,</w:t>
      </w:r>
      <w:r>
        <w:t xml:space="preserve">* &amp; Nguyen Thanh Binh</w:t>
      </w:r>
      <w:r>
        <w:rPr>
          <w:vertAlign w:val="superscript"/>
        </w:rPr>
        <w:t xml:space="preserve">2</w:t>
      </w:r>
    </w:p>
    <w:p>
      <w:pPr>
        <w:pStyle w:val="BodyText"/>
        <w:spacing w:line="360" w:lineRule="auto" w:after="120"/>
        <w:jc w:val="left"/>
      </w:pPr>
      <w:r>
        <w:rPr>
          <w:vertAlign w:val="superscript"/>
        </w:rPr>
        <w:t xml:space="preserve">1</w:t>
      </w:r>
      <w:r>
        <w:t xml:space="preserve">School of Accounting and Auditing, National Economics University, Hanoi, Vietnam.</w:t>
      </w:r>
    </w:p>
    <w:p>
      <w:pPr>
        <w:pStyle w:val="BodyText"/>
        <w:spacing w:line="360" w:lineRule="auto" w:after="120"/>
        <w:jc w:val="left"/>
      </w:pPr>
      <w:r>
        <w:rPr>
          <w:vertAlign w:val="superscript"/>
        </w:rPr>
        <w:t xml:space="preserve">2</w:t>
      </w:r>
      <w:r>
        <w:t xml:space="preserve">Academy of Policy and Development, Nam An Khanh Urban Area, Hoai Duc District, Hanoi, Vietnam.</w:t>
      </w:r>
    </w:p>
    <w:p>
      <w:pPr>
        <w:pStyle w:val="BodyText"/>
        <w:spacing w:line="360" w:lineRule="auto" w:after="120"/>
        <w:jc w:val="left"/>
      </w:pPr>
      <w:r>
        <w:t xml:space="preserve">*Corresponding author: Nguyen Van Trung, e-mail: kontrungcany@gmail.com</w:t>
      </w:r>
    </w:p>
    <w:p>
      <w:pPr>
        <w:spacing w:line="360" w:lineRule="auto" w:after="120"/>
        <w:jc w:val="left"/>
      </w:pPr>
      <w:r>
        <w:br w:type="page"/>
      </w:r>
    </w:p>
    <w:p>
      <w:pPr>
        <w:pStyle w:val="Heading2"/>
        <w:jc w:val="left"/>
      </w:pPr>
      <w:r>
        <w:t xml:space="preserve">Abstract</w:t>
      </w:r>
    </w:p>
    <w:p>
      <w:pPr>
        <w:pStyle w:val="FirstParagraph"/>
        <w:spacing w:line="360" w:lineRule="auto" w:after="120"/>
        <w:jc w:val="left"/>
      </w:pPr>
      <w:r>
        <w:t xml:space="preserve">Daily price limits are meant to cool markets, but they may also delay the adjustment of prices to news. We study what happens after a stock closes at its daily limit on the Ho Chi Minh Stock Exchange, a market dominated by individual investors that applies a single 7% band and sets opening prices by call auction. Using daily prices of 347 stocks from August 2024 to September 2026, we split the next-day abnormal return into an overnight gap and an intraday return. After a ceiling close, the stock opens on average 2.2% above the market, and the following session gives back about 24% of this gap. The gap is 2.7 percentage points larger than after rises that stop short of the limit. An investor who buys at the next opening cannot capture the effect and trails the market by 0.7% by the fifth close. After a floor close the gap is negative, but its size depends on the benchmark. The limit effects pass a multiple-testing control that none of 22 price- and volume-based characteristics passes. The pattern is consistent with delayed price discovery, although news, attention and auction overshooting may also contribute.</w:t>
      </w:r>
    </w:p>
    <w:p>
      <w:pPr>
        <w:pStyle w:val="BodyText"/>
        <w:spacing w:line="360" w:lineRule="auto" w:after="120"/>
        <w:jc w:val="left"/>
      </w:pPr>
      <w:r>
        <w:rPr>
          <w:bCs/>
          <w:b/>
        </w:rPr>
        <w:t xml:space="preserve">Keywords:</w:t>
      </w:r>
      <w:r>
        <w:t xml:space="preserve"> </w:t>
      </w:r>
      <w:r>
        <w:t xml:space="preserve">market microstructure; multiple testing; false discovery rate; call auction; emerging markets; Ho Chi Minh Stock Exchange</w:t>
      </w:r>
    </w:p>
    <w:p>
      <w:pPr>
        <w:pStyle w:val="Heading2"/>
        <w:jc w:val="left"/>
      </w:pPr>
      <w:r>
        <w:t xml:space="preserve">Introduction</w:t>
      </w:r>
    </w:p>
    <w:p>
      <w:pPr>
        <w:pStyle w:val="FirstParagraph"/>
        <w:spacing w:line="360" w:lineRule="auto" w:after="120"/>
        <w:jc w:val="left"/>
      </w:pPr>
      <w:r>
        <w:t xml:space="preserve">A daily price limit prevents a stock from moving beyond a fixed band within a single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opening and closing prices. The Ho Chi Minh Stock Exchange (HOSE) has both features: a single 7% band applies to all stocks, and about 2.0% of stock-days in our event window close at the upper limit (a ceiling close) and about 1.4% at the lower limit (a floor close).</w:t>
      </w:r>
    </w:p>
    <w:p>
      <w:pPr>
        <w:pStyle w:val="BodyText"/>
        <w:spacing w:line="360" w:lineRule="auto" w:after="120"/>
        <w:jc w:val="left"/>
      </w:pPr>
      <w:r>
        <w:t xml:space="preserve">Theory predicts protection or distortion depending on the source of the shock. Well-chosen limits can be Pareto superior when fundamental news drives prices[1,2], and imperfect transactional mechanisms can produce crashes[3], but halts can also advance trades in time and raise price variability[4], and volatility can rise as the price nears a limit, a magnet effect[5,6]. Empirical studies found support for three criticisms of limits (volatility spillover, delayed price discovery and trading interference) in Tokyo and Istanbul[7,8], and delayed adjustment under narrow limits in Taiwan[9,10]. Studies of band changes document effects on volatility, liquidity and crash risk[11–16]. Account data show that large investors buy on the limit day and sell on the next[17], and stocks with large limit exposures or frequent upper-limit hits earn lower future returns[18,19]; limit hits can be forecast[20] and are more frequent in small, volatile and high-volume stocks[21,22]. For Vietnam, earlier work evaluated how narrower bands after 2008 affected price risk[23] and documented clusters of limit hits in the early years of the market[24]. In Taiwan, which also had a 7% band, one-day up-limit closes gained 1.18% overnight in abnormal terms and gave back 0.77% in the next session[10].</w:t>
      </w:r>
    </w:p>
    <w:p>
      <w:pPr>
        <w:pStyle w:val="BodyText"/>
        <w:spacing w:line="360" w:lineRule="auto" w:after="120"/>
        <w:jc w:val="left"/>
      </w:pPr>
      <w:r>
        <w:t xml:space="preserve">A second literature separates overnight from intraday returns. Positive overnight returns are followed by intraday reversals in U.S. stocks, concentrated among stocks with recent retail attention[25,26]; overnight returns are tied to sentiment, margin and lending costs, and market makers who absorb retail imbalances near the open[27–31]. In China, overnight returns are negative on average, which has been linked to the T+1 rule, and day-night anomalies concentrate at the open and close[32–35]. A third literature concerns multiple testing: a new return predictor needs a</w:t>
      </w:r>
      <w:r>
        <w:t xml:space="preserve"> </w:t>
      </w:r>
      <w:r>
        <w:rPr>
          <w:iCs/>
          <w:i/>
        </w:rPr>
        <w:t xml:space="preserve">t</w:t>
      </w:r>
      <w:r>
        <w:t xml:space="preserve">-statistic above 3.0, or a threshold tied to a chosen false discovery rate (FDR), because many signals could have been tested[36–39]. For Vietnam, a size effect and an earnings-to-price effect have been reported[40].</w:t>
      </w:r>
    </w:p>
    <w:p>
      <w:pPr>
        <w:pStyle w:val="BodyText"/>
        <w:spacing w:line="360" w:lineRule="auto" w:after="120"/>
        <w:jc w:val="left"/>
      </w:pPr>
      <w:r>
        <w:t xml:space="preserve">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 We estimate the abnormal return after the ceiling and floor close, split it into an overnight gap and an intraday return, and test whether an outside buyer can capture it. We place the four limit tests in a family of 26 tests with 22 price- and volume-based characteristics and control the FDR[36,41]. We test four hypotheses. If a limit delays price discovery, a ceiling close predicts a positive next-day abnormal return and a floor close a negative one (H</w:t>
      </w:r>
      <w:r>
        <w:rPr>
          <w:vertAlign w:val="subscript"/>
        </w:rPr>
        <w:t xml:space="preserve">1</w:t>
      </w:r>
      <w:r>
        <w:t xml:space="preserve">). If the opening auction absorbs blocked demand, the effect concentrates in the overnight gap (H</w:t>
      </w:r>
      <w:r>
        <w:rPr>
          <w:vertAlign w:val="subscript"/>
        </w:rPr>
        <w:t xml:space="preserve">2</w:t>
      </w:r>
      <w:r>
        <w:t xml:space="preserve">). If the limit itself drives the gap, the gap after a limit close exceeds the gap after moves of a similar size that stop short of the limit (H</w:t>
      </w:r>
      <w:r>
        <w:rPr>
          <w:vertAlign w:val="subscript"/>
        </w:rPr>
        <w:t xml:space="preserve">3</w:t>
      </w:r>
      <w:r>
        <w:t xml:space="preserve">). If the gap already contains the blocked demand, an investor who buys at the next open cannot earn the continuation, so the abnormal return from the next open to the fifth close is zero or negative (H</w:t>
      </w:r>
      <w:r>
        <w:rPr>
          <w:vertAlign w:val="subscript"/>
        </w:rPr>
        <w:t xml:space="preserve">4</w:t>
      </w:r>
      <w:r>
        <w:t xml:space="preserve">).</w:t>
      </w:r>
    </w:p>
    <w:p>
      <w:pPr>
        <w:pStyle w:val="BodyText"/>
        <w:spacing w:line="360" w:lineRule="auto" w:after="120"/>
        <w:jc w:val="left"/>
      </w:pPr>
      <w:r>
        <w:t xml:space="preserve">We report three main results. After a ceiling close, the overnight gap is 2.2%, of which the following session reverses 24%. The gap is 2.7 percentage points larger than after rises of 5% to 6.5% that stop short of the limit, and the contrast survives when the comparison stocks also close at their daily high. All four limit tests survive a multiplicity-controlled family in which no characteristic survives, and a buyer at the next open trails the market by 0.7% by the fifth close. We also split the events at the 2025 platform change.</w:t>
      </w:r>
    </w:p>
    <w:p>
      <w:pPr>
        <w:pStyle w:val="Heading2"/>
        <w:jc w:val="left"/>
      </w:pPr>
      <w:r>
        <w:t xml:space="preserve">Results</w:t>
      </w:r>
    </w:p>
    <w:p>
      <w:pPr>
        <w:pStyle w:val="FirstParagraph"/>
        <w:spacing w:line="360" w:lineRule="auto" w:after="120"/>
        <w:jc w:val="left"/>
      </w:pPr>
      <w:r>
        <w:rPr>
          <w:bCs/>
          <w:b/>
        </w:rPr>
        <w:t xml:space="preserve">Sample and statistical conventions.</w:t>
      </w:r>
      <w:r>
        <w:t xml:space="preserve"> </w:t>
      </w:r>
      <w:r>
        <w:t xml:space="preserve">The event sample contains 3,187 ceiling events on 446 dates and 2,105 floor events on 319 dates among 347 stocks. A ceiling (floor) event is a close-to-close return of at least +6.5% (at most −6.5%) with the close at the daily high (low). The overnight gap is the open-to-previous-close return on day</w:t>
      </w:r>
      <w:r>
        <w:t xml:space="preserve"> </w:t>
      </w:r>
      <w:r>
        <w:rPr>
          <w:iCs/>
          <w:i/>
        </w:rPr>
        <w:t xml:space="preserve">d</w:t>
      </w:r>
      <w:r>
        <w:t xml:space="preserve">+1, the intraday return is the open-to-close return on that day, and abnormal values subtract the dollar-volume-weighted market counterpart (Methods, equations (1)–(5)). All tests are two-sided at α = 0.05. For each</w:t>
      </w:r>
      <w:r>
        <w:t xml:space="preserve"> </w:t>
      </w:r>
      <w:r>
        <w:rPr>
          <w:iCs/>
          <w:i/>
        </w:rPr>
        <w:t xml:space="preserve">t</w:t>
      </w:r>
      <w:r>
        <w:t xml:space="preserve">-statistic we report the</w:t>
      </w:r>
      <w:r>
        <w:t xml:space="preserve"> </w:t>
      </w:r>
      <w:r>
        <w:rPr>
          <w:iCs/>
          <w:i/>
        </w:rPr>
        <w:t xml:space="preserve">P</w:t>
      </w:r>
      <w:r>
        <w:t xml:space="preserve"> </w:t>
      </w:r>
      <w:r>
        <w:t xml:space="preserve">value from the standard normal distribution, which is below 0.001 for |</w:t>
      </w:r>
      <w:r>
        <w:rPr>
          <w:iCs/>
          <w:i/>
        </w:rPr>
        <w:t xml:space="preserve">t</w:t>
      </w:r>
      <w:r>
        <w:t xml:space="preserve">| ≥ 3.29; Table 1 uses the</w:t>
      </w:r>
      <w:r>
        <w:t xml:space="preserve"> </w:t>
      </w:r>
      <w:r>
        <w:rPr>
          <w:iCs/>
          <w:i/>
        </w:rPr>
        <w:t xml:space="preserve">t</w:t>
      </w:r>
      <w:r>
        <w:t xml:space="preserve"> </w:t>
      </w:r>
      <w:r>
        <w:t xml:space="preserve">distribution with</w:t>
      </w:r>
      <w:r>
        <w:t xml:space="preserve"> </w:t>
      </w:r>
      <w:r>
        <w:rPr>
          <w:iCs/>
          <w:i/>
        </w:rPr>
        <w:t xml:space="preserve">G</w:t>
      </w:r>
      <w:r>
        <w:t xml:space="preserve"> </w:t>
      </w:r>
      <w:r>
        <w:t xml:space="preserve">− 1 degrees of freedom (Methods).</w:t>
      </w:r>
    </w:p>
    <w:p>
      <w:pPr>
        <w:pStyle w:val="Heading3"/>
        <w:jc w:val="left"/>
      </w:pPr>
      <w:r>
        <w:t xml:space="preserve">Limit closes predict next-day returns, and the characteristics do not</w:t>
      </w:r>
    </w:p>
    <w:p>
      <w:pPr>
        <w:pStyle w:val="FirstParagraph"/>
        <w:spacing w:line="360" w:lineRule="auto" w:after="120"/>
        <w:jc w:val="left"/>
      </w:pPr>
      <w:r>
        <w:t xml:space="preserve">Figure 1 plots the</w:t>
      </w:r>
      <w:r>
        <w:t xml:space="preserve"> </w:t>
      </w:r>
      <w:r>
        <w:rPr>
          <w:iCs/>
          <w:i/>
        </w:rPr>
        <w:t xml:space="preserve">t</w:t>
      </w:r>
      <w:r>
        <w:t xml:space="preserve">-statistics of the 22 Fama–MacBeth slopes in equation (7): none reaches |</w:t>
      </w:r>
      <w:r>
        <w:rPr>
          <w:iCs/>
          <w:i/>
        </w:rPr>
        <w:t xml:space="preserve">t</w:t>
      </w:r>
      <w:r>
        <w:t xml:space="preserve">| = 3 in any sample or 1.96 in the full sample, and none survives the Benjamini–Hochberg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a cost of 25 basis points, 18 of the 22 long–short quintile spreads are negative. With 79 weekly cross-sections, the minimum detectable effect at 80% power is 0.12 to 0.31 percentage points per week per standard deviation, so the null excludes only large effects. With eight Newey–West lags the largest |</w:t>
      </w:r>
      <w:r>
        <w:rPr>
          <w:iCs/>
          <w:i/>
        </w:rPr>
        <w:t xml:space="preserve">t</w:t>
      </w:r>
      <w:r>
        <w:t xml:space="preserve">| is 1.79 (</w:t>
      </w:r>
      <w:r>
        <w:rPr>
          <w:iCs/>
          <w:i/>
        </w:rPr>
        <w:t xml:space="preserve">P</w:t>
      </w:r>
      <w:r>
        <w:t xml:space="preserve"> </w:t>
      </w:r>
      <w:r>
        <w:t xml:space="preserve">= 0.07), and dropping the least liquid 20% of stocks leaves it at 1.62 (</w:t>
      </w:r>
      <w:r>
        <w:rPr>
          <w:iCs/>
          <w:i/>
        </w:rPr>
        <w:t xml:space="preserve">P</w:t>
      </w:r>
      <w:r>
        <w:t xml:space="preserve"> </w:t>
      </w:r>
      <w:r>
        <w:t xml:space="preserve">= 0.11). Without market capitalization or accounting data we cannot test the size and earnings-to-price effects reported for Vietnam[40], so our null result does not contradict them. A short sample, which leaves a premium of a tenth of a percentage point per week below the minimum detectable effect, and limits that censor the highs and lows of range-based characteristics can each produce the null, and we draw no conclusion about market efficiency.</w:t>
      </w:r>
    </w:p>
    <w:p>
      <w:pPr>
        <w:pStyle w:val="BodyText"/>
        <w:spacing w:line="360" w:lineRule="auto" w:after="120"/>
        <w:jc w:val="left"/>
      </w:pPr>
      <w:r>
        <w:t xml:space="preserve">Table 1 presents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 </w:t>
      </w:r>
      <w:r>
        <w:t xml:space="preserve">≤ 0.0004), keep their signs in both halves of the sample,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at</w:t>
      </w:r>
      <w:r>
        <w:t xml:space="preserve"> </w:t>
      </w:r>
      <w:r>
        <w:rPr>
          <w:iCs/>
          <w:i/>
        </w:rPr>
        <w:t xml:space="preserve">P</w:t>
      </w:r>
      <w:r>
        <w:t xml:space="preserve"> </w:t>
      </w:r>
      <w:r>
        <w:t xml:space="preserve">&lt; 0.001. The floor five-day test clears the confirmation criterion by the smallest margin (</w:t>
      </w:r>
      <w:r>
        <w:rPr>
          <w:iCs/>
          <w:i/>
        </w:rPr>
        <w:t xml:space="preserve">t</w:t>
      </w:r>
      <w:r>
        <w:t xml:space="preserve"> </w:t>
      </w:r>
      <w:r>
        <w:t xml:space="preserve">= −2.22 with week clusters,</w:t>
      </w:r>
      <w:r>
        <w:t xml:space="preserve"> </w:t>
      </w:r>
      <w:r>
        <w:rPr>
          <w:iCs/>
          <w:i/>
        </w:rPr>
        <w:t xml:space="preserve">P</w:t>
      </w:r>
      <w:r>
        <w:t xml:space="preserve"> </w:t>
      </w:r>
      <w:r>
        <w:t xml:space="preserve">= 0.03), and all four tests survive the rule re-applied with week-clustered statistics.</w:t>
      </w:r>
    </w:p>
    <w:p>
      <w:pPr>
        <w:pStyle w:val="BodyText"/>
        <w:spacing w:line="360" w:lineRule="auto" w:after="120"/>
        <w:jc w:val="lef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w:t>
      </w:r>
      <w:r>
        <w:t xml:space="preserve"> </w:t>
      </w:r>
      <w:r>
        <w:rPr>
          <w:iCs/>
          <w:i/>
        </w:rPr>
        <w:t xml:space="preserve">P</w:t>
      </w:r>
      <w:r>
        <w:t xml:space="preserve"> </w:t>
      </w:r>
      <w:r>
        <w:t xml:space="preserve">= 0.13).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w:t>
      </w:r>
      <w:r>
        <w:t xml:space="preserve"> </w:t>
      </w:r>
      <w:r>
        <w:rPr>
          <w:iCs/>
          <w:i/>
        </w:rPr>
        <w:t xml:space="preserve">P</w:t>
      </w:r>
      <w:r>
        <w:t xml:space="preserve"> </w:t>
      </w:r>
      <w:r>
        <w:t xml:space="preserve">= 0.004), but the confirmation-half week-clustered</w:t>
      </w:r>
      <w:r>
        <w:t xml:space="preserve"> </w:t>
      </w:r>
      <w:r>
        <w:rPr>
          <w:iCs/>
          <w:i/>
        </w:rPr>
        <w:t xml:space="preserve">t</w:t>
      </w:r>
      <w:r>
        <w:t xml:space="preserve"> </w:t>
      </w:r>
      <w:r>
        <w:t xml:space="preserve">is −1.14 (</w:t>
      </w:r>
      <w:r>
        <w:rPr>
          <w:iCs/>
          <w:i/>
        </w:rPr>
        <w:t xml:space="preserve">P</w:t>
      </w:r>
      <w:r>
        <w:t xml:space="preserve"> </w:t>
      </w:r>
      <w:r>
        <w:t xml:space="preserve">= 0.25).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therefore carry a one-day effect, whereas floor closes carry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Heading3"/>
        <w:jc w:val="left"/>
      </w:pPr>
      <w:r>
        <w:t xml:space="preserve">The ceiling effect is an overnight gap</w:t>
      </w:r>
    </w:p>
    <w:p>
      <w:pPr>
        <w:pStyle w:val="FirstParagraph"/>
        <w:spacing w:line="360" w:lineRule="auto" w:after="120"/>
        <w:jc w:val="left"/>
      </w:pPr>
      <w:r>
        <w:t xml:space="preserve">Table 2 decomposes the next-day return (equation (5)). After a ceiling close, the overnight gap is 2.24% (two-way-clustered</w:t>
      </w:r>
      <w:r>
        <w:t xml:space="preserve"> </w:t>
      </w:r>
      <w:r>
        <w:rPr>
          <w:iCs/>
          <w:i/>
        </w:rPr>
        <w:t xml:space="preserve">t</w:t>
      </w:r>
      <w:r>
        <w:t xml:space="preserve"> </w:t>
      </w:r>
      <w:r>
        <w:t xml:space="preserve">= 9.7,</w:t>
      </w:r>
      <w:r>
        <w:t xml:space="preserve"> </w:t>
      </w:r>
      <w:r>
        <w:rPr>
          <w:iCs/>
          <w:i/>
        </w:rPr>
        <w:t xml:space="preserve">P</w:t>
      </w:r>
      <w:r>
        <w:t xml:space="preserve"> </w:t>
      </w:r>
      <w:r>
        <w:t xml:space="preserve">&lt; 0.001) and the intraday return is −0.54% (</w:t>
      </w:r>
      <w:r>
        <w:rPr>
          <w:iCs/>
          <w:i/>
        </w:rPr>
        <w:t xml:space="preserve">t</w:t>
      </w:r>
      <w:r>
        <w:t xml:space="preserve"> </w:t>
      </w:r>
      <w:r>
        <w:t xml:space="preserve">= −3.5,</w:t>
      </w:r>
      <w:r>
        <w:t xml:space="preserve"> </w:t>
      </w:r>
      <w:r>
        <w:rPr>
          <w:iCs/>
          <w:i/>
        </w:rPr>
        <w:t xml:space="preserve">P</w:t>
      </w:r>
      <w:r>
        <w:t xml:space="preserve"> </w:t>
      </w:r>
      <w:r>
        <w:t xml:space="preserve">&lt; 0.001): the session reverses about 24% of the gap, and the close-to-close effect is positive because the gap exceeds the giveback. The effect occurs in the opening auction, as H</w:t>
      </w:r>
      <w:r>
        <w:rPr>
          <w:vertAlign w:val="subscript"/>
        </w:rPr>
        <w:t xml:space="preserve">2</w:t>
      </w:r>
      <w:r>
        <w:t xml:space="preserve"> </w:t>
      </w:r>
      <w:r>
        <w:t xml:space="preserve">predicts. A stock that closes at its ceiling may carry unfilled buy orders into the night; those orders and any overnight news set the opening price, and the intraday reversal suggests that part of that price reflects transient demand. After a floor close, the gap is −0.97% (</w:t>
      </w:r>
      <w:r>
        <w:rPr>
          <w:iCs/>
          <w:i/>
        </w:rPr>
        <w:t xml:space="preserve">t</w:t>
      </w:r>
      <w:r>
        <w:t xml:space="preserve"> </w:t>
      </w:r>
      <w:r>
        <w:t xml:space="preserve">= −4.6,</w:t>
      </w:r>
      <w:r>
        <w:t xml:space="preserve"> </w:t>
      </w:r>
      <w:r>
        <w:rPr>
          <w:iCs/>
          <w:i/>
        </w:rPr>
        <w:t xml:space="preserve">P</w:t>
      </w:r>
      <w:r>
        <w:t xml:space="preserve"> </w:t>
      </w:r>
      <w:r>
        <w:t xml:space="preserve">&lt; 0.001), and the intraday return is a weak reversal of 0.30% (</w:t>
      </w:r>
      <w:r>
        <w:rPr>
          <w:iCs/>
          <w:i/>
        </w:rPr>
        <w:t xml:space="preserve">t</w:t>
      </w:r>
      <w:r>
        <w:t xml:space="preserve"> </w:t>
      </w:r>
      <w:r>
        <w:t xml:space="preserve">= 1.4,</w:t>
      </w:r>
      <w:r>
        <w:t xml:space="preserve"> </w:t>
      </w:r>
      <w:r>
        <w:rPr>
          <w:iCs/>
          <w:i/>
        </w:rPr>
        <w:t xml:space="preserve">P</w:t>
      </w:r>
      <w:r>
        <w:t xml:space="preserve"> </w:t>
      </w:r>
      <w:r>
        <w:t xml:space="preserve">= 0.16).</w:t>
      </w:r>
    </w:p>
    <w:p>
      <w:pPr>
        <w:pStyle w:val="BodyText"/>
        <w:spacing w:line="360" w:lineRule="auto" w:after="120"/>
        <w:jc w:val="left"/>
      </w:pPr>
      <w:r>
        <w:t xml:space="preserve">The ceiling gap holds for exact limit hits (2.79%) and for the first day of a streak of exact hits (2.39%). Near hits show a smaller gap (1.67%) and no reliable intraday return. However, their median day-</w:t>
      </w:r>
      <w:r>
        <w:rPr>
          <w:iCs/>
          <w:i/>
        </w:rPr>
        <w:t xml:space="preserve">d</w:t>
      </w:r>
      <w:r>
        <w:t xml:space="preserve"> </w:t>
      </w:r>
      <w:r>
        <w:t xml:space="preserve">return is 6.89%, almost the same as the 6.90% of exact hits, and 83% of their closes are not multiples of the tick size. This points to later price adjustment by the data vendor rather than to closes below the limit; the split is therefore weighted toward higher-priced stocks, where the tick is coarser, and we do not read the difference as a gradient toward the limit. The ceiling gap appears in both halves of the sample and on days locked at one price from open to close. It also appears in each tercile of the 60-day average dollar volume (1.52% in the most liquid tercile). Against same-date controls, the ceiling gap is 2.70%.</w:t>
      </w:r>
    </w:p>
    <w:p>
      <w:pPr>
        <w:pStyle w:val="BodyText"/>
        <w:spacing w:line="360" w:lineRule="auto" w:after="120"/>
        <w:jc w:val="left"/>
      </w:pPr>
      <w: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not significant in the least liquid tercile (</w:t>
      </w:r>
      <w:r>
        <w:rPr>
          <w:iCs/>
          <w:i/>
        </w:rPr>
        <w:t xml:space="preserve">t</w:t>
      </w:r>
      <w:r>
        <w:t xml:space="preserve"> </w:t>
      </w:r>
      <w:r>
        <w:t xml:space="preserve">= −1.0,</w:t>
      </w:r>
      <w:r>
        <w:t xml:space="preserve"> </w:t>
      </w:r>
      <w:r>
        <w:rPr>
          <w:iCs/>
          <w:i/>
        </w:rPr>
        <w:t xml:space="preserve">P</w:t>
      </w:r>
      <w:r>
        <w:t xml:space="preserve"> </w:t>
      </w:r>
      <w:r>
        <w:t xml:space="preserve">= 0.32).</w:t>
      </w:r>
    </w:p>
    <w:p>
      <w:pPr>
        <w:pStyle w:val="BodyText"/>
        <w:spacing w:line="360" w:lineRule="auto" w:after="120"/>
        <w:jc w:val="lef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w:t>
      </w:r>
      <w:r>
        <w:t xml:space="preserve"> </w:t>
      </w:r>
      <w:r>
        <w:rPr>
          <w:iCs/>
          <w:i/>
        </w:rPr>
        <w:t xml:space="preserve">P</w:t>
      </w:r>
      <w:r>
        <w:t xml:space="preserve"> </w:t>
      </w:r>
      <w:r>
        <w:t xml:space="preserve">= 0.007) and −0.53% against same-date controls (</w:t>
      </w:r>
      <w:r>
        <w:rPr>
          <w:iCs/>
          <w:i/>
        </w:rPr>
        <w:t xml:space="preserve">t</w:t>
      </w:r>
      <w:r>
        <w:t xml:space="preserve"> </w:t>
      </w:r>
      <w:r>
        <w:t xml:space="preserve">= −1.8,</w:t>
      </w:r>
      <w:r>
        <w:t xml:space="preserve"> </w:t>
      </w:r>
      <w:r>
        <w:rPr>
          <w:iCs/>
          <w:i/>
        </w:rPr>
        <w:t xml:space="preserve">P</w:t>
      </w:r>
      <w:r>
        <w:t xml:space="preserve"> </w:t>
      </w:r>
      <w:r>
        <w:t xml:space="preserve">= 0.07),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w:t>
      </w:r>
      <w:r>
        <w:t xml:space="preserve"> </w:t>
      </w:r>
      <w:r>
        <w:rPr>
          <w:iCs/>
          <w:i/>
        </w:rPr>
        <w:t xml:space="preserve">P</w:t>
      </w:r>
      <w:r>
        <w:t xml:space="preserve"> </w:t>
      </w:r>
      <w:r>
        <w:t xml:space="preserve">= 0.09), which is not significant at the 5% level.</w:t>
      </w:r>
    </w:p>
    <w:p>
      <w:pPr>
        <w:pStyle w:val="Heading3"/>
        <w:jc w:val="left"/>
      </w:pPr>
      <w:r>
        <w:t xml:space="preserve">The gap breaks at the limit</w:t>
      </w:r>
    </w:p>
    <w:p>
      <w:pPr>
        <w:pStyle w:val="FirstParagraph"/>
        <w:spacing w:line="360" w:lineRule="auto" w:after="120"/>
        <w:jc w:val="lef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the overnight gap jumps up at the ceiling and down at the floor. Table 3 quantifies the break. Ceiling closers have a gap 2.66 percentage points larger than stocks that rose 5% to 6.5% (</w:t>
      </w:r>
      <w:r>
        <w:rPr>
          <w:iCs/>
          <w:i/>
        </w:rPr>
        <w:t xml:space="preserve">t</w:t>
      </w:r>
      <w:r>
        <w:t xml:space="preserve"> </w:t>
      </w:r>
      <w:r>
        <w:t xml:space="preserve">= 14.0,</w:t>
      </w:r>
      <w:r>
        <w:t xml:space="preserve"> </w:t>
      </w:r>
      <w:r>
        <w:rPr>
          <w:iCs/>
          <w:i/>
        </w:rPr>
        <w:t xml:space="preserve">P</w:t>
      </w:r>
      <w:r>
        <w:t xml:space="preserve"> </w:t>
      </w:r>
      <w:r>
        <w:t xml:space="preserve">&lt; 0.001), and their intraday return is 0.31 points lower. Floor closers have a gap 1.59 points lower than stocks that fell 5% to 6.5% (</w:t>
      </w:r>
      <w:r>
        <w:rPr>
          <w:iCs/>
          <w:i/>
        </w:rPr>
        <w:t xml:space="preserve">t</w:t>
      </w:r>
      <w:r>
        <w:t xml:space="preserve"> </w:t>
      </w:r>
      <w:r>
        <w:t xml:space="preserve">= −9.7,</w:t>
      </w:r>
      <w:r>
        <w:t xml:space="preserve"> </w:t>
      </w:r>
      <w:r>
        <w:rPr>
          <w:iCs/>
          <w:i/>
        </w:rPr>
        <w:t xml:space="preserve">P</w:t>
      </w:r>
      <w:r>
        <w:t xml:space="preserve"> </w:t>
      </w:r>
      <w:r>
        <w:t xml:space="preserve">&lt; 0.001). Because the event rule requires a close at the day’s high (low), we repeat the comparison with stocks that also closed at their high (low). The ceiling gap is then 3.14 points larger (</w:t>
      </w:r>
      <w:r>
        <w:rPr>
          <w:iCs/>
          <w:i/>
        </w:rPr>
        <w:t xml:space="preserve">t</w:t>
      </w:r>
      <w:r>
        <w:t xml:space="preserve"> </w:t>
      </w:r>
      <w:r>
        <w:t xml:space="preserve">= 14.5,</w:t>
      </w:r>
      <w:r>
        <w:t xml:space="preserve"> </w:t>
      </w:r>
      <w:r>
        <w:rPr>
          <w:iCs/>
          <w:i/>
        </w:rPr>
        <w:t xml:space="preserve">P</w:t>
      </w:r>
      <w:r>
        <w:t xml:space="preserve"> </w:t>
      </w:r>
      <w:r>
        <w:t xml:space="preserve">&lt; 0.001), and the floor gap is 1.81 points lower (</w:t>
      </w:r>
      <w:r>
        <w:rPr>
          <w:iCs/>
          <w:i/>
        </w:rPr>
        <w:t xml:space="preserve">t</w:t>
      </w:r>
      <w:r>
        <w:t xml:space="preserve"> </w:t>
      </w:r>
      <w:r>
        <w:t xml:space="preserve">= −8.7,</w:t>
      </w:r>
      <w:r>
        <w:t xml:space="preserve"> </w:t>
      </w:r>
      <w:r>
        <w:rPr>
          <w:iCs/>
          <w:i/>
        </w:rPr>
        <w:t xml:space="preserve">P</w:t>
      </w:r>
      <w:r>
        <w:t xml:space="preserve"> </w:t>
      </w:r>
      <w:r>
        <w:t xml:space="preserve">&lt; 0.001). A strong close therefore does not explain the contrast, which supports H</w:t>
      </w:r>
      <w:r>
        <w:rPr>
          <w:vertAlign w:val="subscript"/>
        </w:rPr>
        <w:t xml:space="preserve">3</w:t>
      </w:r>
      <w:r>
        <w:t xml:space="preserve">. The comparison is an association around a rule-based threshold, not a regression-discontinuity design, and stocks that reach the limit may differ in news content.</w:t>
      </w:r>
    </w:p>
    <w:p>
      <w:pPr>
        <w:pStyle w:val="BodyText"/>
        <w:spacing w:line="360" w:lineRule="auto" w:after="120"/>
        <w:jc w:val="lef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described by Kim and Rhee[7]; (2) news and retail attention persist overnight and produce the overnight gain and intraday reversal of attention-grabbing stocks[26],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in the lowest tercile of each proxy (</w:t>
      </w:r>
      <w:r>
        <w:rPr>
          <w:iCs/>
          <w:i/>
        </w:rPr>
        <w:t xml:space="preserve">t</w:t>
      </w:r>
      <w:r>
        <w:t xml:space="preserve"> </w:t>
      </w:r>
      <w:r>
        <w:t xml:space="preserve">= 4.8,</w:t>
      </w:r>
      <w:r>
        <w:t xml:space="preserve"> </w:t>
      </w:r>
      <w:r>
        <w:rPr>
          <w:iCs/>
          <w:i/>
        </w:rPr>
        <w:t xml:space="preserve">P</w:t>
      </w:r>
      <w:r>
        <w:t xml:space="preserve"> </w:t>
      </w:r>
      <w:r>
        <w:t xml:space="preserve">&lt; 0.001 and</w:t>
      </w:r>
      <w:r>
        <w:t xml:space="preserve"> </w:t>
      </w:r>
      <w:r>
        <w:rPr>
          <w:iCs/>
          <w:i/>
        </w:rPr>
        <w:t xml:space="preserve">t</w:t>
      </w:r>
      <w:r>
        <w:t xml:space="preserve"> </w:t>
      </w:r>
      <w:r>
        <w:t xml:space="preserve">= 4.2,</w:t>
      </w:r>
      <w:r>
        <w:t xml:space="preserve"> </w:t>
      </w:r>
      <w:r>
        <w:rPr>
          <w:iCs/>
          <w:i/>
        </w:rPr>
        <w:t xml:space="preserve">P</w:t>
      </w:r>
      <w:r>
        <w:t xml:space="preserve"> </w:t>
      </w:r>
      <w:r>
        <w:t xml:space="preserve">&lt; 0.001).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is one hypothesis. Testing the magnet effect[5,6] requires intraday prices, which we lack.</w:t>
      </w:r>
    </w:p>
    <w:p>
      <w:pPr>
        <w:pStyle w:val="Heading3"/>
        <w:jc w:val="left"/>
      </w:pPr>
      <w:r>
        <w:t xml:space="preserve">Timing around the 2025 change of trading platform</w:t>
      </w:r>
    </w:p>
    <w:p>
      <w:pPr>
        <w:pStyle w:val="FirstParagraph"/>
        <w:spacing w:line="360" w:lineRule="auto" w:after="120"/>
        <w:jc w:val="left"/>
      </w:pPr>
      <w:r>
        <w:t xml:space="preserve">Table 4 splits the events on 5 May 2025, when the HOSE moved to the trading platform of the Korea Exchange (KRX). The ceiling gap, followed by an intraday reversal, appears in both periods: 1.65% before and 2.49% after (difference</w:t>
      </w:r>
      <w:r>
        <w:t xml:space="preserve"> </w:t>
      </w:r>
      <w:r>
        <w:rPr>
          <w:iCs/>
          <w:i/>
        </w:rPr>
        <w:t xml:space="preserve">t</w:t>
      </w:r>
      <w:r>
        <w:t xml:space="preserve"> </w:t>
      </w:r>
      <w:r>
        <w:t xml:space="preserve">= 1.6,</w:t>
      </w:r>
      <w:r>
        <w:t xml:space="preserve"> </w:t>
      </w:r>
      <w:r>
        <w:rPr>
          <w:iCs/>
          <w:i/>
        </w:rPr>
        <w:t xml:space="preserve">P</w:t>
      </w:r>
      <w:r>
        <w:t xml:space="preserve"> </w:t>
      </w:r>
      <w:r>
        <w:t xml:space="preserve">= 0.11). The floor gap is more negative after the move, at −0.42% before and −1.37% after (difference</w:t>
      </w:r>
      <w:r>
        <w:t xml:space="preserve"> </w:t>
      </w:r>
      <w:r>
        <w:rPr>
          <w:iCs/>
          <w:i/>
        </w:rPr>
        <w:t xml:space="preserve">t</w:t>
      </w:r>
      <w:r>
        <w:t xml:space="preserve"> </w:t>
      </w:r>
      <w:r>
        <w:t xml:space="preserve">= −3.2,</w:t>
      </w:r>
      <w:r>
        <w:t xml:space="preserve"> </w:t>
      </w:r>
      <w:r>
        <w:rPr>
          <w:iCs/>
          <w:i/>
        </w:rPr>
        <w:t xml:space="preserve">P</w:t>
      </w:r>
      <w:r>
        <w:t xml:space="preserve"> </w:t>
      </w:r>
      <w:r>
        <w:t xml:space="preserve">= 0.001). After the move the intraday return after floor closes turns positive (0.64%), and the floor drift from the next open to day</w:t>
      </w:r>
      <w:r>
        <w:t xml:space="preserve"> </w:t>
      </w:r>
      <w:r>
        <w:rPr>
          <w:iCs/>
          <w:i/>
        </w:rPr>
        <w:t xml:space="preserve">d</w:t>
      </w:r>
      <w:r>
        <w:t xml:space="preserve">+5 exists only before it (−1.73% before and −0.15% after). The change coincides with a different market period: the post-change sample accounts for 71% of the ceiling events and 58% of the floor events. Before the change, neither the ceiling close-to-close return (</w:t>
      </w:r>
      <w:r>
        <w:rPr>
          <w:iCs/>
          <w:i/>
        </w:rPr>
        <w:t xml:space="preserve">t</w:t>
      </w:r>
      <w:r>
        <w:t xml:space="preserve"> </w:t>
      </w:r>
      <w:r>
        <w:t xml:space="preserve">= 1.0,</w:t>
      </w:r>
      <w:r>
        <w:t xml:space="preserve"> </w:t>
      </w:r>
      <w:r>
        <w:rPr>
          <w:iCs/>
          <w:i/>
        </w:rPr>
        <w:t xml:space="preserve">P</w:t>
      </w:r>
      <w:r>
        <w:t xml:space="preserve"> </w:t>
      </w:r>
      <w:r>
        <w:t xml:space="preserve">= 0.32) nor the floor gap (</w:t>
      </w:r>
      <w:r>
        <w:rPr>
          <w:iCs/>
          <w:i/>
        </w:rPr>
        <w:t xml:space="preserve">t</w:t>
      </w:r>
      <w:r>
        <w:t xml:space="preserve"> </w:t>
      </w:r>
      <w:r>
        <w:t xml:space="preserve">= −1.9,</w:t>
      </w:r>
      <w:r>
        <w:t xml:space="preserve"> </w:t>
      </w:r>
      <w:r>
        <w:rPr>
          <w:iCs/>
          <w:i/>
        </w:rPr>
        <w:t xml:space="preserve">P</w:t>
      </w:r>
      <w:r>
        <w:t xml:space="preserve"> </w:t>
      </w:r>
      <w:r>
        <w:t xml:space="preserve">= 0.06) is significant at the 5% level, so the full-sample significance of these two measures rests mainly on post-change events. We cannot attribute the differences between the periods to the auction rules.</w:t>
      </w:r>
    </w:p>
    <w:p>
      <w:pPr>
        <w:pStyle w:val="BodyText"/>
        <w:spacing w:line="360" w:lineRule="auto" w:after="120"/>
        <w:jc w:val="left"/>
      </w:pPr>
      <w:r>
        <w:t xml:space="preserve">Because the events are unbalanced in time, Table 5 reports them by calendar quarter. The ceiling gap is positive in each of the eight quarters (</w:t>
      </w:r>
      <w:r>
        <w:rPr>
          <w:iCs/>
          <w:i/>
        </w:rPr>
        <w:t xml:space="preserve">t</w:t>
      </w:r>
      <w:r>
        <w:t xml:space="preserve"> </w:t>
      </w:r>
      <w:r>
        <w:t xml:space="preserve">from 2.5 to 16.8;</w:t>
      </w:r>
      <w:r>
        <w:t xml:space="preserve"> </w:t>
      </w:r>
      <w:r>
        <w:rPr>
          <w:iCs/>
          <w:i/>
        </w:rPr>
        <w:t xml:space="preserve">P</w:t>
      </w:r>
      <w:r>
        <w:t xml:space="preserve"> </w:t>
      </w:r>
      <w:r>
        <w:t xml:space="preserve">≤ 0.013), and the floor gap is negative in every quarter and significant at the 5% level in seven of them. We also move the break date to the first trading day of each month from January 2025 to April 2026. These placebo dates give ceiling-gap differences between −0.45 and 0.72 percentage points, all with |</w:t>
      </w:r>
      <w:r>
        <w:rPr>
          <w:iCs/>
          <w:i/>
        </w:rPr>
        <w:t xml:space="preserve">t</w:t>
      </w:r>
      <w:r>
        <w:t xml:space="preserve">| ≤ 1.4 (</w:t>
      </w:r>
      <w:r>
        <w:rPr>
          <w:iCs/>
          <w:i/>
        </w:rPr>
        <w:t xml:space="preserve">P</w:t>
      </w:r>
      <w:r>
        <w:t xml:space="preserve"> </w:t>
      </w:r>
      <w:r>
        <w:t xml:space="preserve">≥ 0.16). The split at 5 May 2025 gives the largest difference, 0.85 points, which is not significant either (</w:t>
      </w:r>
      <w:r>
        <w:rPr>
          <w:iCs/>
          <w:i/>
        </w:rPr>
        <w:t xml:space="preserve">t</w:t>
      </w:r>
      <w:r>
        <w:t xml:space="preserve"> </w:t>
      </w:r>
      <w:r>
        <w:t xml:space="preserve">= 1.6,</w:t>
      </w:r>
      <w:r>
        <w:t xml:space="preserve"> </w:t>
      </w:r>
      <w:r>
        <w:rPr>
          <w:iCs/>
          <w:i/>
        </w:rPr>
        <w:t xml:space="preserve">P</w:t>
      </w:r>
      <w:r>
        <w:t xml:space="preserve"> </w:t>
      </w:r>
      <w:r>
        <w:t xml:space="preserve">= 0.11). For floors, the difference is positive at the four placebo dates before the platform change and negative at 11 of the 11 later ones; the split at 5 May 2025 gives −0.95 points (</w:t>
      </w:r>
      <w:r>
        <w:rPr>
          <w:iCs/>
          <w:i/>
        </w:rPr>
        <w:t xml:space="preserve">t</w:t>
      </w:r>
      <w:r>
        <w:t xml:space="preserve"> </w:t>
      </w:r>
      <w:r>
        <w:t xml:space="preserve">= −3.2,</w:t>
      </w:r>
      <w:r>
        <w:t xml:space="preserve"> </w:t>
      </w:r>
      <w:r>
        <w:rPr>
          <w:iCs/>
          <w:i/>
        </w:rPr>
        <w:t xml:space="preserve">P</w:t>
      </w:r>
      <w:r>
        <w:t xml:space="preserve"> </w:t>
      </w:r>
      <w:r>
        <w:t xml:space="preserve">= 0.001), close to the placebo dates that follow it. Table 5 shows no trend in the floor gap, but the floor gap is weak in 2025-Q2 (−0.34%,</w:t>
      </w:r>
      <w:r>
        <w:t xml:space="preserve"> </w:t>
      </w:r>
      <w:r>
        <w:rPr>
          <w:iCs/>
          <w:i/>
        </w:rPr>
        <w:t xml:space="preserve">t</w:t>
      </w:r>
      <w:r>
        <w:t xml:space="preserve"> </w:t>
      </w:r>
      <w:r>
        <w:t xml:space="preserve">= −1.5,</w:t>
      </w:r>
      <w:r>
        <w:t xml:space="preserve"> </w:t>
      </w:r>
      <w:r>
        <w:rPr>
          <w:iCs/>
          <w:i/>
        </w:rPr>
        <w:t xml:space="preserve">P</w:t>
      </w:r>
      <w:r>
        <w:t xml:space="preserve"> </w:t>
      </w:r>
      <w:r>
        <w:t xml:space="preserve">= 0.13), the quarter with the most floor events (802). The placebo dates therefore cannot separate a break at the platform change from a shift specific to that quarter.</w:t>
      </w:r>
    </w:p>
    <w:p>
      <w:pPr>
        <w:pStyle w:val="BodyText"/>
        <w:spacing w:line="360" w:lineRule="auto" w:after="120"/>
        <w:jc w:val="left"/>
      </w:pPr>
      <w:r>
        <w:t xml:space="preserve">A difference-in-differences regression compares limit closes with 5–6.5% movers that also closed at the extreme (Supplementary Table S4). For ceilings, the excess gap was 2.91 percentage points before the change (</w:t>
      </w:r>
      <w:r>
        <w:rPr>
          <w:iCs/>
          <w:i/>
        </w:rPr>
        <w:t xml:space="preserve">t</w:t>
      </w:r>
      <w:r>
        <w:t xml:space="preserve"> </w:t>
      </w:r>
      <w:r>
        <w:t xml:space="preserve">= 6.2,</w:t>
      </w:r>
      <w:r>
        <w:t xml:space="preserve"> </w:t>
      </w:r>
      <w:r>
        <w:rPr>
          <w:iCs/>
          <w:i/>
        </w:rPr>
        <w:t xml:space="preserve">P</w:t>
      </w:r>
      <w:r>
        <w:t xml:space="preserve"> </w:t>
      </w:r>
      <w:r>
        <w:t xml:space="preserve">&lt; 0.001) and changed by 0.38 points after it (</w:t>
      </w:r>
      <w:r>
        <w:rPr>
          <w:iCs/>
          <w:i/>
        </w:rPr>
        <w:t xml:space="preserve">t</w:t>
      </w:r>
      <w:r>
        <w:t xml:space="preserve"> </w:t>
      </w:r>
      <w:r>
        <w:t xml:space="preserve">= 0.8,</w:t>
      </w:r>
      <w:r>
        <w:t xml:space="preserve"> </w:t>
      </w:r>
      <w:r>
        <w:rPr>
          <w:iCs/>
          <w:i/>
        </w:rPr>
        <w:t xml:space="preserve">P</w:t>
      </w:r>
      <w:r>
        <w:t xml:space="preserve"> </w:t>
      </w:r>
      <w:r>
        <w:t xml:space="preserve">= 0.42). For floors, the excess gap was −1.62 points before (</w:t>
      </w:r>
      <w:r>
        <w:rPr>
          <w:iCs/>
          <w:i/>
        </w:rPr>
        <w:t xml:space="preserve">t</w:t>
      </w:r>
      <w:r>
        <w:t xml:space="preserve"> </w:t>
      </w:r>
      <w:r>
        <w:t xml:space="preserve">= −6.6,</w:t>
      </w:r>
      <w:r>
        <w:t xml:space="preserve"> </w:t>
      </w:r>
      <w:r>
        <w:rPr>
          <w:iCs/>
          <w:i/>
        </w:rPr>
        <w:t xml:space="preserve">P</w:t>
      </w:r>
      <w:r>
        <w:t xml:space="preserve"> </w:t>
      </w:r>
      <w:r>
        <w:t xml:space="preserve">&lt; 0.001) and changed by −0.49 points (</w:t>
      </w:r>
      <w:r>
        <w:rPr>
          <w:iCs/>
          <w:i/>
        </w:rPr>
        <w:t xml:space="preserve">t</w:t>
      </w:r>
      <w:r>
        <w:t xml:space="preserve"> </w:t>
      </w:r>
      <w:r>
        <w:t xml:space="preserve">= −1.5,</w:t>
      </w:r>
      <w:r>
        <w:t xml:space="preserve"> </w:t>
      </w:r>
      <w:r>
        <w:rPr>
          <w:iCs/>
          <w:i/>
        </w:rPr>
        <w:t xml:space="preserve">P</w:t>
      </w:r>
      <w:r>
        <w:t xml:space="preserve"> </w:t>
      </w:r>
      <w:r>
        <w:t xml:space="preserve">= 0.13). The break at the limit is therefore present before the change and does not depend on the post-change period, although the significance of the raw ceiling close-to-close return and of the raw floor gap does (Table 4). These comparisons describe timing, not an effect of the auction rules.</w:t>
      </w:r>
    </w:p>
    <w:p>
      <w:pPr>
        <w:pStyle w:val="Heading3"/>
        <w:jc w:val="left"/>
      </w:pPr>
      <w:r>
        <w:t xml:space="preserve">Robustness</w:t>
      </w:r>
    </w:p>
    <w:p>
      <w:pPr>
        <w:pStyle w:val="FirstParagraph"/>
        <w:spacing w:line="360" w:lineRule="auto" w:after="120"/>
        <w:jc w:val="lef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 Event definitions that do not depend on the tick grid give the same picture (Supplementary Table S2):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&gt; 2.9,</w:t>
      </w:r>
      <w:r>
        <w:t xml:space="preserve"> </w:t>
      </w:r>
      <w:r>
        <w:rPr>
          <w:iCs/>
          <w:i/>
        </w:rPr>
        <w:t xml:space="preserve">P</w:t>
      </w:r>
      <w:r>
        <w:t xml:space="preserve"> </w:t>
      </w:r>
      <w:r>
        <w:t xml:space="preserve">&lt; 0.01); the floor gap ranges from −0.79% to −2.50%. The four event tests also survive every alternative family definition we consider (Supplementary Table S3): the four event tests as their own family, separate ceiling and floor families, the 26 tests under Holm[42]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 </w:t>
      </w:r>
      <w:r>
        <w:t xml:space="preserve">values; the largest adjusted</w:t>
      </w:r>
      <w:r>
        <w:t xml:space="preserve"> </w:t>
      </w:r>
      <w:r>
        <w:rPr>
          <w:iCs/>
          <w:i/>
        </w:rPr>
        <w:t xml:space="preserve">P</w:t>
      </w:r>
      <w:r>
        <w:t xml:space="preserve"> </w:t>
      </w:r>
      <w:r>
        <w:t xml:space="preserve">value across these definitions is 0.0026.</w:t>
      </w:r>
    </w:p>
    <w:p>
      <w:pPr>
        <w:pStyle w:val="BodyText"/>
        <w:spacing w:line="360" w:lineRule="auto" w:after="120"/>
        <w:jc w:val="left"/>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 </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 ⌊0.05/</w:t>
      </w:r>
      <w:r>
        <w:rPr>
          <w:iCs/>
          <w:i/>
        </w:rPr>
        <w:t xml:space="preserve">p</w:t>
      </w:r>
      <w:r>
        <w:rPr>
          <w:vertAlign w:val="subscript"/>
        </w:rPr>
        <w:t xml:space="preserve">max</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p>
      <w:pPr>
        <w:pStyle w:val="Heading2"/>
        <w:jc w:val="left"/>
      </w:pPr>
      <w:r>
        <w:t xml:space="preserve">Discussion</w:t>
      </w:r>
    </w:p>
    <w:p>
      <w:pPr>
        <w:pStyle w:val="FirstParagraph"/>
        <w:spacing w:line="360" w:lineRule="auto" w:after="120"/>
        <w:jc w:val="left"/>
      </w:pPr>
      <w:r>
        <w:t xml:space="preserve">Our ceiling gap is larger than the 1.18% reported for Taiwan[10], and the following session reverses a smaller share of it (about 24% against about two thirds). Our decomposition also adds timing to the evidence from Tokyo[7]: on the HOSE, the continuation after ceiling closes arrives at the next opening and ends after the first day, and the intraday giveback is a one-day analogue of the cross-period reversal found in U.S. stocks[28]. A pure attention reading must explain the contrast with stocks that moved almost as far, including those that also closed at their high, and a gap-only reading cannot explain the pre-change post-open drift after floor closes. The earlier studies measure different outcomes and horizons, so Supplementary Table S1 compares signs, timing and mechanisms rather than magnitudes; for example, the day-1 abnormal return after ceiling and floor closes on ChiNext[12] shows the opposite asymmetry, and overnight returns in China are negative on average[32], whereas on the HOSE the overnight return after ceiling closes is positive.</w:t>
      </w:r>
    </w:p>
    <w:p>
      <w:pPr>
        <w:pStyle w:val="BodyText"/>
        <w:spacing w:line="360" w:lineRule="auto" w:after="120"/>
        <w:jc w:val="lef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the HOSE, like the ChiNext widening[12], would give a natural experiment. The volume and prior-return results also fit an attention channel in which the limit amplifies demand: a stock at its ceiling may appear on screens and rankings the next morning, and a queue at the limit may signal excess demand.</w:t>
      </w:r>
    </w:p>
    <w:p>
      <w:pPr>
        <w:pStyle w:val="BodyText"/>
        <w:spacing w:line="360" w:lineRule="auto" w:after="120"/>
        <w:jc w:val="left"/>
      </w:pPr>
      <w: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pPr>
        <w:pStyle w:val="BodyText"/>
        <w:spacing w:line="360" w:lineRule="auto" w:after="120"/>
        <w:jc w:val="left"/>
      </w:pPr>
      <w:r>
        <w:t xml:space="preserve">Several limitations qualify these results. The sample covers 519 trading days on one exchange, with one platform change and a period of market stress. Without order-book, investor-type, announcement or news data, we infer the unfilled-demand mechanism and cannot separate it from selection on news. The 7% band, reference price and platform change come from brokerage and press descriptions, checked against returns but not against exchange circulars; tick sizes, reference prices on corporate-action days, and wider bands for first-day listings and resumed trading are assumptions. The data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unreliable, so we treat that split as a data check, not a measure of distance to the limit. The listing snapshot excludes stocks delisted before the download. Events in one market episode may depend on each other beyond our clustering, and we computed no calendar-time portfolio estimates or standard errors robust to both cross-sectional and serial dependence. Several characteristics (5-day return, largest and smallest daily returns, move frequency and overnight return) share inputs with the event definition, and the Corwin–Schultz spread and range volatility use limit-censored highs and lows. The floor effect depends on the benchmark, and we built no beta- and size-matched control for the five-day outcome. The characteristic tests have limited power, and effect sizes may carry winner’s-curse bias from choosing this question among several screened on the same data.</w:t>
      </w:r>
    </w:p>
    <w:p>
      <w:pPr>
        <w:pStyle w:val="BodyText"/>
        <w:spacing w:line="360" w:lineRule="auto" w:after="120"/>
        <w:jc w:val="left"/>
      </w:pPr>
      <w:r>
        <w:t xml:space="preserve">In sum, 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pPr>
        <w:pStyle w:val="Heading2"/>
        <w:jc w:val="left"/>
      </w:pPr>
      <w:r>
        <w:t xml:space="preserve">Methods</w:t>
      </w:r>
    </w:p>
    <w:p>
      <w:pPr>
        <w:pStyle w:val="Heading3"/>
        <w:jc w:val="left"/>
      </w:pPr>
      <w:r>
        <w:t xml:space="preserve">Data and institutional setting</w:t>
      </w:r>
    </w:p>
    <w:p>
      <w:pPr>
        <w:pStyle w:val="FirstParagraph"/>
        <w:spacing w:line="360" w:lineRule="auto" w:after="120"/>
        <w:jc w:val="left"/>
      </w:pPr>
      <w:r>
        <w:t xml:space="preserve">On 24 September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23 September 2026, and we used the 519 trading days from 21 August 2024. Prices are in thousand dong. The vendor does not document corporate-action adjustment, and the files contain no market capitalization, order book, investor type or news. 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spacing w:line="360" w:lineRule="auto" w:after="120"/>
        <w:jc w:val="left"/>
      </w:pPr>
      <w:r>
        <w:t xml:space="preserve">The HOSE sets a daily price limit of 7% around the reference price, the previous close on normal trading days[43]. On 5 May 2025 the HOSE moved to the trading platform of the Korea Exchange (KRX). The band remained unchanged, but at-the-open and at-the-close orders lost their priority over limit orders in the opening and closing call auctions[43,44],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pPr>
        <w:pStyle w:val="Heading3"/>
        <w:jc w:val="left"/>
      </w:pPr>
      <w:r>
        <w:t xml:space="preserve">Returns, events and outcomes</w:t>
      </w:r>
    </w:p>
    <w:p>
      <w:pPr>
        <w:pStyle w:val="FirstParagraph"/>
        <w:spacing w:line="360" w:lineRule="auto" w:after="120"/>
        <w:jc w:val="left"/>
      </w:pP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i,d</w:t>
      </w:r>
      <w:r>
        <w:t xml:space="preserve">,</w:t>
      </w:r>
      <w:r>
        <w:t xml:space="preserve"> </w:t>
      </w:r>
      <w:r>
        <w:rPr>
          <w:iCs/>
          <w:i/>
        </w:rPr>
        <w:t xml:space="preserve">O</w:t>
      </w:r>
      <w:r>
        <w:rPr>
          <w:iCs/>
          <w:i/>
          <w:vertAlign w:val="subscript"/>
        </w:rPr>
        <w:t xml:space="preserve">i,d</w:t>
      </w:r>
      <w:r>
        <w:t xml:space="preserve">,</w:t>
      </w:r>
      <w:r>
        <w:t xml:space="preserve"> </w:t>
      </w:r>
      <w:r>
        <w:rPr>
          <w:iCs/>
          <w:i/>
        </w:rPr>
        <w:t xml:space="preserve">H</w:t>
      </w:r>
      <w:r>
        <w:rPr>
          <w:iCs/>
          <w:i/>
          <w:vertAlign w:val="subscript"/>
        </w:rPr>
        <w:t xml:space="preserve">i,d</w:t>
      </w:r>
      <w:r>
        <w:t xml:space="preserve"> </w:t>
      </w:r>
      <w:r>
        <w:t xml:space="preserve">and</w:t>
      </w:r>
      <w:r>
        <w:t xml:space="preserve"> </w:t>
      </w:r>
      <w:r>
        <w:rPr>
          <w:iCs/>
          <w:i/>
        </w:rPr>
        <w:t xml:space="preserve">L</w:t>
      </w:r>
      <w:r>
        <w:rPr>
          <w:iCs/>
          <w:i/>
          <w:vertAlign w:val="subscript"/>
        </w:rPr>
        <w:t xml:space="preserve">i,d</w:t>
      </w:r>
      <w:r>
        <w:t xml:space="preserve"> </w:t>
      </w:r>
      <w:r>
        <w:t xml:space="preserve">are the close, open, high and low prices, and the close-to-close return is</w:t>
      </w:r>
    </w:p>
    <w:tbl>
      <w:tblPr>
        <w:tblStyle w:val="Table"/>
        <w:tblW w:type="auto" w:w="0"/>
        <w:tblLayout w:type="fixed"/>
        <w:tblLook w:firstRow="0" w:lastRow="0" w:firstColumn="0" w:lastColumn="0" w:noHBand="0" w:noVBand="0" w:val="0000"/>
        <w:jc w:val="start"/>
      </w:tblPr>
      <w:tblGrid>
        <w:gridCol w:w="3960"/>
        <w:gridCol w:w="3960"/>
      </w:tblGrid>
      <w:tr>
        <w:tc>
          <w:tcPr>
            <w:tcW w:type="dxa" w:w="7937"/>
          </w:tcPr>
          <w:p>
            <w:pPr>
              <w:pStyle w:val="Compact"/>
              <w:spacing w:line="240" w:lineRule="auto"/>
              <w:jc w:val="center"/>
            </w:p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w:p>
        </w:tc>
        <w:tc>
          <w:tcPr>
            <w:tcW w:type="dxa" w:w="1134"/>
          </w:tcPr>
          <w:p>
            <w:pPr>
              <w:pStyle w:val="Compact"/>
              <w:spacing w:line="240" w:lineRule="auto"/>
              <w:jc w:val="right"/>
            </w:pPr>
            <w:r>
              <w:t xml:space="preserve">(1)</w:t>
            </w:r>
          </w:p>
        </w:tc>
      </w:tr>
    </w:tbl>
    <w:p>
      <w:pPr>
        <w:pStyle w:val="BodyText"/>
        <w:spacing w:line="360" w:lineRule="auto" w:after="120"/>
        <w:jc w:val="left"/>
      </w:pPr>
      <w:r>
        <w:t xml:space="preserve">A ceiling event has a return (equation (1)) of</w:t>
      </w:r>
      <w:r>
        <w:t xml:space="preserve"> </w:t>
      </w:r>
      <w:r>
        <w:rPr>
          <w:iCs/>
          <w:i/>
        </w:rPr>
        <w:t xml:space="preserve">R</w:t>
      </w:r>
      <w:r>
        <w:rPr>
          <w:iCs/>
          <w:i/>
          <w:vertAlign w:val="subscript"/>
        </w:rPr>
        <w:t xml:space="preserve">i,d</w:t>
      </w:r>
      <w:r>
        <w:t xml:space="preserve"> </w:t>
      </w:r>
      <w:r>
        <w:t xml:space="preserve">≥ 0.065 and</w:t>
      </w:r>
      <w:r>
        <w:t xml:space="preserve"> </w:t>
      </w:r>
      <w:r>
        <w:rPr>
          <w:iCs/>
          <w:i/>
        </w:rPr>
        <w:t xml:space="preserve">C</w:t>
      </w:r>
      <w:r>
        <w:rPr>
          <w:iCs/>
          <w:i/>
          <w:vertAlign w:val="subscript"/>
        </w:rPr>
        <w:t xml:space="preserve">i,d</w:t>
      </w:r>
      <w:r>
        <w:t xml:space="preserve"> </w:t>
      </w:r>
      <w:r>
        <w:t xml:space="preserve">=</w:t>
      </w:r>
      <w:r>
        <w:t xml:space="preserve"> </w:t>
      </w:r>
      <w:r>
        <w:rPr>
          <w:iCs/>
          <w:i/>
        </w:rPr>
        <w:t xml:space="preserve">H</w:t>
      </w:r>
      <w:r>
        <w:rPr>
          <w:iCs/>
          <w:i/>
          <w:vertAlign w:val="subscript"/>
        </w:rPr>
        <w:t xml:space="preserve">i,d</w:t>
      </w:r>
      <w:r>
        <w:t xml:space="preserve">, whereas a floor event has</w:t>
      </w:r>
      <w:r>
        <w:t xml:space="preserve"> </w:t>
      </w:r>
      <w:r>
        <w:rPr>
          <w:iCs/>
          <w:i/>
        </w:rPr>
        <w:t xml:space="preserve">R</w:t>
      </w:r>
      <w:r>
        <w:rPr>
          <w:iCs/>
          <w:i/>
          <w:vertAlign w:val="subscript"/>
        </w:rPr>
        <w:t xml:space="preserve">i,d</w:t>
      </w:r>
      <w:r>
        <w:t xml:space="preserve"> </w:t>
      </w:r>
      <w:r>
        <w:t xml:space="preserve">≤ −0.065 and</w:t>
      </w:r>
      <w:r>
        <w:t xml:space="preserve"> </w:t>
      </w:r>
      <w:r>
        <w:rPr>
          <w:iCs/>
          <w:i/>
        </w:rPr>
        <w:t xml:space="preserve">C</w:t>
      </w:r>
      <w:r>
        <w:rPr>
          <w:iCs/>
          <w:i/>
          <w:vertAlign w:val="subscript"/>
        </w:rPr>
        <w:t xml:space="preserve">i,d</w:t>
      </w:r>
      <w:r>
        <w:t xml:space="preserve"> </w:t>
      </w:r>
      <w:r>
        <w:t xml:space="preserve">=</w:t>
      </w:r>
      <w:r>
        <w:t xml:space="preserve"> </w:t>
      </w:r>
      <w:r>
        <w:rPr>
          <w:iCs/>
          <w:i/>
        </w:rPr>
        <w:t xml:space="preserve">L</w:t>
      </w:r>
      <w:r>
        <w:rPr>
          <w:iCs/>
          <w:i/>
          <w:vertAlign w:val="subscript"/>
        </w:rPr>
        <w:t xml:space="preserve">i,d</w:t>
      </w:r>
      <w:r>
        <w:t xml:space="preserve">. The event window runs from day 61, when a 60-day volume history exists, to five days before the sample end. The market return weights stocks by dollar volume,</w:t>
      </w:r>
    </w:p>
    <w:tbl>
      <w:tblPr>
        <w:tblStyle w:val="Table"/>
        <w:tblW w:type="pct" w:w="5000"/>
        <w:tblLayout w:type="fixed"/>
        <w:tblLook w:firstRow="0" w:lastRow="0" w:firstColumn="0" w:lastColumn="0" w:noHBand="0" w:noVBand="0" w:val="0000"/>
        <w:jc w:val="start"/>
      </w:tblPr>
      <w:tblGrid>
        <w:gridCol w:w="7344"/>
        <w:gridCol w:w="576"/>
      </w:tblGrid>
      <w:tr>
        <w:tc>
          <w:tcPr>
            <w:tcW w:type="dxa" w:w="7937"/>
          </w:tcPr>
          <w:p>
            <w:pPr>
              <w:pStyle w:val="Compact"/>
              <w:spacing w:line="240" w:lineRule="auto"/>
              <w:jc w:val="center"/>
            </w:p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w:p>
        </w:tc>
        <w:tc>
          <w:tcPr>
            <w:tcW w:type="dxa" w:w="1134"/>
          </w:tcPr>
          <w:p>
            <w:pPr>
              <w:pStyle w:val="Compact"/>
              <w:spacing w:line="240" w:lineRule="auto"/>
              <w:jc w:val="right"/>
            </w:pPr>
            <w:r>
              <w:t xml:space="preserve">(2)</w:t>
            </w:r>
          </w:p>
        </w:tc>
      </w:tr>
    </w:tbl>
    <w:p>
      <w:pPr>
        <w:pStyle w:val="BodyText"/>
        <w:spacing w:line="360" w:lineRule="auto" w:after="120"/>
        <w:jc w:val="left"/>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 An exact hit is an event whose close equals the limit price (within 10</w:t>
      </w:r>
      <w:r>
        <w:rPr>
          <w:vertAlign w:val="superscript"/>
        </w:rPr>
        <w:t xml:space="preserve">−6</w:t>
      </w:r>
      <w:r>
        <w:t xml:space="preserve"> </w:t>
      </w:r>
      <w:r>
        <w:t xml:space="preserve">thousand dong),</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oMath>
          </w:p>
        </w:tc>
        <w:tc>
          <w:tcPr>
            <w:tcW w:type="dxa" w:w="1134"/>
          </w:tcPr>
          <w:p>
            <w:pPr>
              <w:pStyle w:val="Compact"/>
              <w:spacing w:line="240" w:lineRule="auto"/>
              <w:jc w:val="right"/>
            </w:pPr>
            <w:r>
              <w:t xml:space="preserve">(3)</w:t>
            </w:r>
          </w:p>
        </w:tc>
      </w:tr>
    </w:tbl>
    <w:p>
      <w:pPr>
        <w:pStyle w:val="BodyText"/>
        <w:spacing w:line="360" w:lineRule="auto" w:after="120"/>
        <w:jc w:val="left"/>
      </w:pPr>
      <w:r>
        <w:t xml:space="preserve">where ⌊·⌋ and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i,d</w:t>
      </w:r>
      <w:r>
        <w:rPr>
          <w:vertAlign w:val="subscript"/>
        </w:rPr>
        <w:t xml:space="preserve">−1</w:t>
      </w:r>
      <w:r>
        <w:t xml:space="preserve"> </w:t>
      </w:r>
      <w:r>
        <w:t xml:space="preserve">below 10, from 10 to below 50, and from 50 upward. Other events are near hits (see Discussion on vendor price adjustment).</w:t>
      </w:r>
    </w:p>
    <w:p>
      <w:pPr>
        <w:pStyle w:val="BodyText"/>
        <w:spacing w:line="360" w:lineRule="auto" w:after="120"/>
        <w:jc w:val="left"/>
      </w:pPr>
      <w:r>
        <w:t xml:space="preserve">The abnormal return (AR) on day</w:t>
      </w:r>
      <w:r>
        <w:t xml:space="preserve"> </w:t>
      </w:r>
      <w:r>
        <w:rPr>
          <w:iCs/>
          <w:i/>
        </w:rPr>
        <w:t xml:space="preserve">d</w:t>
      </w:r>
      <w:r>
        <w:t xml:space="preserve">+1 and the cumulative abnormal return (CAR) over days</w:t>
      </w:r>
      <w:r>
        <w:t xml:space="preserve"> </w:t>
      </w:r>
      <w:r>
        <w:rPr>
          <w:iCs/>
          <w:i/>
        </w:rPr>
        <w:t xml:space="preserve">d</w:t>
      </w:r>
      <w:r>
        <w:t xml:space="preserve">+1 to</w:t>
      </w:r>
      <w:r>
        <w:t xml:space="preserve"> </w:t>
      </w:r>
      <w:r>
        <w:rPr>
          <w:iCs/>
          <w:i/>
        </w:rPr>
        <w:t xml:space="preserve">d</w:t>
      </w:r>
      <w:r>
        <w:t xml:space="preserve">+5 are</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r>
                    <m:rPr>
                      <m:nor/>
                      <m:sty m:val="p"/>
                    </m:rPr>
                    <m:t>AR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nor/>
                      <m:sty m:val="p"/>
                    </m:rPr>
                    <m:t>CAR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oMath>
          </w:p>
        </w:tc>
        <w:tc>
          <w:tcPr>
            <w:tcW w:type="dxa" w:w="1134"/>
          </w:tcPr>
          <w:p>
            <w:pPr>
              <w:pStyle w:val="Compact"/>
              <w:spacing w:line="240" w:lineRule="auto"/>
              <w:jc w:val="right"/>
            </w:pPr>
            <w:r>
              <w:t xml:space="preserve">(4)</w:t>
            </w:r>
          </w:p>
        </w:tc>
      </w:tr>
    </w:tbl>
    <w:p>
      <w:pPr>
        <w:pStyle w:val="BodyText"/>
        <w:spacing w:line="360" w:lineRule="auto" w:after="120"/>
        <w:jc w:val="left"/>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w:t>
      </w:r>
      <w:r>
        <w:rPr>
          <w:iCs/>
          <w:i/>
        </w:rPr>
        <w:t xml:space="preserve">k</w:t>
      </w:r>
      <w:r>
        <w:t xml:space="preserve"> </w:t>
      </w:r>
      <w:r>
        <w:t xml:space="preserve">(Table 1). The day-</w:t>
      </w:r>
      <w:r>
        <w:rPr>
          <w:iCs/>
          <w:i/>
        </w:rPr>
        <w:t xml:space="preserve">d</w:t>
      </w:r>
      <w:r>
        <w:t xml:space="preserve">+1 return splits into the overnight gap and the intraday return,</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r>
                    <m:rPr>
                      <m:nor/>
                      <m:sty m:val="p"/>
                    </m:rPr>
                    <m:t>GAP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nor/>
                      <m:sty m:val="p"/>
                    </m:rPr>
                    <m:t>INTRA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nor/>
                          <m:sty m:val="p"/>
                        </m:rPr>
                        <m:t>GAP</m:t>
                      </m:r>
                    </m:e>
                    <m:sub>
                      <m:r>
                        <m:t>i</m:t>
                      </m:r>
                      <m:r>
                        <m:rPr>
                          <m:sty m:val="p"/>
                        </m:rPr>
                        <m:t>,</m:t>
                      </m:r>
                      <m:r>
                        <m:t>d</m:t>
                      </m:r>
                    </m:sub>
                  </m:sSub>
                </m:e>
              </m:d>
              <m:d>
                <m:dPr>
                  <m:begChr m:val="("/>
                  <m:endChr m:val=")"/>
                  <m:sepChr m:val=""/>
                  <m:grow/>
                </m:dPr>
                <m:e>
                  <m:r>
                    <m:t>1</m:t>
                  </m:r>
                  <m:r>
                    <m:rPr>
                      <m:sty m:val="p"/>
                    </m:rPr>
                    <m:t>+</m:t>
                  </m:r>
                  <m:sSub>
                    <m:e>
                      <m:r>
                        <m:rPr>
                          <m:nor/>
                          <m:sty m:val="p"/>
                        </m:rPr>
                        <m:t>INTRA</m:t>
                      </m:r>
                    </m:e>
                    <m:sub>
                      <m:r>
                        <m:t>i</m:t>
                      </m:r>
                      <m:r>
                        <m:rPr>
                          <m:sty m:val="p"/>
                        </m:rPr>
                        <m:t>,</m:t>
                      </m:r>
                      <m:r>
                        <m:t>d</m:t>
                      </m:r>
                    </m:sub>
                  </m:sSub>
                </m:e>
              </m:d>
            </m:oMath>
          </w:p>
        </w:tc>
        <w:tc>
          <w:tcPr>
            <w:tcW w:type="dxa" w:w="1134"/>
          </w:tcPr>
          <w:p>
            <w:pPr>
              <w:pStyle w:val="Compact"/>
              <w:spacing w:line="240" w:lineRule="auto"/>
              <w:jc w:val="right"/>
            </w:pPr>
            <w:r>
              <w:t xml:space="preserve">(5)</w:t>
            </w:r>
          </w:p>
        </w:tc>
      </w:tr>
    </w:tbl>
    <w:p>
      <w:pPr>
        <w:pStyle w:val="BodyText"/>
        <w:spacing w:line="360" w:lineRule="auto" w:after="120"/>
        <w:jc w:val="left"/>
      </w:pPr>
      <w:r>
        <w:t xml:space="preserve">and abnormal values subtract the market counterpart of each component, the same-interval return across stocks weighted by</w:t>
      </w:r>
      <w:r>
        <w:t xml:space="preserve"> </w:t>
      </w:r>
      <w:r>
        <w:rPr>
          <w:iCs/>
          <w:i/>
        </w:rPr>
        <w:t xml:space="preserve">w</w:t>
      </w:r>
      <w:r>
        <w:rPr>
          <w:iCs/>
          <w:i/>
          <w:vertAlign w:val="subscript"/>
        </w:rPr>
        <w:t xml:space="preserve">j,d</w:t>
      </w:r>
      <w:r>
        <w:t xml:space="preserve">, known at the event close. A buyer at the next open earns</w:t>
      </w:r>
      <w:r>
        <w:t xml:space="preserve"> </w:t>
      </w:r>
      <w:r>
        <w:rPr>
          <w:iCs/>
          <w:i/>
        </w:rPr>
        <w:t xml:space="preserve">C</w:t>
      </w:r>
      <w:r>
        <w:rPr>
          <w:iCs/>
          <w:i/>
          <w:vertAlign w:val="subscript"/>
        </w:rPr>
        <w:t xml:space="preserve">i,d</w:t>
      </w:r>
      <w:r>
        <w:rPr>
          <w:vertAlign w:val="subscript"/>
        </w:rPr>
        <w:t xml:space="preserve">+5</w:t>
      </w:r>
      <w:r>
        <w:t xml:space="preserve">/</w:t>
      </w:r>
      <w:r>
        <w:rPr>
          <w:iCs/>
          <w:i/>
        </w:rPr>
        <w:t xml:space="preserve">O</w:t>
      </w:r>
      <w:r>
        <w:rPr>
          <w:iCs/>
          <w:i/>
          <w:vertAlign w:val="subscript"/>
        </w:rPr>
        <w:t xml:space="preserve">i,d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j,d</w:t>
      </w:r>
      <w:r>
        <w:t xml:space="preserve"> </w:t>
      </w:r>
      <w:r>
        <w:t xml:space="preserve">(</w:t>
      </w:r>
      <w:r>
        <w:rPr>
          <w:iCs/>
          <w:i/>
        </w:rPr>
        <w:t xml:space="preserve">C</w:t>
      </w:r>
      <w:r>
        <w:rPr>
          <w:iCs/>
          <w:i/>
          <w:vertAlign w:val="subscript"/>
        </w:rPr>
        <w:t xml:space="preserve">j,d</w:t>
      </w:r>
      <w:r>
        <w:rPr>
          <w:vertAlign w:val="subscript"/>
        </w:rPr>
        <w:t xml:space="preserve">+5</w:t>
      </w:r>
      <w:r>
        <w:t xml:space="preserve">/</w:t>
      </w:r>
      <w:r>
        <w:rPr>
          <w:iCs/>
          <w:i/>
        </w:rPr>
        <w:t xml:space="preserve">O</w:t>
      </w:r>
      <w:r>
        <w:rPr>
          <w:iCs/>
          <w:i/>
          <w:vertAlign w:val="subscript"/>
        </w:rPr>
        <w:t xml:space="preserve">j,d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i,d</w:t>
      </w:r>
      <w:r>
        <w:t xml:space="preserve"> </w:t>
      </w:r>
      <w:r>
        <w:t xml:space="preserve">on that date; dates with fewer than 30 control stocks have no benchmark.</w:t>
      </w:r>
    </w:p>
    <w:p>
      <w:pPr>
        <w:pStyle w:val="BodyText"/>
        <w:spacing w:line="360" w:lineRule="auto" w:after="120"/>
        <w:jc w:val="left"/>
      </w:pPr>
      <w:r>
        <w:t xml:space="preserve">The event definition uses only returns and the close-at-high (close-at-low) condition, which proportional price adjustment by the vendor leaves unchanged except on ex-dates; the exact-hit split is a diagnostic only. Event counts differ across exhibits because each outcome requires different data. Table 1 requires returns on all five days after the event (3,187 ceiling and 2,105 floor events). Tables 2 to 4 require the opening and closing prices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closing price, and the control benchmark requires at least 30 control stocks on the date (3,100 and 2,047 events). Figure 2 uses event days up to the second-to-last trading day (3,220 ceiling events). No event was dropped for any other reason.</w:t>
      </w:r>
    </w:p>
    <w:p>
      <w:pPr>
        <w:pStyle w:val="Heading3"/>
        <w:jc w:val="left"/>
      </w:pPr>
      <w:r>
        <w:t xml:space="preserve">Statistical inference</w:t>
      </w:r>
    </w:p>
    <w:p>
      <w:pPr>
        <w:pStyle w:val="FirstParagraph"/>
        <w:spacing w:line="360" w:lineRule="auto" w:after="120"/>
        <w:jc w:val="left"/>
      </w:pP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ȳ</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acc>
                <m:accPr>
                  <m:chr m:val="̂"/>
                </m:accPr>
                <m:e>
                  <m:r>
                    <m:rPr>
                      <m:sty m:val="p"/>
                    </m:rPr>
                    <m:t>V</m:t>
                  </m:r>
                  <m:r>
                    <m:rPr>
                      <m:sty m:val="p"/>
                    </m:rPr>
                    <m:t>a</m:t>
                  </m:r>
                  <m:r>
                    <m:rPr>
                      <m:sty m:val="p"/>
                    </m:rPr>
                    <m:t>r</m:t>
                  </m:r>
                </m:e>
              </m:acc>
              <m:d>
                <m:dPr>
                  <m:begChr m:val="("/>
                  <m:endChr m:val=")"/>
                  <m:sepChr m:val=""/>
                  <m:grow/>
                </m:dPr>
                <m:e>
                  <m:acc>
                    <m:accPr>
                      <m:chr m:val="‾"/>
                    </m:accPr>
                    <m:e>
                      <m:r>
                        <m:t>y</m:t>
                      </m:r>
                    </m:e>
                  </m:acc>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acc>
                                    <m:accPr>
                                      <m:chr m:val="‾"/>
                                    </m:accPr>
                                    <m:e>
                                      <m:r>
                                        <m:t>y</m:t>
                                      </m:r>
                                    </m:e>
                                  </m:acc>
                                </m:e>
                              </m:d>
                            </m:e>
                          </m:nary>
                        </m:e>
                      </m:d>
                    </m:e>
                    <m:sup>
                      <m:r>
                        <m:t>2</m:t>
                      </m:r>
                    </m:sup>
                  </m:sSup>
                </m:e>
              </m:nary>
            </m:oMath>
          </w:p>
        </w:tc>
        <w:tc>
          <w:tcPr>
            <w:tcW w:type="dxa" w:w="1134"/>
          </w:tcPr>
          <w:p>
            <w:pPr>
              <w:pStyle w:val="Compact"/>
              <w:spacing w:line="240" w:lineRule="auto"/>
              <w:jc w:val="right"/>
            </w:pPr>
            <w:r>
              <w:t xml:space="preserve">(6)</w:t>
            </w:r>
          </w:p>
        </w:tc>
      </w:tr>
    </w:tbl>
    <w:p>
      <w:pPr>
        <w:pStyle w:val="BodyText"/>
        <w:spacing w:line="360" w:lineRule="auto" w:after="120"/>
        <w:jc w:val="left"/>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calendar weeks (ISO 8601) or blocks of ten consecutive trading days. The family</w:t>
      </w:r>
      <w:r>
        <w:t xml:space="preserve"> </w:t>
      </w:r>
      <w:r>
        <w:rPr>
          <w:iCs/>
          <w:i/>
        </w:rPr>
        <w:t xml:space="preserve">P</w:t>
      </w:r>
      <w:r>
        <w:t xml:space="preserve"> </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The family</w:t>
      </w:r>
      <w:r>
        <w:t xml:space="preserve"> </w:t>
      </w:r>
      <w:r>
        <w:rPr>
          <w:iCs/>
          <w:i/>
        </w:rPr>
        <w:t xml:space="preserve">P</w:t>
      </w:r>
      <w:r>
        <w:t xml:space="preserve"> </w:t>
      </w:r>
      <w:r>
        <w:t xml:space="preserve">values keep the convention of the first computation of the planned tests; the analysis plan specified date-clustered standard errors but not the reference distribution, and we did not change the convention after seeing the results, so that the multiplicity control is not tuned to them. Table 1 adds the small-sample factor and the</w:t>
      </w:r>
      <w:r>
        <w:t xml:space="preserve"> </w:t>
      </w:r>
      <w:r>
        <w:rPr>
          <w:iCs/>
          <w:i/>
        </w:rPr>
        <w:t xml:space="preserve">t</w:t>
      </w:r>
      <w:r>
        <w:t xml:space="preserve"> </w:t>
      </w:r>
      <w:r>
        <w:t xml:space="preserve">reference as a more conservative check. Under these settings the four event tests still survive a Bonferroni correction in families of up to 683 tests with date clusters and 125 with calendar-week clusters, so the choice does not change any conclusion. Two-way clustering by date and stock follows Cameron et al.[45],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 For the</w:t>
      </w:r>
      <w:r>
        <w:t xml:space="preserve"> </w:t>
      </w:r>
      <w:r>
        <w:rPr>
          <w:iCs/>
          <w:i/>
        </w:rPr>
        <w:t xml:space="preserve">t</w:t>
      </w:r>
      <w:r>
        <w:t xml:space="preserve">-statistics of Tables 2 to 5 and of the text we report two-sided</w:t>
      </w:r>
      <w:r>
        <w:t xml:space="preserve"> </w:t>
      </w:r>
      <w:r>
        <w:rPr>
          <w:iCs/>
          <w:i/>
        </w:rPr>
        <w:t xml:space="preserve">P</w:t>
      </w:r>
      <w:r>
        <w:t xml:space="preserve"> </w:t>
      </w:r>
      <w:r>
        <w:t xml:space="preserve">values from the standard normal distribution (|</w:t>
      </w:r>
      <w:r>
        <w:rPr>
          <w:iCs/>
          <w:i/>
        </w:rPr>
        <w:t xml:space="preserve">t</w:t>
      </w:r>
      <w:r>
        <w:t xml:space="preserve">| = 1.96 gives</w:t>
      </w:r>
      <w:r>
        <w:t xml:space="preserve"> </w:t>
      </w:r>
      <w:r>
        <w:rPr>
          <w:iCs/>
          <w:i/>
        </w:rPr>
        <w:t xml:space="preserve">P</w:t>
      </w:r>
      <w:r>
        <w:t xml:space="preserve"> </w:t>
      </w:r>
      <w:r>
        <w:t xml:space="preserve">= 0.05; |</w:t>
      </w:r>
      <w:r>
        <w:rPr>
          <w:iCs/>
          <w:i/>
        </w:rPr>
        <w:t xml:space="preserve">t</w:t>
      </w:r>
      <w:r>
        <w:t xml:space="preserve">| = 3.29 gives</w:t>
      </w:r>
      <w:r>
        <w:t xml:space="preserve"> </w:t>
      </w:r>
      <w:r>
        <w:rPr>
          <w:iCs/>
          <w:i/>
        </w:rPr>
        <w:t xml:space="preserve">P</w:t>
      </w:r>
      <w:r>
        <w:t xml:space="preserve"> </w:t>
      </w:r>
      <w:r>
        <w:t xml:space="preserve">= 0.001); Table 1 uses the</w:t>
      </w:r>
      <w:r>
        <w:t xml:space="preserve"> </w:t>
      </w:r>
      <w:r>
        <w:rPr>
          <w:iCs/>
          <w:i/>
        </w:rPr>
        <w:t xml:space="preserve">t</w:t>
      </w:r>
      <w:r>
        <w:t xml:space="preserve"> </w:t>
      </w:r>
      <w:r>
        <w:t xml:space="preserve">reference instead. The word</w:t>
      </w:r>
      <w:r>
        <w:t xml:space="preserve"> </w:t>
      </w:r>
      <w:r>
        <w:t xml:space="preserve">“</w:t>
      </w:r>
      <w:r>
        <w:t xml:space="preserve">significant</w:t>
      </w:r>
      <w:r>
        <w:t xml:space="preserve">”</w:t>
      </w:r>
      <w:r>
        <w:t xml:space="preserve"> </w:t>
      </w:r>
      <w:r>
        <w:t xml:space="preserve">always means</w:t>
      </w:r>
      <w:r>
        <w:t xml:space="preserve"> </w:t>
      </w:r>
      <w:r>
        <w:rPr>
          <w:iCs/>
          <w:i/>
        </w:rPr>
        <w:t xml:space="preserve">P</w:t>
      </w:r>
      <w:r>
        <w:t xml:space="preserve"> </w:t>
      </w:r>
      <w:r>
        <w:t xml:space="preserve">&lt; 0.05 for the stated test. Descriptive statistics report means and, where stated, medians and standard deviations; the</w:t>
      </w:r>
      <w:r>
        <w:t xml:space="preserve"> </w:t>
      </w:r>
      <w:r>
        <w:rPr>
          <w:iCs/>
          <w:i/>
        </w:rPr>
        <w:t xml:space="preserve">n</w:t>
      </w:r>
      <w:r>
        <w:t xml:space="preserve"> </w:t>
      </w:r>
      <w:r>
        <w:t xml:space="preserve">of each analysis is given in the tables and text.</w:t>
      </w:r>
    </w:p>
    <w:p>
      <w:pPr>
        <w:pStyle w:val="Heading3"/>
        <w:jc w:val="left"/>
      </w:pPr>
      <w:r>
        <w:t xml:space="preserve">Characteristics and Fama–MacBeth regressions</w:t>
      </w:r>
    </w:p>
    <w:p>
      <w:pPr>
        <w:pStyle w:val="FirstParagraph"/>
        <w:spacing w:line="360" w:lineRule="auto" w:after="120"/>
        <w:jc w:val="left"/>
      </w:pP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Fama–MacBeth regressions[46] are</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r>
                    <m:t>y</m:t>
                  </m:r>
                </m:e>
                <m:sub>
                  <m:r>
                    <m:t>i</m:t>
                  </m:r>
                  <m:r>
                    <m:rPr>
                      <m:sty m:val="p"/>
                    </m:rPr>
                    <m:t>,</m:t>
                  </m:r>
                  <m:r>
                    <m:t>τ</m:t>
                  </m:r>
                </m:sub>
              </m:sSub>
              <m:r>
                <m:rPr>
                  <m:sty m:val="p"/>
                </m:rPr>
                <m:t>=</m:t>
              </m:r>
              <m:sSub>
                <m:e>
                  <m:r>
                    <m:t>a</m:t>
                  </m:r>
                </m:e>
                <m:sub>
                  <m:r>
                    <m:t>τ</m:t>
                  </m:r>
                </m:sub>
              </m:sSub>
              <m:r>
                <m:rPr>
                  <m:sty m:val="p"/>
                </m:rPr>
                <m:t>+</m:t>
              </m:r>
              <m:sSub>
                <m:e>
                  <m:r>
                    <m:t>γ</m:t>
                  </m:r>
                </m:e>
                <m:sub>
                  <m:r>
                    <m:t>τ</m:t>
                  </m:r>
                </m:sub>
              </m:sSub>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w:p>
        </w:tc>
        <w:tc>
          <w:tcPr>
            <w:tcW w:type="dxa" w:w="1134"/>
          </w:tcPr>
          <w:p>
            <w:pPr>
              <w:pStyle w:val="Compact"/>
              <w:spacing w:line="240" w:lineRule="auto"/>
              <w:jc w:val="right"/>
            </w:pPr>
            <w:r>
              <w:t xml:space="preserve">(7)</w:t>
            </w:r>
          </w:p>
        </w:tc>
      </w:tr>
    </w:tbl>
    <w:p>
      <w:pPr>
        <w:pStyle w:val="BodyText"/>
        <w:spacing w:line="360" w:lineRule="auto" w:after="120"/>
        <w:jc w:val="left"/>
      </w:pPr>
      <w:r>
        <w:t xml:space="preserve">with a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w:t>
      </w:r>
      <w:r>
        <w:t xml:space="preserve">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Newey–West standard errors[47] (four lags, Bartlett weights, no prewhitening) and 78 degrees of freedom. Supplementary Note 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pPr>
        <w:pStyle w:val="Heading3"/>
        <w:jc w:val="left"/>
      </w:pPr>
      <w:r>
        <w:t xml:space="preserve">Multiplicity and survival rule</w:t>
      </w:r>
    </w:p>
    <w:p>
      <w:pPr>
        <w:pStyle w:val="FirstParagraph"/>
        <w:spacing w:line="360" w:lineRule="auto" w:after="120"/>
        <w:jc w:val="left"/>
      </w:pPr>
      <w:r>
        <w:t xml:space="preserve">The family has</w:t>
      </w:r>
      <w:r>
        <w:t xml:space="preserve"> </w:t>
      </w:r>
      <w:r>
        <w:rPr>
          <w:iCs/>
          <w:i/>
        </w:rPr>
        <w:t xml:space="preserve">m</w:t>
      </w:r>
      <w:r>
        <w:t xml:space="preserve"> </w:t>
      </w:r>
      <w:r>
        <w:t xml:space="preserve">= 26 tests: the 22 characteristics and the ceiling and floor tests at the two horizons of equation (4). With</w:t>
      </w:r>
      <w:r>
        <w:t xml:space="preserve"> </w:t>
      </w:r>
      <w:r>
        <w:rPr>
          <w:iCs/>
          <w:i/>
        </w:rPr>
        <w:t xml:space="preserve">P</w:t>
      </w:r>
      <w:r>
        <w:t xml:space="preserve"> </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BH adjusted</w:t>
      </w:r>
      <w:r>
        <w:t xml:space="preserve"> </w:t>
      </w:r>
      <w:r>
        <w:rPr>
          <w:iCs/>
          <w:i/>
        </w:rPr>
        <w:t xml:space="preserve">P</w:t>
      </w:r>
      <w:r>
        <w:t xml:space="preserve"> </w:t>
      </w:r>
      <w:r>
        <w:t xml:space="preserve">value at rank</w:t>
      </w:r>
      <w:r>
        <w:t xml:space="preserve"> </w:t>
      </w:r>
      <w:r>
        <w:rPr>
          <w:iCs/>
          <w:i/>
        </w:rPr>
        <w:t xml:space="preserve">r</w:t>
      </w:r>
      <w:r>
        <w:t xml:space="preserve"> </w:t>
      </w:r>
      <w:r>
        <w:t xml:space="preserve">is</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acc>
                    <m:accPr>
                      <m:chr m:val="̃"/>
                    </m:accPr>
                    <m:e>
                      <m:r>
                        <m:t>p</m:t>
                      </m:r>
                    </m:e>
                  </m:acc>
                </m:e>
                <m:sub>
                  <m:d>
                    <m:dPr>
                      <m:begChr m:val="("/>
                      <m:endChr m:val=")"/>
                      <m:sepChr m:val=""/>
                      <m:grow/>
                    </m:dPr>
                    <m:e>
                      <m:r>
                        <m:t>r</m:t>
                      </m:r>
                    </m:e>
                  </m:d>
                </m:sub>
              </m:sSub>
              <m:r>
                <m:rPr>
                  <m:sty m:val="p"/>
                </m:rPr>
                <m:t>=</m:t>
              </m:r>
              <m:sSub>
                <m:e>
                  <m:r>
                    <m:rPr>
                      <m:sty m:val="p"/>
                    </m:rPr>
                    <m:t>min</m:t>
                  </m:r>
                </m:e>
                <m:sub>
                  <m:r>
                    <m:t>s</m:t>
                  </m:r>
                  <m:r>
                    <m:rPr>
                      <m:sty m:val="p"/>
                    </m:rPr>
                    <m:t>≥</m:t>
                  </m:r>
                  <m:r>
                    <m:t>r</m:t>
                  </m:r>
                </m:sub>
              </m:sSub>
              <m:d>
                <m:dPr>
                  <m:begChr m:val="{"/>
                  <m:endChr m:val="}"/>
                  <m:sepChr m:val=""/>
                  <m:grow/>
                </m:dPr>
                <m:e>
                  <m:r>
                    <m:rPr>
                      <m:sty m:val="p"/>
                    </m:rPr>
                    <m:t>min</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oMath>
          </w:p>
        </w:tc>
        <w:tc>
          <w:tcPr>
            <w:tcW w:type="dxa" w:w="1134"/>
          </w:tcPr>
          <w:p>
            <w:pPr>
              <w:pStyle w:val="Compact"/>
              <w:spacing w:line="240" w:lineRule="auto"/>
              <w:jc w:val="right"/>
            </w:pPr>
            <w:r>
              <w:t xml:space="preserve">(8)</w:t>
            </w:r>
          </w:p>
        </w:tc>
      </w:tr>
    </w:tbl>
    <w:p>
      <w:pPr>
        <w:pStyle w:val="BodyText"/>
        <w:spacing w:line="360" w:lineRule="auto" w:after="120"/>
        <w:jc w:val="left"/>
      </w:pPr>
      <w:r>
        <w:t xml:space="preserve">We also report Holm adjustments[42] and the |</w:t>
      </w:r>
      <w:r>
        <w:rPr>
          <w:iCs/>
          <w:i/>
        </w:rPr>
        <w:t xml:space="preserve">t</w:t>
      </w:r>
      <w:r>
        <w:t xml:space="preserve">| = 3 hurdle[36]. A test survives if the adjusted</w:t>
      </w:r>
      <w:r>
        <w:t xml:space="preserve"> </w:t>
      </w:r>
      <w:r>
        <w:rPr>
          <w:iCs/>
          <w:i/>
        </w:rPr>
        <w:t xml:space="preserve">P</w:t>
      </w:r>
      <w:r>
        <w:t xml:space="preserve"> </w:t>
      </w:r>
      <w:r>
        <w:t xml:space="preserve">value is below 0.05, which controls the FDR[41] at 5%; if its signs agree in the discovery half (the first 39 weeks or the events up to the median event date) and the confirmation half; and if its confirmation-half |</w:t>
      </w:r>
      <w:r>
        <w:rPr>
          <w:iCs/>
          <w:i/>
        </w:rPr>
        <w:t xml:space="preserve">t</w:t>
      </w:r>
      <w: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w:t>
      </w:r>
    </w:p>
    <w:p>
      <w:pPr>
        <w:pStyle w:val="Heading3"/>
        <w:jc w:val="left"/>
      </w:pPr>
      <w:r>
        <w:t xml:space="preserve">Analysis plan and exploratory analyses</w:t>
      </w:r>
    </w:p>
    <w:p>
      <w:pPr>
        <w:pStyle w:val="FirstParagraph"/>
        <w:spacing w:line="360" w:lineRule="auto" w:after="120"/>
        <w:jc w:val="left"/>
      </w:pPr>
      <w: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pPr>
        <w:pStyle w:val="Heading3"/>
        <w:jc w:val="left"/>
      </w:pPr>
      <w:r>
        <w:t xml:space="preserve">Use of generative AI</w:t>
      </w:r>
    </w:p>
    <w:p>
      <w:pPr>
        <w:pStyle w:val="FirstParagraph"/>
        <w:spacing w:line="360" w:lineRule="auto" w:after="120"/>
        <w:jc w:val="left"/>
      </w:pPr>
      <w:r>
        <w:t xml:space="preserve">The authors used the generative AI tool Gemini (Google) only to edit the language of the manuscript. It was not used for the analysis, the code, the literature search or the interpretation of results, and it is not an author. The authors reviewed all edited text and take full responsibility for the content. References and the institutional facts above were checked by web search, not against exchange circulars.</w:t>
      </w:r>
    </w:p>
    <w:p>
      <w:pPr>
        <w:pStyle w:val="Heading3"/>
        <w:jc w:val="left"/>
      </w:pPr>
      <w:r>
        <w:t xml:space="preserve">Software and ethics</w:t>
      </w:r>
    </w:p>
    <w:p>
      <w:pPr>
        <w:pStyle w:val="FirstParagraph"/>
        <w:spacing w:line="360" w:lineRule="auto" w:after="120"/>
        <w:jc w:val="left"/>
      </w:pPr>
      <w:r>
        <w:t xml:space="preserve">One R 4.3.3 script (packages sandwich, lmtest and ggplot2) reproduces every number, table and figure; the figures in this version were redrawn from the saved R output tables with Python (matplotlib) without re-estimating any number. The study uses public market prices and involves no human or animal participants, so ethical approval and consent were not required.</w:t>
      </w:r>
    </w:p>
    <w:p>
      <w:pPr>
        <w:pStyle w:val="Heading2"/>
        <w:jc w:val="left"/>
      </w:pPr>
      <w:r>
        <w:t xml:space="preserve">Data availability</w:t>
      </w:r>
    </w:p>
    <w:p>
      <w:pPr>
        <w:pStyle w:val="FirstParagraph"/>
        <w:spacing w:line="360" w:lineRule="auto" w:after="120"/>
        <w:jc w:val="left"/>
      </w:pPr>
      <w:r>
        <w:t xml:space="preserve">The price files (vnstock 4.0.4, source VCI, retrieved on 24 September 2026), the R code and the output tables are available at https://github.com/trungcandygit/black_litterman_2 (folders data/raw and paper2).</w:t>
      </w:r>
    </w:p>
    <w:p>
      <w:pPr>
        <w:pStyle w:val="Heading2"/>
        <w:jc w:val="left"/>
      </w:pPr>
      <w:r>
        <w:t xml:space="preserve">References</w:t>
      </w:r>
    </w:p>
    <w:p>
      <w:pPr>
        <w:numPr>
          <w:ilvl w:val="0"/>
          <w:numId w:val="1001"/>
        </w:numPr>
        <w:pStyle w:val="Compact"/>
        <w:spacing w:line="360" w:lineRule="auto" w:after="120"/>
        <w:jc w:val="left"/>
      </w:pPr>
      <w:r>
        <w:t xml:space="preserve">Brennan, M. J. A theory of price limits in futures markets.</w:t>
      </w:r>
      <w:r>
        <w:t xml:space="preserve"> </w:t>
      </w:r>
      <w:r>
        <w:rPr>
          <w:iCs/>
          <w:i/>
        </w:rPr>
        <w:t xml:space="preserve">J. Financ. Econ.</w:t>
      </w:r>
      <w:r>
        <w:t xml:space="preserve"> </w:t>
      </w:r>
      <w:r>
        <w:rPr>
          <w:bCs/>
          <w:b/>
        </w:rPr>
        <w:t xml:space="preserve">16</w:t>
      </w:r>
      <w:r>
        <w:t xml:space="preserve">, 213–233 (1986). https://doi.org/10.1016/0304-405X(86)90061-9</w:t>
      </w:r>
    </w:p>
    <w:p>
      <w:pPr>
        <w:numPr>
          <w:ilvl w:val="0"/>
          <w:numId w:val="1001"/>
        </w:numPr>
        <w:pStyle w:val="Compact"/>
        <w:spacing w:line="360" w:lineRule="auto" w:after="120"/>
        <w:jc w:val="left"/>
      </w:pPr>
      <w:r>
        <w:t xml:space="preserve">Kodres, L. E. &amp; O’Brien, D. P. The existence of Pareto-superior price limits.</w:t>
      </w:r>
      <w:r>
        <w:t xml:space="preserve"> </w:t>
      </w:r>
      <w:r>
        <w:rPr>
          <w:iCs/>
          <w:i/>
        </w:rPr>
        <w:t xml:space="preserve">Am. Econ. Rev.</w:t>
      </w:r>
      <w:r>
        <w:t xml:space="preserve"> </w:t>
      </w:r>
      <w:r>
        <w:rPr>
          <w:bCs/>
          <w:b/>
        </w:rPr>
        <w:t xml:space="preserve">84</w:t>
      </w:r>
      <w:r>
        <w:t xml:space="preserve">, 919–932 (1994).</w:t>
      </w:r>
    </w:p>
    <w:p>
      <w:pPr>
        <w:numPr>
          <w:ilvl w:val="0"/>
          <w:numId w:val="1001"/>
        </w:numPr>
        <w:pStyle w:val="Compact"/>
        <w:spacing w:line="360" w:lineRule="auto" w:after="120"/>
        <w:jc w:val="left"/>
      </w:pPr>
      <w:r>
        <w:t xml:space="preserve">Greenwald, B. C. &amp; Stein, J. C. Transactional risk, market crashes, and the role of circuit breakers.</w:t>
      </w:r>
      <w:r>
        <w:t xml:space="preserve"> </w:t>
      </w:r>
      <w:r>
        <w:rPr>
          <w:iCs/>
          <w:i/>
        </w:rPr>
        <w:t xml:space="preserve">J. Bus.</w:t>
      </w:r>
      <w:r>
        <w:t xml:space="preserve"> </w:t>
      </w:r>
      <w:r>
        <w:rPr>
          <w:bCs/>
          <w:b/>
        </w:rPr>
        <w:t xml:space="preserve">64</w:t>
      </w:r>
      <w:r>
        <w:t xml:space="preserve">, 443–462 (1991).</w:t>
      </w:r>
    </w:p>
    <w:p>
      <w:pPr>
        <w:numPr>
          <w:ilvl w:val="0"/>
          <w:numId w:val="1001"/>
        </w:numPr>
        <w:pStyle w:val="Compact"/>
        <w:spacing w:line="360" w:lineRule="auto" w:after="120"/>
        <w:jc w:val="left"/>
      </w:pPr>
      <w:r>
        <w:t xml:space="preserve">Subrahmanyam, A. Circuit breakers and market volatility: a theoretical perspective.</w:t>
      </w:r>
      <w:r>
        <w:t xml:space="preserve"> </w:t>
      </w:r>
      <w:r>
        <w:rPr>
          <w:iCs/>
          <w:i/>
        </w:rPr>
        <w:t xml:space="preserve">J. Finance</w:t>
      </w:r>
      <w:r>
        <w:t xml:space="preserve"> </w:t>
      </w:r>
      <w:r>
        <w:rPr>
          <w:bCs/>
          <w:b/>
        </w:rPr>
        <w:t xml:space="preserve">49</w:t>
      </w:r>
      <w:r>
        <w:t xml:space="preserve">, 237–254 (1994). https://doi.org/10.1111/j.1540-6261.1994.tb04427.x</w:t>
      </w:r>
    </w:p>
    <w:p>
      <w:pPr>
        <w:numPr>
          <w:ilvl w:val="0"/>
          <w:numId w:val="1001"/>
        </w:numPr>
        <w:pStyle w:val="Compact"/>
        <w:spacing w:line="360" w:lineRule="auto" w:after="120"/>
        <w:jc w:val="left"/>
      </w:pPr>
      <w:r>
        <w:t xml:space="preserve">Chen, H., Petukhov, A., Wang, J. &amp; Xing, H. The dark side of circuit breakers.</w:t>
      </w:r>
      <w:r>
        <w:t xml:space="preserve"> </w:t>
      </w:r>
      <w:r>
        <w:rPr>
          <w:iCs/>
          <w:i/>
        </w:rPr>
        <w:t xml:space="preserve">J. Finance</w:t>
      </w:r>
      <w:r>
        <w:t xml:space="preserve"> </w:t>
      </w:r>
      <w:r>
        <w:rPr>
          <w:bCs/>
          <w:b/>
        </w:rPr>
        <w:t xml:space="preserve">79</w:t>
      </w:r>
      <w:r>
        <w:t xml:space="preserve">, 1405–1455 (2024). https://doi.org/10.1111/jofi.13310</w:t>
      </w:r>
    </w:p>
    <w:p>
      <w:pPr>
        <w:numPr>
          <w:ilvl w:val="0"/>
          <w:numId w:val="1001"/>
        </w:numPr>
        <w:pStyle w:val="Compact"/>
        <w:spacing w:line="360" w:lineRule="auto" w:after="120"/>
        <w:jc w:val="left"/>
      </w:pPr>
      <w:r>
        <w:t xml:space="preserve">Cho, D. D., Russell, J., Tiao, G. C. &amp; Tsay, R. S. The magnet effect of price limits: evidence from high-frequency data on Taiwan Stock Exchange.</w:t>
      </w:r>
      <w:r>
        <w:t xml:space="preserve"> </w:t>
      </w:r>
      <w:r>
        <w:rPr>
          <w:iCs/>
          <w:i/>
        </w:rPr>
        <w:t xml:space="preserve">J. Empir. Finance</w:t>
      </w:r>
      <w:r>
        <w:t xml:space="preserve"> </w:t>
      </w:r>
      <w:r>
        <w:rPr>
          <w:bCs/>
          <w:b/>
        </w:rPr>
        <w:t xml:space="preserve">10</w:t>
      </w:r>
      <w:r>
        <w:t xml:space="preserve">, 133–168 (2003). https://doi.org/10.1016/S0927-5398(02)00024-5</w:t>
      </w:r>
    </w:p>
    <w:p>
      <w:pPr>
        <w:numPr>
          <w:ilvl w:val="0"/>
          <w:numId w:val="1001"/>
        </w:numPr>
        <w:pStyle w:val="Compact"/>
        <w:spacing w:line="360" w:lineRule="auto" w:after="120"/>
        <w:jc w:val="left"/>
      </w:pPr>
      <w:r>
        <w:t xml:space="preserve">Kim, K. A. &amp; Rhee, S. G. Price limit performance: evidence from the Tokyo Stock Exchange.</w:t>
      </w:r>
      <w:r>
        <w:t xml:space="preserve"> </w:t>
      </w:r>
      <w:r>
        <w:rPr>
          <w:iCs/>
          <w:i/>
        </w:rPr>
        <w:t xml:space="preserve">J. Finance</w:t>
      </w:r>
      <w:r>
        <w:t xml:space="preserve"> </w:t>
      </w:r>
      <w:r>
        <w:rPr>
          <w:bCs/>
          <w:b/>
        </w:rPr>
        <w:t xml:space="preserve">52</w:t>
      </w:r>
      <w:r>
        <w:t xml:space="preserve">, 885–901 (1997). https://doi.org/10.1111/j.1540-6261.1997.tb04827.x</w:t>
      </w:r>
    </w:p>
    <w:p>
      <w:pPr>
        <w:numPr>
          <w:ilvl w:val="0"/>
          <w:numId w:val="1001"/>
        </w:numPr>
        <w:pStyle w:val="Compact"/>
        <w:spacing w:line="360" w:lineRule="auto" w:after="120"/>
        <w:jc w:val="left"/>
      </w:pPr>
      <w:r>
        <w:t xml:space="preserve">Bildik, R. &amp; Gülay, G. Are price limits effective? Evidence from the Istanbul Stock Exchange.</w:t>
      </w:r>
      <w:r>
        <w:t xml:space="preserve"> </w:t>
      </w:r>
      <w:r>
        <w:rPr>
          <w:iCs/>
          <w:i/>
        </w:rPr>
        <w:t xml:space="preserve">J. Financ. Res.</w:t>
      </w:r>
      <w:r>
        <w:t xml:space="preserve"> </w:t>
      </w:r>
      <w:r>
        <w:rPr>
          <w:bCs/>
          <w:b/>
        </w:rPr>
        <w:t xml:space="preserve">29</w:t>
      </w:r>
      <w:r>
        <w:t xml:space="preserve">, 383–403 (2006). https://doi.org/10.1111/j.1475-6803.2006.00185.x</w:t>
      </w:r>
    </w:p>
    <w:p>
      <w:pPr>
        <w:numPr>
          <w:ilvl w:val="0"/>
          <w:numId w:val="1001"/>
        </w:numPr>
        <w:pStyle w:val="Compact"/>
        <w:spacing w:line="360" w:lineRule="auto" w:after="120"/>
        <w:jc w:val="left"/>
      </w:pPr>
      <w:r>
        <w:t xml:space="preserve">Chen, Y.-M. Price limits and stock market volatility in Taiwan.</w:t>
      </w:r>
      <w:r>
        <w:t xml:space="preserve"> </w:t>
      </w:r>
      <w:r>
        <w:rPr>
          <w:iCs/>
          <w:i/>
        </w:rPr>
        <w:t xml:space="preserve">Pac.-Basin Finance J.</w:t>
      </w:r>
      <w:r>
        <w:t xml:space="preserve"> </w:t>
      </w:r>
      <w:r>
        <w:rPr>
          <w:bCs/>
          <w:b/>
        </w:rPr>
        <w:t xml:space="preserve">1</w:t>
      </w:r>
      <w:r>
        <w:t xml:space="preserve">, 139–153 (1993). https://doi.org/10.1016/0927-538X(93)90005-3</w:t>
      </w:r>
    </w:p>
    <w:p>
      <w:pPr>
        <w:numPr>
          <w:ilvl w:val="0"/>
          <w:numId w:val="1001"/>
        </w:numPr>
        <w:pStyle w:val="Compact"/>
        <w:spacing w:line="360" w:lineRule="auto" w:after="120"/>
        <w:jc w:val="left"/>
      </w:pPr>
      <w:r>
        <w:t xml:space="preserve">Huang, Y.-S., Fu, T.-W. &amp; Ke, M.-C. Daily price limits and stock price behavior: evidence from the Taiwan Stock Exchange.</w:t>
      </w:r>
      <w:r>
        <w:t xml:space="preserve"> </w:t>
      </w:r>
      <w:r>
        <w:rPr>
          <w:iCs/>
          <w:i/>
        </w:rPr>
        <w:t xml:space="preserve">Int. Rev. Econ. Finance</w:t>
      </w:r>
      <w:r>
        <w:t xml:space="preserve"> </w:t>
      </w:r>
      <w:r>
        <w:rPr>
          <w:bCs/>
          <w:b/>
        </w:rPr>
        <w:t xml:space="preserve">10</w:t>
      </w:r>
      <w:r>
        <w:t xml:space="preserve">, 263–288 (2001). https://doi.org/10.1016/S1059-0560(00)00082-4</w:t>
      </w:r>
    </w:p>
    <w:p>
      <w:pPr>
        <w:numPr>
          <w:ilvl w:val="0"/>
          <w:numId w:val="1001"/>
        </w:numPr>
        <w:pStyle w:val="Compact"/>
        <w:spacing w:line="360" w:lineRule="auto" w:after="120"/>
        <w:jc w:val="left"/>
      </w:pPr>
      <w:r>
        <w:t xml:space="preserve">Berkman, H. &amp; Lee, J. B. T. The effectiveness of price limits in an emerging market: evidence from the Korean Stock Exchange.</w:t>
      </w:r>
      <w:r>
        <w:t xml:space="preserve"> </w:t>
      </w:r>
      <w:r>
        <w:rPr>
          <w:iCs/>
          <w:i/>
        </w:rPr>
        <w:t xml:space="preserve">Pac.-Basin Finance J.</w:t>
      </w:r>
      <w:r>
        <w:t xml:space="preserve"> </w:t>
      </w:r>
      <w:r>
        <w:rPr>
          <w:bCs/>
          <w:b/>
        </w:rPr>
        <w:t xml:space="preserve">10</w:t>
      </w:r>
      <w:r>
        <w:t xml:space="preserve">, 517–530 (2002). https://doi.org/10.1016/S0927-538X(02)00040-9</w:t>
      </w:r>
    </w:p>
    <w:p>
      <w:pPr>
        <w:numPr>
          <w:ilvl w:val="0"/>
          <w:numId w:val="1001"/>
        </w:numPr>
        <w:pStyle w:val="Compact"/>
        <w:spacing w:line="360" w:lineRule="auto" w:after="120"/>
        <w:jc w:val="left"/>
      </w:pPr>
      <w:r>
        <w:t xml:space="preserve">Qi, B. Effectiveness of price limits: evidence from China’s ChiNext market.</w:t>
      </w:r>
      <w:r>
        <w:t xml:space="preserve"> </w:t>
      </w:r>
      <w:r>
        <w:rPr>
          <w:iCs/>
          <w:i/>
        </w:rPr>
        <w:t xml:space="preserve">PLOS ONE</w:t>
      </w:r>
      <w:r>
        <w:t xml:space="preserve"> </w:t>
      </w:r>
      <w:r>
        <w:rPr>
          <w:bCs/>
          <w:b/>
        </w:rPr>
        <w:t xml:space="preserve">18</w:t>
      </w:r>
      <w:r>
        <w:t xml:space="preserve">, e0287548 (2023). https://doi.org/10.1371/journal.pone.0287548</w:t>
      </w:r>
    </w:p>
    <w:p>
      <w:pPr>
        <w:numPr>
          <w:ilvl w:val="0"/>
          <w:numId w:val="1001"/>
        </w:numPr>
        <w:pStyle w:val="Compact"/>
        <w:spacing w:line="360" w:lineRule="auto" w:after="120"/>
        <w:jc w:val="left"/>
      </w:pPr>
      <w:r>
        <w:t xml:space="preserve">Zhang, X., Wang, Z., Hao, J. &amp; He, F. Price limit and stock market quality: evidence from a quasi-natural experiment in the Chinese stock market.</w:t>
      </w:r>
      <w:r>
        <w:t xml:space="preserve"> </w:t>
      </w:r>
      <w:r>
        <w:rPr>
          <w:iCs/>
          <w:i/>
        </w:rPr>
        <w:t xml:space="preserve">Pac.-Basin Finance J.</w:t>
      </w:r>
      <w:r>
        <w:t xml:space="preserve"> </w:t>
      </w:r>
      <w:r>
        <w:rPr>
          <w:bCs/>
          <w:b/>
        </w:rPr>
        <w:t xml:space="preserve">74</w:t>
      </w:r>
      <w:r>
        <w:t xml:space="preserve">, 101778 (2022).</w:t>
      </w:r>
    </w:p>
    <w:p>
      <w:pPr>
        <w:numPr>
          <w:ilvl w:val="0"/>
          <w:numId w:val="1001"/>
        </w:numPr>
        <w:pStyle w:val="Compact"/>
        <w:spacing w:line="360" w:lineRule="auto" w:after="120"/>
        <w:jc w:val="left"/>
      </w:pPr>
      <w:r>
        <w:t xml:space="preserve">Jia, S., An, Y., Yang, L. &amp; Zhou, F. Price limit relaxation and stock price crash risk: evidence from China.</w:t>
      </w:r>
      <w:r>
        <w:t xml:space="preserve"> </w:t>
      </w:r>
      <w:r>
        <w:rPr>
          <w:iCs/>
          <w:i/>
        </w:rPr>
        <w:t xml:space="preserve">Financ. Res. Lett.</w:t>
      </w:r>
      <w:r>
        <w:t xml:space="preserve"> </w:t>
      </w:r>
      <w:r>
        <w:rPr>
          <w:bCs/>
          <w:b/>
        </w:rPr>
        <w:t xml:space="preserve">59</w:t>
      </w:r>
      <w:r>
        <w:t xml:space="preserve">, 104715 (2024). https://doi.org/10.1016/j.frl.2023.104715</w:t>
      </w:r>
    </w:p>
    <w:p>
      <w:pPr>
        <w:numPr>
          <w:ilvl w:val="0"/>
          <w:numId w:val="1001"/>
        </w:numPr>
        <w:pStyle w:val="Compact"/>
        <w:spacing w:line="360" w:lineRule="auto" w:after="120"/>
        <w:jc w:val="left"/>
      </w:pPr>
      <w:r>
        <w:t xml:space="preserve">Lien, D., Hung, P.-H., Zhu, J.-D. &amp; Chen, Y.-H. Price limit changes and market quality in the Taiwan Stock Exchange.</w:t>
      </w:r>
      <w:r>
        <w:t xml:space="preserve"> </w:t>
      </w:r>
      <w:r>
        <w:rPr>
          <w:iCs/>
          <w:i/>
        </w:rPr>
        <w:t xml:space="preserve">Pac.-Basin Finance J.</w:t>
      </w:r>
      <w:r>
        <w:t xml:space="preserve"> </w:t>
      </w:r>
      <w:r>
        <w:rPr>
          <w:bCs/>
          <w:b/>
        </w:rPr>
        <w:t xml:space="preserve">55</w:t>
      </w:r>
      <w:r>
        <w:t xml:space="preserve">, 239–258 (2019).</w:t>
      </w:r>
    </w:p>
    <w:p>
      <w:pPr>
        <w:numPr>
          <w:ilvl w:val="0"/>
          <w:numId w:val="1001"/>
        </w:numPr>
        <w:pStyle w:val="Compact"/>
        <w:spacing w:line="360" w:lineRule="auto" w:after="120"/>
        <w:jc w:val="left"/>
      </w:pPr>
      <w:r>
        <w:t xml:space="preserve">Kim, W. &amp; Jun, S. Effects of a price limit change on market stability at the intraday horizon in the Korean stock market.</w:t>
      </w:r>
      <w:r>
        <w:t xml:space="preserve"> </w:t>
      </w:r>
      <w:r>
        <w:rPr>
          <w:iCs/>
          <w:i/>
        </w:rPr>
        <w:t xml:space="preserve">Appl. Econ. Lett.</w:t>
      </w:r>
      <w:r>
        <w:t xml:space="preserve"> </w:t>
      </w:r>
      <w:r>
        <w:rPr>
          <w:bCs/>
          <w:b/>
        </w:rPr>
        <w:t xml:space="preserve">26</w:t>
      </w:r>
      <w:r>
        <w:t xml:space="preserve">, 582–586 (2019).</w:t>
      </w:r>
    </w:p>
    <w:p>
      <w:pPr>
        <w:numPr>
          <w:ilvl w:val="0"/>
          <w:numId w:val="1001"/>
        </w:numPr>
        <w:pStyle w:val="Compact"/>
        <w:spacing w:line="360" w:lineRule="auto" w:after="120"/>
        <w:jc w:val="left"/>
      </w:pPr>
      <w:r>
        <w:t xml:space="preserve">Chen, T., Gao, Z., He, J., Jiang, W. &amp; Xiong, W. Daily price limits and destructive market behavior.</w:t>
      </w:r>
      <w:r>
        <w:t xml:space="preserve"> </w:t>
      </w:r>
      <w:r>
        <w:rPr>
          <w:iCs/>
          <w:i/>
        </w:rPr>
        <w:t xml:space="preserve">J. Econom.</w:t>
      </w:r>
      <w:r>
        <w:t xml:space="preserve"> </w:t>
      </w:r>
      <w:r>
        <w:rPr>
          <w:bCs/>
          <w:b/>
        </w:rPr>
        <w:t xml:space="preserve">208</w:t>
      </w:r>
      <w:r>
        <w:t xml:space="preserve">, 249–264 (2019). https://doi.org/10.1016/j.jeconom.2018.09.014</w:t>
      </w:r>
    </w:p>
    <w:p>
      <w:pPr>
        <w:numPr>
          <w:ilvl w:val="0"/>
          <w:numId w:val="1001"/>
        </w:numPr>
        <w:pStyle w:val="Compact"/>
        <w:spacing w:line="360" w:lineRule="auto" w:after="120"/>
        <w:jc w:val="left"/>
      </w:pPr>
      <w:r>
        <w:t xml:space="preserve">Lin, F., Qiu, Z. &amp; Zheng, W. Cranes among chickens: the general-attention-grabbing effect of daily price limits in China’s stock market.</w:t>
      </w:r>
      <w:r>
        <w:t xml:space="preserve"> </w:t>
      </w:r>
      <w:r>
        <w:rPr>
          <w:iCs/>
          <w:i/>
        </w:rPr>
        <w:t xml:space="preserve">J. Bank. Finance</w:t>
      </w:r>
      <w:r>
        <w:t xml:space="preserve"> </w:t>
      </w:r>
      <w:r>
        <w:rPr>
          <w:bCs/>
          <w:b/>
        </w:rPr>
        <w:t xml:space="preserve">150</w:t>
      </w:r>
      <w:r>
        <w:t xml:space="preserve">, 106818 (2023). https://doi.org/10.1016/j.jbankfin.2023.106818</w:t>
      </w:r>
    </w:p>
    <w:p>
      <w:pPr>
        <w:numPr>
          <w:ilvl w:val="0"/>
          <w:numId w:val="1001"/>
        </w:numPr>
        <w:pStyle w:val="Compact"/>
        <w:spacing w:line="360" w:lineRule="auto" w:after="120"/>
        <w:jc w:val="left"/>
      </w:pPr>
      <w:r>
        <w:t xml:space="preserve">Zeng, Z., Wang, G. &amp; Tang, G. Price limits hitting effect and cross-sectional stock returns: evidence from China.</w:t>
      </w:r>
      <w:r>
        <w:t xml:space="preserve"> </w:t>
      </w:r>
      <w:r>
        <w:rPr>
          <w:iCs/>
          <w:i/>
        </w:rPr>
        <w:t xml:space="preserve">Financ. Res. Lett.</w:t>
      </w:r>
      <w:r>
        <w:t xml:space="preserve"> </w:t>
      </w:r>
      <w:r>
        <w:rPr>
          <w:bCs/>
          <w:b/>
        </w:rPr>
        <w:t xml:space="preserve">60</w:t>
      </w:r>
      <w:r>
        <w:t xml:space="preserve">, 104803 (2024). https://doi.org/10.1016/j.frl.2023.104803</w:t>
      </w:r>
    </w:p>
    <w:p>
      <w:pPr>
        <w:numPr>
          <w:ilvl w:val="0"/>
          <w:numId w:val="1001"/>
        </w:numPr>
        <w:pStyle w:val="Compact"/>
        <w:spacing w:line="360" w:lineRule="auto" w:after="120"/>
        <w:jc w:val="left"/>
      </w:pPr>
      <w:r>
        <w:t xml:space="preserve">Liang, H. &amp; Hu, Y. Stock price limit and its predictability in the Chinese stock market.</w:t>
      </w:r>
      <w:r>
        <w:t xml:space="preserve"> </w:t>
      </w:r>
      <w:r>
        <w:rPr>
          <w:iCs/>
          <w:i/>
        </w:rPr>
        <w:t xml:space="preserve">J. Forecast.</w:t>
      </w:r>
      <w:r>
        <w:t xml:space="preserve"> </w:t>
      </w:r>
      <w:r>
        <w:rPr>
          <w:bCs/>
          <w:b/>
        </w:rPr>
        <w:t xml:space="preserve">44</w:t>
      </w:r>
      <w:r>
        <w:t xml:space="preserve">, 297–319 (2025). https://doi.org/10.1002/for.3197</w:t>
      </w:r>
    </w:p>
    <w:p>
      <w:pPr>
        <w:numPr>
          <w:ilvl w:val="0"/>
          <w:numId w:val="1001"/>
        </w:numPr>
        <w:pStyle w:val="Compact"/>
        <w:spacing w:line="360" w:lineRule="auto" w:after="120"/>
        <w:jc w:val="left"/>
      </w:pPr>
      <w:r>
        <w:t xml:space="preserve">Kim, K. A. &amp; Limpaphayom, P. Characteristics of stocks that frequently hit price limits: empirical evidence from Taiwan and Thailand.</w:t>
      </w:r>
      <w:r>
        <w:t xml:space="preserve"> </w:t>
      </w:r>
      <w:r>
        <w:rPr>
          <w:iCs/>
          <w:i/>
        </w:rPr>
        <w:t xml:space="preserve">J. Financ. Mark.</w:t>
      </w:r>
      <w:r>
        <w:t xml:space="preserve"> </w:t>
      </w:r>
      <w:r>
        <w:rPr>
          <w:bCs/>
          <w:b/>
        </w:rPr>
        <w:t xml:space="preserve">3</w:t>
      </w:r>
      <w:r>
        <w:t xml:space="preserve">, 315–332 (2000).</w:t>
      </w:r>
    </w:p>
    <w:p>
      <w:pPr>
        <w:numPr>
          <w:ilvl w:val="0"/>
          <w:numId w:val="1001"/>
        </w:numPr>
        <w:pStyle w:val="Compact"/>
        <w:spacing w:line="360" w:lineRule="auto" w:after="120"/>
        <w:jc w:val="left"/>
      </w:pPr>
      <w:r>
        <w:t xml:space="preserve">Deb, S. S., Kalev, P. S. &amp; Marisetty, V. B. Flexible price limits: the case of Tokyo Stock Exchange.</w:t>
      </w:r>
      <w:r>
        <w:t xml:space="preserve"> </w:t>
      </w:r>
      <w:r>
        <w:rPr>
          <w:iCs/>
          <w:i/>
        </w:rPr>
        <w:t xml:space="preserve">J. Int. Financ. Mark. Inst. Money</w:t>
      </w:r>
      <w:r>
        <w:t xml:space="preserve"> </w:t>
      </w:r>
      <w:r>
        <w:rPr>
          <w:bCs/>
          <w:b/>
        </w:rPr>
        <w:t xml:space="preserve">24</w:t>
      </w:r>
      <w:r>
        <w:t xml:space="preserve">, 66–84 (2013).</w:t>
      </w:r>
    </w:p>
    <w:p>
      <w:pPr>
        <w:numPr>
          <w:ilvl w:val="0"/>
          <w:numId w:val="1001"/>
        </w:numPr>
        <w:pStyle w:val="Compact"/>
        <w:spacing w:line="360" w:lineRule="auto" w:after="120"/>
        <w:jc w:val="left"/>
      </w:pPr>
      <w:r>
        <w:t xml:space="preserve">Le, D. N. Evaluating impacts of reduction in fluctuation limit on stock price risks in Vietnam.</w:t>
      </w:r>
      <w:r>
        <w:t xml:space="preserve"> </w:t>
      </w:r>
      <w:r>
        <w:rPr>
          <w:iCs/>
          <w:i/>
        </w:rPr>
        <w:t xml:space="preserve">J. Econ. Dev. (Univ. Econ. Ho Chi Minh City)</w:t>
      </w:r>
      <w:r>
        <w:t xml:space="preserve"> </w:t>
      </w:r>
      <w:r>
        <w:rPr>
          <w:bCs/>
          <w:b/>
        </w:rPr>
        <w:t xml:space="preserve">214</w:t>
      </w:r>
      <w:r>
        <w:t xml:space="preserve">, 116–128 (2012). https://vjol.info.vn/ed/article/view/34298</w:t>
      </w:r>
    </w:p>
    <w:p>
      <w:pPr>
        <w:numPr>
          <w:ilvl w:val="0"/>
          <w:numId w:val="1001"/>
        </w:numPr>
        <w:pStyle w:val="Compact"/>
        <w:spacing w:line="360" w:lineRule="auto" w:after="120"/>
        <w:jc w:val="left"/>
      </w:pPr>
      <w:r>
        <w:t xml:space="preserve">Farber, A., Nguyen, V. N. &amp; Vuong, Q. H. Policy impacts on Vietnam stock market: a case of anomalies and disequilibria 2000–2006. CEB Working Paper No. 06/005 (Université Libre de Bruxelles, 2006). https://ideas.repec.org/p/sol/wpaper/06-005.html</w:t>
      </w:r>
    </w:p>
    <w:p>
      <w:pPr>
        <w:numPr>
          <w:ilvl w:val="0"/>
          <w:numId w:val="1001"/>
        </w:numPr>
        <w:pStyle w:val="Compact"/>
        <w:spacing w:line="360" w:lineRule="auto" w:after="120"/>
        <w:jc w:val="left"/>
      </w:pPr>
      <w:r>
        <w:t xml:space="preserve">Kelly, M. A. &amp; Clark, S. P. Returns in trading versus non-trading hours: the difference is day and night.</w:t>
      </w:r>
      <w:r>
        <w:t xml:space="preserve"> </w:t>
      </w:r>
      <w:r>
        <w:rPr>
          <w:iCs/>
          <w:i/>
        </w:rPr>
        <w:t xml:space="preserve">J. Asset Manag.</w:t>
      </w:r>
      <w:r>
        <w:t xml:space="preserve"> </w:t>
      </w:r>
      <w:r>
        <w:rPr>
          <w:bCs/>
          <w:b/>
        </w:rPr>
        <w:t xml:space="preserve">12</w:t>
      </w:r>
      <w:r>
        <w:t xml:space="preserve">, 132–145 (2011). https://doi.org/10.1057/jam.2011.2</w:t>
      </w:r>
    </w:p>
    <w:p>
      <w:pPr>
        <w:numPr>
          <w:ilvl w:val="0"/>
          <w:numId w:val="1001"/>
        </w:numPr>
        <w:pStyle w:val="Compact"/>
        <w:spacing w:line="360" w:lineRule="auto" w:after="120"/>
        <w:jc w:val="left"/>
      </w:pPr>
      <w:r>
        <w:t xml:space="preserve">Berkman, H., Koch, P. D., Tuttle, L. &amp; Zhang, Y. J. Paying attention: overnight returns and the hidden cost of buying at the open.</w:t>
      </w:r>
      <w:r>
        <w:t xml:space="preserve"> </w:t>
      </w:r>
      <w:r>
        <w:rPr>
          <w:iCs/>
          <w:i/>
        </w:rPr>
        <w:t xml:space="preserve">J. Financ. Quant. Anal.</w:t>
      </w:r>
      <w:r>
        <w:t xml:space="preserve"> </w:t>
      </w:r>
      <w:r>
        <w:rPr>
          <w:bCs/>
          <w:b/>
        </w:rPr>
        <w:t xml:space="preserve">47</w:t>
      </w:r>
      <w:r>
        <w:t xml:space="preserve">, 715–741 (2012). https://doi.org/10.1017/S0022109012000270</w:t>
      </w:r>
    </w:p>
    <w:p>
      <w:pPr>
        <w:numPr>
          <w:ilvl w:val="0"/>
          <w:numId w:val="1001"/>
        </w:numPr>
        <w:pStyle w:val="Compact"/>
        <w:spacing w:line="360" w:lineRule="auto" w:after="120"/>
        <w:jc w:val="left"/>
      </w:pPr>
      <w:r>
        <w:t xml:space="preserve">Aboody, D., Even-Tov, O., Lehavy, R. &amp; Trueman, B. Overnight returns and firm-specific investor sentiment.</w:t>
      </w:r>
      <w:r>
        <w:t xml:space="preserve"> </w:t>
      </w:r>
      <w:r>
        <w:rPr>
          <w:iCs/>
          <w:i/>
        </w:rPr>
        <w:t xml:space="preserve">J. Financ. Quant. Anal.</w:t>
      </w:r>
      <w:r>
        <w:t xml:space="preserve"> </w:t>
      </w:r>
      <w:r>
        <w:rPr>
          <w:bCs/>
          <w:b/>
        </w:rPr>
        <w:t xml:space="preserve">53</w:t>
      </w:r>
      <w:r>
        <w:t xml:space="preserve">, 485–505 (2018).</w:t>
      </w:r>
    </w:p>
    <w:p>
      <w:pPr>
        <w:numPr>
          <w:ilvl w:val="0"/>
          <w:numId w:val="1001"/>
        </w:numPr>
        <w:pStyle w:val="Compact"/>
        <w:spacing w:line="360" w:lineRule="auto" w:after="120"/>
        <w:jc w:val="left"/>
      </w:pPr>
      <w:r>
        <w:t xml:space="preserve">Lou, D., Polk, C. &amp; Skouras, S. A tug of war: overnight versus intraday expected returns.</w:t>
      </w:r>
      <w:r>
        <w:t xml:space="preserve"> </w:t>
      </w:r>
      <w:r>
        <w:rPr>
          <w:iCs/>
          <w:i/>
        </w:rPr>
        <w:t xml:space="preserve">J. Financ. Econ.</w:t>
      </w:r>
      <w:r>
        <w:t xml:space="preserve"> </w:t>
      </w:r>
      <w:r>
        <w:rPr>
          <w:bCs/>
          <w:b/>
        </w:rPr>
        <w:t xml:space="preserve">134</w:t>
      </w:r>
      <w:r>
        <w:t xml:space="preserve">, 192–213 (2019). https://doi.org/10.1016/j.jfineco.2019.03.011</w:t>
      </w:r>
    </w:p>
    <w:p>
      <w:pPr>
        <w:numPr>
          <w:ilvl w:val="0"/>
          <w:numId w:val="1001"/>
        </w:numPr>
        <w:pStyle w:val="Compact"/>
        <w:spacing w:line="360" w:lineRule="auto" w:after="120"/>
        <w:jc w:val="left"/>
      </w:pPr>
      <w:r>
        <w:t xml:space="preserve">Akbas, F., Boehmer, E., Jiang, C. &amp; Koch, P. D. Overnight returns, daytime reversals, and future stock returns.</w:t>
      </w:r>
      <w:r>
        <w:t xml:space="preserve"> </w:t>
      </w:r>
      <w:r>
        <w:rPr>
          <w:iCs/>
          <w:i/>
        </w:rPr>
        <w:t xml:space="preserve">J. Financ. Econ.</w:t>
      </w:r>
      <w:r>
        <w:t xml:space="preserve"> </w:t>
      </w:r>
      <w:r>
        <w:rPr>
          <w:bCs/>
          <w:b/>
        </w:rPr>
        <w:t xml:space="preserve">145</w:t>
      </w:r>
      <w:r>
        <w:t xml:space="preserve">, 850–875 (2022). https://doi.org/10.1016/j.jfineco.2021.09.019</w:t>
      </w:r>
    </w:p>
    <w:p>
      <w:pPr>
        <w:numPr>
          <w:ilvl w:val="0"/>
          <w:numId w:val="1001"/>
        </w:numPr>
        <w:pStyle w:val="Compact"/>
        <w:spacing w:line="360" w:lineRule="auto" w:after="120"/>
        <w:jc w:val="left"/>
      </w:pPr>
      <w:r>
        <w:t xml:space="preserve">Bogousslavsky, V. The cross-section of intraday and overnight returns.</w:t>
      </w:r>
      <w:r>
        <w:t xml:space="preserve"> </w:t>
      </w:r>
      <w:r>
        <w:rPr>
          <w:iCs/>
          <w:i/>
        </w:rPr>
        <w:t xml:space="preserve">J. Financ. Econ.</w:t>
      </w:r>
      <w:r>
        <w:t xml:space="preserve"> </w:t>
      </w:r>
      <w:r>
        <w:rPr>
          <w:bCs/>
          <w:b/>
        </w:rPr>
        <w:t xml:space="preserve">141</w:t>
      </w:r>
      <w:r>
        <w:t xml:space="preserve">, 172–194 (2021).</w:t>
      </w:r>
    </w:p>
    <w:p>
      <w:pPr>
        <w:numPr>
          <w:ilvl w:val="0"/>
          <w:numId w:val="1001"/>
        </w:numPr>
        <w:pStyle w:val="Compact"/>
        <w:spacing w:line="360" w:lineRule="auto" w:after="120"/>
        <w:jc w:val="left"/>
      </w:pPr>
      <w:r>
        <w:t xml:space="preserve">Lu, Z., Malliaris, S. G. &amp; Qin, Z. Heterogeneous liquidity providers and night-minus-day return predictability.</w:t>
      </w:r>
      <w:r>
        <w:t xml:space="preserve"> </w:t>
      </w:r>
      <w:r>
        <w:rPr>
          <w:iCs/>
          <w:i/>
        </w:rPr>
        <w:t xml:space="preserve">J. Financ. Econ.</w:t>
      </w:r>
      <w:r>
        <w:t xml:space="preserve"> </w:t>
      </w:r>
      <w:r>
        <w:rPr>
          <w:bCs/>
          <w:b/>
        </w:rPr>
        <w:t xml:space="preserve">148</w:t>
      </w:r>
      <w:r>
        <w:t xml:space="preserve">, 175–200 (2023).</w:t>
      </w:r>
    </w:p>
    <w:p>
      <w:pPr>
        <w:numPr>
          <w:ilvl w:val="0"/>
          <w:numId w:val="1001"/>
        </w:numPr>
        <w:pStyle w:val="Compact"/>
        <w:spacing w:line="360" w:lineRule="auto" w:after="120"/>
        <w:jc w:val="left"/>
      </w:pPr>
      <w:r>
        <w:t xml:space="preserve">Qiao, K. &amp; Dam, L.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 Financ. Mark.</w:t>
      </w:r>
      <w:r>
        <w:t xml:space="preserve"> </w:t>
      </w:r>
      <w:r>
        <w:rPr>
          <w:bCs/>
          <w:b/>
        </w:rPr>
        <w:t xml:space="preserve">50</w:t>
      </w:r>
      <w:r>
        <w:t xml:space="preserve">, 100534 (2020).</w:t>
      </w:r>
    </w:p>
    <w:p>
      <w:pPr>
        <w:numPr>
          <w:ilvl w:val="0"/>
          <w:numId w:val="1001"/>
        </w:numPr>
        <w:pStyle w:val="Compact"/>
        <w:spacing w:line="360" w:lineRule="auto" w:after="120"/>
        <w:jc w:val="left"/>
      </w:pPr>
      <w:r>
        <w:t xml:space="preserve">Gu, M., Hu, Y. &amp; Xiong, Z. Dissecting the lottery-like anomaly: evidence from China.</w:t>
      </w:r>
      <w:r>
        <w:t xml:space="preserve"> </w:t>
      </w:r>
      <w:r>
        <w:rPr>
          <w:iCs/>
          <w:i/>
        </w:rPr>
        <w:t xml:space="preserve">Account. Finance</w:t>
      </w:r>
      <w:r>
        <w:t xml:space="preserve"> </w:t>
      </w:r>
      <w:r>
        <w:rPr>
          <w:bCs/>
          <w:b/>
        </w:rPr>
        <w:t xml:space="preserve">65</w:t>
      </w:r>
      <w:r>
        <w:t xml:space="preserve">, 883–911 (2025). https://doi.org/10.1111/acfi.13354</w:t>
      </w:r>
    </w:p>
    <w:p>
      <w:pPr>
        <w:numPr>
          <w:ilvl w:val="0"/>
          <w:numId w:val="1001"/>
        </w:numPr>
        <w:pStyle w:val="Compact"/>
        <w:spacing w:line="360" w:lineRule="auto" w:after="120"/>
        <w:jc w:val="left"/>
      </w:pPr>
      <w:r>
        <w:t xml:space="preserve">Qiu, J., Huang, W. &amp; Jiang, Y. Day-night anomaly returns in China: the role of institutions.</w:t>
      </w:r>
      <w:r>
        <w:t xml:space="preserve"> </w:t>
      </w:r>
      <w:r>
        <w:rPr>
          <w:iCs/>
          <w:i/>
        </w:rPr>
        <w:t xml:space="preserve">Res. Int. Bus. Finance</w:t>
      </w:r>
      <w:r>
        <w:t xml:space="preserve"> </w:t>
      </w:r>
      <w:r>
        <w:rPr>
          <w:bCs/>
          <w:b/>
        </w:rPr>
        <w:t xml:space="preserve">75</w:t>
      </w:r>
      <w:r>
        <w:t xml:space="preserve">, 102776 (2025).</w:t>
      </w:r>
    </w:p>
    <w:p>
      <w:pPr>
        <w:numPr>
          <w:ilvl w:val="0"/>
          <w:numId w:val="1001"/>
        </w:numPr>
        <w:pStyle w:val="Compact"/>
        <w:spacing w:line="360" w:lineRule="auto" w:after="120"/>
        <w:jc w:val="left"/>
      </w:pPr>
      <w:r>
        <w:t xml:space="preserve">Jones, C. M., Shi, D., Zhang, X. &amp; Zhang, X. Retail trading and return predictability in China.</w:t>
      </w:r>
      <w:r>
        <w:t xml:space="preserve"> </w:t>
      </w:r>
      <w:r>
        <w:rPr>
          <w:iCs/>
          <w:i/>
        </w:rPr>
        <w:t xml:space="preserve">J. Financ. Quant. Anal.</w:t>
      </w:r>
      <w:r>
        <w:t xml:space="preserve"> </w:t>
      </w:r>
      <w:r>
        <w:rPr>
          <w:bCs/>
          <w:b/>
        </w:rPr>
        <w:t xml:space="preserve">60</w:t>
      </w:r>
      <w:r>
        <w:t xml:space="preserve">, 68–104 (2025).</w:t>
      </w:r>
    </w:p>
    <w:p>
      <w:pPr>
        <w:numPr>
          <w:ilvl w:val="0"/>
          <w:numId w:val="1001"/>
        </w:numPr>
        <w:pStyle w:val="Compact"/>
        <w:spacing w:line="360" w:lineRule="auto" w:after="120"/>
        <w:jc w:val="left"/>
      </w:pPr>
      <w:r>
        <w:t xml:space="preserve">Harvey, C. R., Liu, Y. &amp; Zhu, H. …and the cross-section of expected returns.</w:t>
      </w:r>
      <w:r>
        <w:t xml:space="preserve"> </w:t>
      </w:r>
      <w:r>
        <w:rPr>
          <w:iCs/>
          <w:i/>
        </w:rPr>
        <w:t xml:space="preserve">Rev. Financ. Stud.</w:t>
      </w:r>
      <w:r>
        <w:t xml:space="preserve"> </w:t>
      </w:r>
      <w:r>
        <w:rPr>
          <w:bCs/>
          <w:b/>
        </w:rPr>
        <w:t xml:space="preserve">29</w:t>
      </w:r>
      <w:r>
        <w:t xml:space="preserve">, 5–68 (2016). https://doi.org/10.1093/rfs/hhv059</w:t>
      </w:r>
    </w:p>
    <w:p>
      <w:pPr>
        <w:numPr>
          <w:ilvl w:val="0"/>
          <w:numId w:val="1001"/>
        </w:numPr>
        <w:pStyle w:val="Compact"/>
        <w:spacing w:line="360" w:lineRule="auto" w:after="120"/>
        <w:jc w:val="left"/>
      </w:pPr>
      <w:r>
        <w:t xml:space="preserve">Harvey, C. R. &amp; Liu, Y. False (and missed) discoveries in financial economics.</w:t>
      </w:r>
      <w:r>
        <w:t xml:space="preserve"> </w:t>
      </w:r>
      <w:r>
        <w:rPr>
          <w:iCs/>
          <w:i/>
        </w:rPr>
        <w:t xml:space="preserve">J. Finance</w:t>
      </w:r>
      <w:r>
        <w:t xml:space="preserve"> </w:t>
      </w:r>
      <w:r>
        <w:rPr>
          <w:bCs/>
          <w:b/>
        </w:rPr>
        <w:t xml:space="preserve">75</w:t>
      </w:r>
      <w:r>
        <w:t xml:space="preserve">, 2503–2553 (2020). https://doi.org/10.1111/jofi.12951</w:t>
      </w:r>
    </w:p>
    <w:p>
      <w:pPr>
        <w:numPr>
          <w:ilvl w:val="0"/>
          <w:numId w:val="1001"/>
        </w:numPr>
        <w:pStyle w:val="Compact"/>
        <w:spacing w:line="360" w:lineRule="auto" w:after="120"/>
        <w:jc w:val="left"/>
      </w:pPr>
      <w:r>
        <w:t xml:space="preserve">Chordia, T., Goyal, A. &amp; Saretto, A. Anomalies and false rejections.</w:t>
      </w:r>
      <w:r>
        <w:t xml:space="preserve"> </w:t>
      </w:r>
      <w:r>
        <w:rPr>
          <w:iCs/>
          <w:i/>
        </w:rPr>
        <w:t xml:space="preserve">Rev. Financ. Stud.</w:t>
      </w:r>
      <w:r>
        <w:t xml:space="preserve"> </w:t>
      </w:r>
      <w:r>
        <w:rPr>
          <w:bCs/>
          <w:b/>
        </w:rPr>
        <w:t xml:space="preserve">33</w:t>
      </w:r>
      <w:r>
        <w:t xml:space="preserve">, 2134–2179 (2020).</w:t>
      </w:r>
    </w:p>
    <w:p>
      <w:pPr>
        <w:numPr>
          <w:ilvl w:val="0"/>
          <w:numId w:val="1001"/>
        </w:numPr>
        <w:pStyle w:val="Compact"/>
        <w:spacing w:line="360" w:lineRule="auto" w:after="120"/>
        <w:jc w:val="left"/>
      </w:pPr>
      <w:r>
        <w:t xml:space="preserve">Hou, K., Xue, C. &amp; Zhang, L. Replicating anomalies.</w:t>
      </w:r>
      <w:r>
        <w:t xml:space="preserve"> </w:t>
      </w:r>
      <w:r>
        <w:rPr>
          <w:iCs/>
          <w:i/>
        </w:rPr>
        <w:t xml:space="preserve">Rev. Financ. Stud.</w:t>
      </w:r>
      <w:r>
        <w:t xml:space="preserve"> </w:t>
      </w:r>
      <w:r>
        <w:rPr>
          <w:bCs/>
          <w:b/>
        </w:rPr>
        <w:t xml:space="preserve">33</w:t>
      </w:r>
      <w:r>
        <w:t xml:space="preserve">, 2019–2133 (2020).</w:t>
      </w:r>
    </w:p>
    <w:p>
      <w:pPr>
        <w:numPr>
          <w:ilvl w:val="0"/>
          <w:numId w:val="1001"/>
        </w:numPr>
        <w:pStyle w:val="Compact"/>
        <w:spacing w:line="360" w:lineRule="auto" w:after="120"/>
        <w:jc w:val="left"/>
      </w:pPr>
      <w:r>
        <w:t xml:space="preserve">Huang, X., Liu, C. &amp; Shu, T. Factors and anomalies in the Vietnamese stock market.</w:t>
      </w:r>
      <w:r>
        <w:t xml:space="preserve"> </w:t>
      </w:r>
      <w:r>
        <w:rPr>
          <w:iCs/>
          <w:i/>
        </w:rPr>
        <w:t xml:space="preserve">Pac.-Basin Finance J.</w:t>
      </w:r>
      <w:r>
        <w:t xml:space="preserve"> </w:t>
      </w:r>
      <w:r>
        <w:rPr>
          <w:bCs/>
          <w:b/>
        </w:rPr>
        <w:t xml:space="preserve">82</w:t>
      </w:r>
      <w:r>
        <w:t xml:space="preserve">, 102176 (2023).</w:t>
      </w:r>
    </w:p>
    <w:p>
      <w:pPr>
        <w:numPr>
          <w:ilvl w:val="0"/>
          <w:numId w:val="1001"/>
        </w:numPr>
        <w:pStyle w:val="Compact"/>
        <w:spacing w:line="360" w:lineRule="auto" w:after="120"/>
        <w:jc w:val="left"/>
      </w:pPr>
      <w:r>
        <w:t xml:space="preserve">Benjamini, Y. &amp; Hochberg, Y. Controlling the false discovery rate: a practical and powerful approach to multiple testing.</w:t>
      </w:r>
      <w:r>
        <w:t xml:space="preserve"> </w:t>
      </w:r>
      <w:r>
        <w:rPr>
          <w:iCs/>
          <w:i/>
        </w:rPr>
        <w:t xml:space="preserve">J. R. Stat. Soc. Ser. B</w:t>
      </w:r>
      <w:r>
        <w:t xml:space="preserve"> </w:t>
      </w:r>
      <w:r>
        <w:rPr>
          <w:bCs/>
          <w:b/>
        </w:rPr>
        <w:t xml:space="preserve">57</w:t>
      </w:r>
      <w:r>
        <w:t xml:space="preserve">, 289–300 (1995). https://doi.org/10.1111/j.2517-6161.1995.tb02031.x</w:t>
      </w:r>
    </w:p>
    <w:p>
      <w:pPr>
        <w:numPr>
          <w:ilvl w:val="0"/>
          <w:numId w:val="1001"/>
        </w:numPr>
        <w:pStyle w:val="Compact"/>
        <w:spacing w:line="360" w:lineRule="auto" w:after="120"/>
        <w:jc w:val="left"/>
      </w:pPr>
      <w:r>
        <w:t xml:space="preserve">Holm, S. A simple sequentially rejective multiple test procedure.</w:t>
      </w:r>
      <w:r>
        <w:t xml:space="preserve"> </w:t>
      </w:r>
      <w:r>
        <w:rPr>
          <w:iCs/>
          <w:i/>
        </w:rPr>
        <w:t xml:space="preserve">Scand. J. Stat.</w:t>
      </w:r>
      <w:r>
        <w:t xml:space="preserve"> </w:t>
      </w:r>
      <w:r>
        <w:rPr>
          <w:bCs/>
          <w:b/>
        </w:rPr>
        <w:t xml:space="preserve">6</w:t>
      </w:r>
      <w:r>
        <w:t xml:space="preserve">, 65–70 (1979).</w:t>
      </w:r>
    </w:p>
    <w:p>
      <w:pPr>
        <w:numPr>
          <w:ilvl w:val="0"/>
          <w:numId w:val="1001"/>
        </w:numPr>
        <w:pStyle w:val="Compact"/>
        <w:spacing w:line="360" w:lineRule="auto" w:after="120"/>
        <w:jc w:val="left"/>
      </w:pPr>
      <w:r>
        <w:t xml:space="preserve">HSC. Important changes of new trading system. Ho Chi Minh City Securities Corporation https://www.hsc.com.vn/en/important-changes-of-new-trading-system (2025). Accessed 5 October 2026.</w:t>
      </w:r>
    </w:p>
    <w:p>
      <w:pPr>
        <w:numPr>
          <w:ilvl w:val="0"/>
          <w:numId w:val="1001"/>
        </w:numPr>
        <w:pStyle w:val="Compact"/>
        <w:spacing w:line="360" w:lineRule="auto" w:after="120"/>
        <w:jc w:val="left"/>
      </w:pPr>
      <w:r>
        <w:t xml:space="preserve">Viet Nam News. KRX system officially goes live. https://vietnamnews.vn/economy/1717047/krx-system-officially-goes-live.html (2025). Accessed 5 October 2026.</w:t>
      </w:r>
    </w:p>
    <w:p>
      <w:pPr>
        <w:numPr>
          <w:ilvl w:val="0"/>
          <w:numId w:val="1001"/>
        </w:numPr>
        <w:pStyle w:val="Compact"/>
        <w:spacing w:line="360" w:lineRule="auto" w:after="120"/>
        <w:jc w:val="left"/>
      </w:pPr>
      <w:r>
        <w:t xml:space="preserve">Cameron, A. C., Gelbach, J. B. &amp; Miller, D. L. Robust inference with multiway clustering.</w:t>
      </w:r>
      <w:r>
        <w:t xml:space="preserve"> </w:t>
      </w:r>
      <w:r>
        <w:rPr>
          <w:iCs/>
          <w:i/>
        </w:rPr>
        <w:t xml:space="preserve">J. Bus. Econ. Stat.</w:t>
      </w:r>
      <w:r>
        <w:t xml:space="preserve"> </w:t>
      </w:r>
      <w:r>
        <w:rPr>
          <w:bCs/>
          <w:b/>
        </w:rPr>
        <w:t xml:space="preserve">29</w:t>
      </w:r>
      <w:r>
        <w:t xml:space="preserve">, 238–249 (2011). https://doi.org/10.1198/jbes.2010.07136</w:t>
      </w:r>
    </w:p>
    <w:p>
      <w:pPr>
        <w:numPr>
          <w:ilvl w:val="0"/>
          <w:numId w:val="1001"/>
        </w:numPr>
        <w:pStyle w:val="Compact"/>
        <w:spacing w:line="360" w:lineRule="auto" w:after="120"/>
        <w:jc w:val="left"/>
      </w:pPr>
      <w:r>
        <w:t xml:space="preserve">Fama, E. F. &amp; MacBeth, J. D. Risk, return, and equilibrium: empirical tests.</w:t>
      </w:r>
      <w:r>
        <w:t xml:space="preserve"> </w:t>
      </w:r>
      <w:r>
        <w:rPr>
          <w:iCs/>
          <w:i/>
        </w:rPr>
        <w:t xml:space="preserve">J. Polit. Econ.</w:t>
      </w:r>
      <w:r>
        <w:t xml:space="preserve"> </w:t>
      </w:r>
      <w:r>
        <w:rPr>
          <w:bCs/>
          <w:b/>
        </w:rPr>
        <w:t xml:space="preserve">81</w:t>
      </w:r>
      <w:r>
        <w:t xml:space="preserve">, 607–636 (1973). https://doi.org/10.1086/260061</w:t>
      </w:r>
    </w:p>
    <w:p>
      <w:pPr>
        <w:numPr>
          <w:ilvl w:val="0"/>
          <w:numId w:val="1001"/>
        </w:numPr>
        <w:pStyle w:val="Compact"/>
        <w:spacing w:line="360" w:lineRule="auto" w:after="120"/>
        <w:jc w:val="left"/>
      </w:pPr>
      <w:r>
        <w:t xml:space="preserve">Newey, W. K. &amp; West, K. D. A simple, positive semi-definite, heteroskedasticity and autocorrelation consistent covariance matrix.</w:t>
      </w:r>
      <w:r>
        <w:t xml:space="preserve"> </w:t>
      </w:r>
      <w:r>
        <w:rPr>
          <w:iCs/>
          <w:i/>
        </w:rPr>
        <w:t xml:space="preserve">Econometrica</w:t>
      </w:r>
      <w:r>
        <w:t xml:space="preserve"> </w:t>
      </w:r>
      <w:r>
        <w:rPr>
          <w:bCs/>
          <w:b/>
        </w:rPr>
        <w:t xml:space="preserve">55</w:t>
      </w:r>
      <w:r>
        <w:t xml:space="preserve">, 703–708 (1987). https://doi.org/10.2307/1913610</w:t>
      </w:r>
    </w:p>
    <w:p>
      <w:pPr>
        <w:pStyle w:val="Heading2"/>
        <w:jc w:val="left"/>
      </w:pPr>
      <w:r>
        <w:t xml:space="preserve">Acknowledgements</w:t>
      </w:r>
    </w:p>
    <w:p>
      <w:pPr>
        <w:pStyle w:val="FirstParagraph"/>
        <w:spacing w:line="360" w:lineRule="auto" w:after="120"/>
        <w:jc w:val="left"/>
      </w:pPr>
      <w:r>
        <w:t xml:space="preserve">The authors received no assistance beyond that described in Methods.</w:t>
      </w:r>
    </w:p>
    <w:p>
      <w:pPr>
        <w:pStyle w:val="Heading2"/>
        <w:jc w:val="left"/>
      </w:pPr>
      <w:r>
        <w:t xml:space="preserve">Author contributions</w:t>
      </w:r>
    </w:p>
    <w:p>
      <w:pPr>
        <w:pStyle w:val="FirstParagraph"/>
        <w:spacing w:line="360" w:lineRule="auto" w:after="120"/>
        <w:jc w:val="left"/>
      </w:pPr>
      <w:r>
        <w:t xml:space="preserve">H.H.H. contributed to the methodology and validation and reviewed and edited the manuscript. N.V.T. conceived the study, curated the data, performed the formal analysis, developed the methodology and software, produced the visualizations, administered the project and wrote the original draft. N.T.B. conceived the study, supervised the work, validated the results, and reviewed and edited the manuscript.</w:t>
      </w:r>
    </w:p>
    <w:p>
      <w:pPr>
        <w:pStyle w:val="Heading2"/>
        <w:jc w:val="left"/>
      </w:pPr>
      <w:r>
        <w:t xml:space="preserve">Funding</w:t>
      </w:r>
    </w:p>
    <w:p>
      <w:pPr>
        <w:pStyle w:val="FirstParagraph"/>
        <w:spacing w:line="360" w:lineRule="auto" w:after="120"/>
        <w:jc w:val="left"/>
      </w:pPr>
      <w:r>
        <w:t xml:space="preserve">This research did not receive any financial support.</w:t>
      </w:r>
    </w:p>
    <w:p>
      <w:pPr>
        <w:pStyle w:val="Heading2"/>
        <w:jc w:val="left"/>
      </w:pPr>
      <w:r>
        <w:t xml:space="preserve">Competing interests</w:t>
      </w:r>
    </w:p>
    <w:p>
      <w:pPr>
        <w:pStyle w:val="FirstParagraph"/>
        <w:spacing w:line="360" w:lineRule="auto" w:after="120"/>
        <w:jc w:val="left"/>
      </w:pPr>
      <w:r>
        <w:t xml:space="preserve">The authors declare no competing interests.</w:t>
      </w:r>
    </w:p>
    <w:p>
      <w:pPr>
        <w:pStyle w:val="Heading2"/>
        <w:jc w:val="left"/>
      </w:pPr>
      <w:r>
        <w:t xml:space="preserve">Additional information</w:t>
      </w:r>
    </w:p>
    <w:p>
      <w:pPr>
        <w:pStyle w:val="FirstParagraph"/>
        <w:spacing w:line="360" w:lineRule="auto" w:after="120"/>
        <w:jc w:val="left"/>
      </w:pPr>
      <w:r>
        <w:rPr>
          <w:bCs/>
          <w:b/>
        </w:rPr>
        <w:t xml:space="preserve">Supplementary information</w:t>
      </w:r>
      <w:r>
        <w:t xml:space="preserve"> </w:t>
      </w:r>
      <w:r>
        <w:t xml:space="preserve">is provided in a separate file.</w:t>
      </w:r>
      <w:r>
        <w:t xml:space="preserve"> </w:t>
      </w:r>
      <w:r>
        <w:rPr>
          <w:bCs/>
          <w:b/>
        </w:rPr>
        <w:t xml:space="preserve">Correspondence</w:t>
      </w:r>
      <w:r>
        <w:t xml:space="preserve"> </w:t>
      </w:r>
      <w:r>
        <w:t xml:space="preserve">and requests for materials should be addressed to N.V.T.</w:t>
      </w:r>
    </w:p>
    <w:p>
      <w:pPr>
        <w:pStyle w:val="Heading2"/>
        <w:jc w:val="left"/>
      </w:pPr>
      <w:r>
        <w:t xml:space="preserve">Figure legends</w:t>
      </w:r>
    </w:p>
    <w:p>
      <w:pPr>
        <w:pStyle w:val="FirstParagraph"/>
        <w:spacing w:line="360" w:lineRule="auto" w:after="120"/>
        <w:jc w:val="left"/>
      </w:pPr>
      <w:r>
        <w:drawing>
          <wp:inline>
            <wp:extent cx="4859999" cy="3992142"/>
            <wp:effectExtent b="0" l="0" r="0" t="0"/>
            <wp:docPr descr="" title="" id="21" name="Picture"/>
            <a:graphic>
              <a:graphicData uri="http://schemas.openxmlformats.org/drawingml/2006/picture">
                <pic:pic>
                  <pic:nvPicPr>
                    <pic:cNvPr descr="Figure_1.png" id="22" name="Picture"/>
                    <pic:cNvPicPr>
                      <a:picLocks noChangeArrowheads="1" noChangeAspect="1"/>
                    </pic:cNvPicPr>
                  </pic:nvPicPr>
                  <pic:blipFill>
                    <a:blip r:embed="rId20"/>
                    <a:stretch>
                      <a:fillRect/>
                    </a:stretch>
                  </pic:blipFill>
                  <pic:spPr bwMode="auto">
                    <a:xfrm>
                      <a:off x="0" y="0"/>
                      <a:ext cx="4859999" cy="3992142"/>
                    </a:xfrm>
                    <a:prstGeom prst="rect">
                      <a:avLst/>
                    </a:prstGeom>
                    <a:noFill/>
                    <a:ln w="9525">
                      <a:noFill/>
                      <a:headEnd/>
                      <a:tailEnd/>
                    </a:ln>
                  </pic:spPr>
                </pic:pic>
              </a:graphicData>
            </a:graphic>
          </wp:inline>
        </w:drawing>
      </w:r>
    </w:p>
    <w:p>
      <w:pPr>
        <w:pStyle w:val="BodyText"/>
        <w:spacing w:line="360" w:lineRule="auto" w:after="120"/>
        <w:jc w:val="left"/>
      </w:pPr>
      <w:r>
        <w:rPr>
          <w:bCs/>
          <w:b/>
        </w:rPr>
        <w:t xml:space="preserve">Figure 1. Fama–MacBeth</w:t>
      </w:r>
      <w:r>
        <w:rPr>
          <w:bCs/>
          <w:b/>
        </w:rPr>
        <w:t xml:space="preserve"> </w:t>
      </w:r>
      <w:r>
        <w:rPr>
          <w:iCs/>
          <w:i/>
          <w:bCs/>
          <w:b/>
        </w:rPr>
        <w:t xml:space="preserve">t</w:t>
      </w:r>
      <w:r>
        <w:rPr>
          <w:bCs/>
          <w:b/>
        </w:rPr>
        <w:t xml:space="preserve">-statistics of 22 characteristics.</w:t>
      </w:r>
      <w:r>
        <w:t xml:space="preserve"> </w:t>
      </w:r>
      <w:r>
        <w:t xml:space="preserve">Circles show the full sample, triangles the discovery half (first 39 weeks) and squares the confirmation half. Characteristics are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w:t>
      </w:r>
      <w:r>
        <w:t xml:space="preserve"> </w:t>
      </w:r>
      <w:r>
        <w:rPr>
          <w:iCs/>
          <w:i/>
        </w:rPr>
        <w:t xml:space="preserve">n</w:t>
      </w:r>
      <w:r>
        <w:t xml:space="preserve"> </w:t>
      </w:r>
      <w:r>
        <w:t xml:space="preserve">= 79 weekly cross-sections; Newey–West standard errors with four lags. Supplementary Note 1 defines the labels.</w:t>
      </w:r>
    </w:p>
    <w:p>
      <w:pPr>
        <w:pStyle w:val="BodyText"/>
        <w:spacing w:line="360" w:lineRule="auto" w:after="120"/>
        <w:jc w:val="left"/>
      </w:pPr>
      <w:r>
        <w:drawing>
          <wp:inline>
            <wp:extent cx="5334000" cy="2090351"/>
            <wp:effectExtent b="0" l="0" r="0" t="0"/>
            <wp:docPr descr="" title="" id="24" name="Picture"/>
            <a:graphic>
              <a:graphicData uri="http://schemas.openxmlformats.org/drawingml/2006/picture">
                <pic:pic>
                  <pic:nvPicPr>
                    <pic:cNvPr descr="Figure_2.png" id="25" name="Picture"/>
                    <pic:cNvPicPr>
                      <a:picLocks noChangeArrowheads="1" noChangeAspect="1"/>
                    </pic:cNvPicPr>
                  </pic:nvPicPr>
                  <pic:blipFill>
                    <a:blip r:embed="rId23"/>
                    <a:stretch>
                      <a:fillRect/>
                    </a:stretch>
                  </pic:blipFill>
                  <pic:spPr bwMode="auto">
                    <a:xfrm>
                      <a:off x="0" y="0"/>
                      <a:ext cx="5334000" cy="2090351"/>
                    </a:xfrm>
                    <a:prstGeom prst="rect">
                      <a:avLst/>
                    </a:prstGeom>
                    <a:noFill/>
                    <a:ln w="9525">
                      <a:noFill/>
                      <a:headEnd/>
                      <a:tailEnd/>
                    </a:ln>
                  </pic:spPr>
                </pic:pic>
              </a:graphicData>
            </a:graphic>
          </wp:inline>
        </w:drawing>
      </w:r>
    </w:p>
    <w:p>
      <w:pPr>
        <w:pStyle w:val="BodyText"/>
        <w:spacing w:line="360" w:lineRule="auto" w:after="120"/>
        <w:jc w:val="left"/>
      </w:pPr>
      <w:r>
        <w:rPr>
          <w:bCs/>
          <w:b/>
        </w:rPr>
        <w:t xml:space="preserve">Figure 2. Next-day abnormal return by the size of the day-</w:t>
      </w:r>
      <w:r>
        <w:rPr>
          <w:iCs/>
          <w:i/>
          <w:bCs/>
          <w:b/>
        </w:rPr>
        <w:t xml:space="preserve">d</w:t>
      </w:r>
      <w:r>
        <w:rPr>
          <w:bCs/>
          <w:b/>
        </w:rPr>
        <w:t xml:space="preserve"> </w:t>
      </w:r>
      <w:r>
        <w:rPr>
          <w:bCs/>
          <w:b/>
        </w:rPr>
        <w:t xml:space="preserve">move.</w:t>
      </w:r>
      <w:r>
        <w:t xml:space="preserve"> </w:t>
      </w:r>
      <w:r>
        <w:rPr>
          <w:bCs/>
          <w:b/>
        </w:rPr>
        <w:t xml:space="preserve">a</w:t>
      </w:r>
      <w:r>
        <w:t xml:space="preserve">, Overnight gap.</w:t>
      </w:r>
      <w:r>
        <w:t xml:space="preserve"> </w:t>
      </w:r>
      <w:r>
        <w:rPr>
          <w:bCs/>
          <w:b/>
        </w:rPr>
        <w:t xml:space="preserve">b</w:t>
      </w:r>
      <w:r>
        <w:t xml:space="preserve">, Intraday return.</w:t>
      </w:r>
      <w:r>
        <w:t xml:space="preserve"> </w:t>
      </w:r>
      <w:r>
        <w:rPr>
          <w:bCs/>
          <w:b/>
        </w:rPr>
        <w:t xml:space="preserve">c</w:t>
      </w:r>
      <w:r>
        <w:t xml:space="preserve">, Close-to-close return. Circles show 1-point bins inside the band, triangles ceiling and floor closes, and squares other moves of 6.5% to 10%. Error bars are 95% confidence intervals clustered by date. Market weights are lagged to day</w:t>
      </w:r>
      <w:r>
        <w:t xml:space="preserve"> </w:t>
      </w:r>
      <w:r>
        <w:rPr>
          <w:iCs/>
          <w:i/>
        </w:rPr>
        <w:t xml:space="preserve">d</w:t>
      </w:r>
      <w:r>
        <w:t xml:space="preserve">.</w:t>
      </w:r>
    </w:p>
    <w:p>
      <w:pPr>
        <w:pStyle w:val="Heading2"/>
        <w:jc w:val="left"/>
      </w:pPr>
      <w:r>
        <w:t xml:space="preserve">Tables</w:t>
      </w:r>
    </w:p>
    <w:p>
      <w:pPr>
        <w:pStyle w:val="FirstParagraph"/>
        <w:spacing w:line="360" w:lineRule="auto" w:after="120"/>
        <w:jc w:val="left"/>
      </w:pPr>
      <w:r>
        <w:rPr>
          <w:bCs/>
          <w:b/>
        </w:rPr>
        <w:t xml:space="preserve">Table 1.</w:t>
      </w:r>
      <w:r>
        <w:t xml:space="preserve"> </w:t>
      </w:r>
      <w:r>
        <w:t xml:space="preserve">Market-adjusted returns after ceiling and floor closes</w:t>
      </w:r>
    </w:p>
    <w:tbl>
      <w:tblPr>
        <w:tblStyle w:val="Table"/>
        <w:tblW w:type="pct" w:w="5000"/>
        <w:tblLayout w:type="fixed"/>
        <w:tblLook w:firstRow="1" w:lastRow="0" w:firstColumn="0" w:lastColumn="0" w:noHBand="0" w:noVBand="0" w:val="0020"/>
        <w:jc w:val="start"/>
      </w:tblPr>
      <w:tblGrid>
        <w:gridCol w:w="1133"/>
        <w:gridCol w:w="1133"/>
        <w:gridCol w:w="1133"/>
        <w:gridCol w:w="1133"/>
        <w:gridCol w:w="1133"/>
        <w:gridCol w:w="1133"/>
        <w:gridCol w:w="1133"/>
        <w:gridCol w:w="1133"/>
      </w:tblGrid>
      <w:tr>
        <w:trPr>
          <w:tblHeader w:val="true"/>
        </w:trPr>
        <w:tc>
          <w:tcPr>
            <w:tcW w:type="dxa" w:w="1134"/>
            <w:tcBorders>
              <w:top w:val="single" w:sz="6" w:space="0" w:color="000000"/>
              <w:bottom w:val="single" w:sz="6" w:space="0" w:color="000000"/>
            </w:tcBorders>
          </w:tcPr>
          <w:p>
            <w:pPr>
              <w:pStyle w:val="Compact"/>
              <w:spacing w:line="240" w:lineRule="auto" w:after="20"/>
              <w:jc w:val="left"/>
            </w:pPr>
            <w:r>
              <w:rPr>
                <w:b/>
                <w:sz w:val="17"/>
              </w:rPr>
              <w:t xml:space="preserve">Event</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Horizon</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Mean (%)</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(date)</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(week)</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(10-day)</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(halves)</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Events</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+1</w:t>
            </w:r>
          </w:p>
        </w:tc>
        <w:tc>
          <w:tcPr>
            <w:tcW w:type="dxa" w:w="1134"/>
          </w:tcPr>
          <w:p>
            <w:pPr>
              <w:pStyle w:val="Compact"/>
              <w:spacing w:line="240" w:lineRule="auto" w:after="20"/>
              <w:jc w:val="center"/>
            </w:pPr>
            <w:r>
              <w:rPr>
                <w:sz w:val="17"/>
              </w:rPr>
              <w:t xml:space="preserve">1.66</w:t>
            </w:r>
          </w:p>
        </w:tc>
        <w:tc>
          <w:tcPr>
            <w:tcW w:type="dxa" w:w="1134"/>
          </w:tcPr>
          <w:p>
            <w:pPr>
              <w:pStyle w:val="Compact"/>
              <w:spacing w:line="240" w:lineRule="auto" w:after="20"/>
              <w:jc w:val="center"/>
            </w:pPr>
            <w:r>
              <w:rPr>
                <w:sz w:val="17"/>
              </w:rPr>
              <w:t xml:space="preserve">4.90</w:t>
            </w:r>
          </w:p>
        </w:tc>
        <w:tc>
          <w:tcPr>
            <w:tcW w:type="dxa" w:w="1134"/>
          </w:tcPr>
          <w:p>
            <w:pPr>
              <w:pStyle w:val="Compact"/>
              <w:spacing w:line="240" w:lineRule="auto" w:after="20"/>
              <w:jc w:val="center"/>
            </w:pPr>
            <w:r>
              <w:rPr>
                <w:sz w:val="17"/>
              </w:rPr>
              <w:t xml:space="preserve">4.67</w:t>
            </w:r>
          </w:p>
        </w:tc>
        <w:tc>
          <w:tcPr>
            <w:tcW w:type="dxa" w:w="1134"/>
          </w:tcPr>
          <w:p>
            <w:pPr>
              <w:pStyle w:val="Compact"/>
              <w:spacing w:line="240" w:lineRule="auto" w:after="20"/>
              <w:jc w:val="center"/>
            </w:pPr>
            <w:r>
              <w:rPr>
                <w:sz w:val="17"/>
              </w:rPr>
              <w:t xml:space="preserve">4.61</w:t>
            </w:r>
          </w:p>
        </w:tc>
        <w:tc>
          <w:tcPr>
            <w:tcW w:type="dxa" w:w="1134"/>
          </w:tcPr>
          <w:p>
            <w:pPr>
              <w:pStyle w:val="Compact"/>
              <w:spacing w:line="240" w:lineRule="auto" w:after="20"/>
              <w:jc w:val="center"/>
            </w:pPr>
            <w:r>
              <w:rPr>
                <w:sz w:val="17"/>
              </w:rPr>
              <w:t xml:space="preserve">2.2 / 13.7</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+1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1.45</w:t>
            </w:r>
          </w:p>
        </w:tc>
        <w:tc>
          <w:tcPr>
            <w:tcW w:type="dxa" w:w="1134"/>
          </w:tcPr>
          <w:p>
            <w:pPr>
              <w:pStyle w:val="Compact"/>
              <w:spacing w:line="240" w:lineRule="auto" w:after="20"/>
              <w:jc w:val="center"/>
            </w:pPr>
            <w:r>
              <w:rPr>
                <w:sz w:val="17"/>
              </w:rPr>
              <w:t xml:space="preserve">4.00</w:t>
            </w:r>
          </w:p>
        </w:tc>
        <w:tc>
          <w:tcPr>
            <w:tcW w:type="dxa" w:w="1134"/>
          </w:tcPr>
          <w:p>
            <w:pPr>
              <w:pStyle w:val="Compact"/>
              <w:spacing w:line="240" w:lineRule="auto" w:after="20"/>
              <w:jc w:val="center"/>
            </w:pPr>
            <w:r>
              <w:rPr>
                <w:sz w:val="17"/>
              </w:rPr>
              <w:t xml:space="preserve">3.67</w:t>
            </w:r>
          </w:p>
        </w:tc>
        <w:tc>
          <w:tcPr>
            <w:tcW w:type="dxa" w:w="1134"/>
          </w:tcPr>
          <w:p>
            <w:pPr>
              <w:pStyle w:val="Compact"/>
              <w:spacing w:line="240" w:lineRule="auto" w:after="20"/>
              <w:jc w:val="center"/>
            </w:pPr>
            <w:r>
              <w:rPr>
                <w:sz w:val="17"/>
              </w:rPr>
              <w:t xml:space="preserve">3.81</w:t>
            </w:r>
          </w:p>
        </w:tc>
        <w:tc>
          <w:tcPr>
            <w:tcW w:type="dxa" w:w="1134"/>
          </w:tcPr>
          <w:p>
            <w:pPr>
              <w:pStyle w:val="Compact"/>
              <w:spacing w:line="240" w:lineRule="auto" w:after="20"/>
              <w:jc w:val="center"/>
            </w:pPr>
            <w:r>
              <w:rPr>
                <w:sz w:val="17"/>
              </w:rPr>
              <w:t xml:space="preserve">1.7 / 5.0</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+2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−0.24</w:t>
            </w:r>
          </w:p>
        </w:tc>
        <w:tc>
          <w:tcPr>
            <w:tcW w:type="dxa" w:w="1134"/>
          </w:tcPr>
          <w:p>
            <w:pPr>
              <w:pStyle w:val="Compact"/>
              <w:spacing w:line="240" w:lineRule="auto" w:after="20"/>
              <w:jc w:val="center"/>
            </w:pPr>
            <w:r>
              <w:rPr>
                <w:sz w:val="17"/>
              </w:rPr>
              <w:t xml:space="preserve">−1.53</w:t>
            </w:r>
          </w:p>
        </w:tc>
        <w:tc>
          <w:tcPr>
            <w:tcW w:type="dxa" w:w="1134"/>
          </w:tcPr>
          <w:p>
            <w:pPr>
              <w:pStyle w:val="Compact"/>
              <w:spacing w:line="240" w:lineRule="auto" w:after="20"/>
              <w:jc w:val="center"/>
            </w:pPr>
            <w:r>
              <w:rPr>
                <w:sz w:val="17"/>
              </w:rPr>
              <w:t xml:space="preserve">−1.11</w:t>
            </w:r>
          </w:p>
        </w:tc>
        <w:tc>
          <w:tcPr>
            <w:tcW w:type="dxa" w:w="1134"/>
          </w:tcPr>
          <w:p>
            <w:pPr>
              <w:pStyle w:val="Compact"/>
              <w:spacing w:line="240" w:lineRule="auto" w:after="20"/>
              <w:jc w:val="center"/>
            </w:pPr>
            <w:r>
              <w:rPr>
                <w:sz w:val="17"/>
              </w:rPr>
              <w:t xml:space="preserve">−1.25</w:t>
            </w:r>
          </w:p>
        </w:tc>
        <w:tc>
          <w:tcPr>
            <w:tcW w:type="dxa" w:w="1134"/>
          </w:tcPr>
          <w:p>
            <w:pPr>
              <w:pStyle w:val="Compact"/>
              <w:spacing w:line="240" w:lineRule="auto" w:after="20"/>
              <w:jc w:val="center"/>
            </w:pPr>
            <w:r>
              <w:rPr>
                <w:sz w:val="17"/>
              </w:rPr>
              <w:t xml:space="preserve">−1.1 / −0.4</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Floor</w:t>
            </w:r>
          </w:p>
        </w:tc>
        <w:tc>
          <w:tcPr>
            <w:tcW w:type="dxa" w:w="1134"/>
          </w:tcPr>
          <w:p>
            <w:pPr>
              <w:pStyle w:val="Compact"/>
              <w:spacing w:line="240" w:lineRule="auto" w:after="20"/>
              <w:jc w:val="center"/>
            </w:pPr>
            <w:r>
              <w:rPr>
                <w:iCs/>
                <w:i/>
                <w:sz w:val="17"/>
              </w:rPr>
              <w:t xml:space="preserve">d</w:t>
            </w:r>
            <w:r>
              <w:rPr>
                <w:sz w:val="17"/>
              </w:rPr>
              <w:t xml:space="preserve">+1</w:t>
            </w:r>
          </w:p>
        </w:tc>
        <w:tc>
          <w:tcPr>
            <w:tcW w:type="dxa" w:w="1134"/>
          </w:tcPr>
          <w:p>
            <w:pPr>
              <w:pStyle w:val="Compact"/>
              <w:spacing w:line="240" w:lineRule="auto" w:after="20"/>
              <w:jc w:val="center"/>
            </w:pPr>
            <w:r>
              <w:rPr>
                <w:sz w:val="17"/>
              </w:rPr>
              <w:t xml:space="preserve">−0.71</w:t>
            </w:r>
          </w:p>
        </w:tc>
        <w:tc>
          <w:tcPr>
            <w:tcW w:type="dxa" w:w="1134"/>
          </w:tcPr>
          <w:p>
            <w:pPr>
              <w:pStyle w:val="Compact"/>
              <w:spacing w:line="240" w:lineRule="auto" w:after="20"/>
              <w:jc w:val="center"/>
            </w:pPr>
            <w:r>
              <w:rPr>
                <w:sz w:val="17"/>
              </w:rPr>
              <w:t xml:space="preserve">−5.32</w:t>
            </w:r>
          </w:p>
        </w:tc>
        <w:tc>
          <w:tcPr>
            <w:tcW w:type="dxa" w:w="1134"/>
          </w:tcPr>
          <w:p>
            <w:pPr>
              <w:pStyle w:val="Compact"/>
              <w:spacing w:line="240" w:lineRule="auto" w:after="20"/>
              <w:jc w:val="center"/>
            </w:pPr>
            <w:r>
              <w:rPr>
                <w:sz w:val="17"/>
              </w:rPr>
              <w:t xml:space="preserve">−4.66</w:t>
            </w:r>
          </w:p>
        </w:tc>
        <w:tc>
          <w:tcPr>
            <w:tcW w:type="dxa" w:w="1134"/>
          </w:tcPr>
          <w:p>
            <w:pPr>
              <w:pStyle w:val="Compact"/>
              <w:spacing w:line="240" w:lineRule="auto" w:after="20"/>
              <w:jc w:val="center"/>
            </w:pPr>
            <w:r>
              <w:rPr>
                <w:sz w:val="17"/>
              </w:rPr>
              <w:t xml:space="preserve">−6.25</w:t>
            </w:r>
          </w:p>
        </w:tc>
        <w:tc>
          <w:tcPr>
            <w:tcW w:type="dxa" w:w="1134"/>
          </w:tcPr>
          <w:p>
            <w:pPr>
              <w:pStyle w:val="Compact"/>
              <w:spacing w:line="240" w:lineRule="auto" w:after="20"/>
              <w:jc w:val="center"/>
            </w:pPr>
            <w:r>
              <w:rPr>
                <w:sz w:val="17"/>
              </w:rPr>
              <w:t xml:space="preserve">−2.7 / −4.6</w:t>
            </w:r>
          </w:p>
        </w:tc>
        <w:tc>
          <w:tcPr>
            <w:tcW w:type="dxa" w:w="1134"/>
          </w:tcPr>
          <w:p>
            <w:pPr>
              <w:pStyle w:val="Compact"/>
              <w:spacing w:line="240" w:lineRule="auto" w:after="20"/>
              <w:jc w:val="center"/>
            </w:pPr>
            <w:r>
              <w:rPr>
                <w:sz w:val="17"/>
              </w:rPr>
              <w:t xml:space="preserve">2,105</w:t>
            </w:r>
          </w:p>
        </w:tc>
      </w:tr>
      <w:tr>
        <w:tc>
          <w:tcPr>
            <w:tcW w:type="dxa" w:w="1134"/>
          </w:tcPr>
          <w:p>
            <w:pPr>
              <w:pStyle w:val="Compact"/>
              <w:spacing w:line="240" w:lineRule="auto" w:after="20"/>
              <w:jc w:val="left"/>
            </w:pPr>
            <w:r>
              <w:rPr>
                <w:sz w:val="17"/>
              </w:rPr>
              <w:t xml:space="preserve">Floor</w:t>
            </w:r>
          </w:p>
        </w:tc>
        <w:tc>
          <w:tcPr>
            <w:tcW w:type="dxa" w:w="1134"/>
          </w:tcPr>
          <w:p>
            <w:pPr>
              <w:pStyle w:val="Compact"/>
              <w:spacing w:line="240" w:lineRule="auto" w:after="20"/>
              <w:jc w:val="center"/>
            </w:pPr>
            <w:r>
              <w:rPr>
                <w:iCs/>
                <w:i/>
                <w:sz w:val="17"/>
              </w:rPr>
              <w:t xml:space="preserve">d</w:t>
            </w:r>
            <w:r>
              <w:rPr>
                <w:sz w:val="17"/>
              </w:rPr>
              <w:t xml:space="preserve">+1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−1.76</w:t>
            </w:r>
          </w:p>
        </w:tc>
        <w:tc>
          <w:tcPr>
            <w:tcW w:type="dxa" w:w="1134"/>
          </w:tcPr>
          <w:p>
            <w:pPr>
              <w:pStyle w:val="Compact"/>
              <w:spacing w:line="240" w:lineRule="auto" w:after="20"/>
              <w:jc w:val="center"/>
            </w:pPr>
            <w:r>
              <w:rPr>
                <w:sz w:val="17"/>
              </w:rPr>
              <w:t xml:space="preserve">−4.74</w:t>
            </w:r>
          </w:p>
        </w:tc>
        <w:tc>
          <w:tcPr>
            <w:tcW w:type="dxa" w:w="1134"/>
          </w:tcPr>
          <w:p>
            <w:pPr>
              <w:pStyle w:val="Compact"/>
              <w:spacing w:line="240" w:lineRule="auto" w:after="20"/>
              <w:jc w:val="center"/>
            </w:pPr>
            <w:r>
              <w:rPr>
                <w:sz w:val="17"/>
              </w:rPr>
              <w:t xml:space="preserve">−4.80</w:t>
            </w:r>
          </w:p>
        </w:tc>
        <w:tc>
          <w:tcPr>
            <w:tcW w:type="dxa" w:w="1134"/>
          </w:tcPr>
          <w:p>
            <w:pPr>
              <w:pStyle w:val="Compact"/>
              <w:spacing w:line="240" w:lineRule="auto" w:after="20"/>
              <w:jc w:val="center"/>
            </w:pPr>
            <w:r>
              <w:rPr>
                <w:sz w:val="17"/>
              </w:rPr>
              <w:t xml:space="preserve">−4.92</w:t>
            </w:r>
          </w:p>
        </w:tc>
        <w:tc>
          <w:tcPr>
            <w:tcW w:type="dxa" w:w="1134"/>
          </w:tcPr>
          <w:p>
            <w:pPr>
              <w:pStyle w:val="Compact"/>
              <w:spacing w:line="240" w:lineRule="auto" w:after="20"/>
              <w:jc w:val="center"/>
            </w:pPr>
            <w:r>
              <w:rPr>
                <w:sz w:val="17"/>
              </w:rPr>
              <w:t xml:space="preserve">−12.3 / −2.2</w:t>
            </w:r>
          </w:p>
        </w:tc>
        <w:tc>
          <w:tcPr>
            <w:tcW w:type="dxa" w:w="1134"/>
          </w:tcPr>
          <w:p>
            <w:pPr>
              <w:pStyle w:val="Compact"/>
              <w:spacing w:line="240" w:lineRule="auto" w:after="20"/>
              <w:jc w:val="center"/>
            </w:pPr>
            <w:r>
              <w:rPr>
                <w:sz w:val="17"/>
              </w:rPr>
              <w:t xml:space="preserve">2,105</w:t>
            </w:r>
          </w:p>
        </w:tc>
      </w:tr>
      <w:tr>
        <w:tc>
          <w:tcPr>
            <w:tcW w:type="dxa" w:w="1134"/>
            <w:tcBorders>
              <w:bottom w:val="single" w:sz="6" w:space="0" w:color="000000"/>
            </w:tcBorders>
          </w:tcPr>
          <w:p>
            <w:pPr>
              <w:pStyle w:val="Compact"/>
              <w:spacing w:line="240" w:lineRule="auto" w:after="20"/>
              <w:jc w:val="left"/>
            </w:pPr>
            <w:r>
              <w:rPr>
                <w:sz w:val="17"/>
              </w:rPr>
              <w:t xml:space="preserve">Floor</w:t>
            </w:r>
          </w:p>
        </w:tc>
        <w:tc>
          <w:tcPr>
            <w:tcW w:type="dxa" w:w="1134"/>
            <w:tcBorders>
              <w:bottom w:val="single" w:sz="6" w:space="0" w:color="000000"/>
            </w:tcBorders>
          </w:tcPr>
          <w:p>
            <w:pPr>
              <w:pStyle w:val="Compact"/>
              <w:spacing w:line="240" w:lineRule="auto" w:after="20"/>
              <w:jc w:val="center"/>
            </w:pPr>
            <w:r>
              <w:rPr>
                <w:iCs/>
                <w:i/>
                <w:sz w:val="17"/>
              </w:rPr>
              <w:t xml:space="preserve">d</w:t>
            </w:r>
            <w:r>
              <w:rPr>
                <w:sz w:val="17"/>
              </w:rPr>
              <w:t xml:space="preserve">+2 to</w:t>
            </w:r>
            <w:r>
              <w:rPr>
                <w:sz w:val="17"/>
              </w:rPr>
              <w:t xml:space="preserve"> </w:t>
            </w:r>
            <w:r>
              <w:rPr>
                <w:iCs/>
                <w:i/>
                <w:sz w:val="17"/>
              </w:rPr>
              <w:t xml:space="preserve">d</w:t>
            </w:r>
            <w:r>
              <w:rPr>
                <w:sz w:val="17"/>
              </w:rPr>
              <w:t xml:space="preserve">+5</w:t>
            </w:r>
          </w:p>
        </w:tc>
        <w:tc>
          <w:tcPr>
            <w:tcW w:type="dxa" w:w="1134"/>
            <w:tcBorders>
              <w:bottom w:val="single" w:sz="6" w:space="0" w:color="000000"/>
            </w:tcBorders>
          </w:tcPr>
          <w:p>
            <w:pPr>
              <w:pStyle w:val="Compact"/>
              <w:spacing w:line="240" w:lineRule="auto" w:after="20"/>
              <w:jc w:val="center"/>
            </w:pPr>
            <w:r>
              <w:rPr>
                <w:sz w:val="17"/>
              </w:rPr>
              <w:t xml:space="preserve">−1.10</w:t>
            </w:r>
          </w:p>
        </w:tc>
        <w:tc>
          <w:tcPr>
            <w:tcW w:type="dxa" w:w="1134"/>
            <w:tcBorders>
              <w:bottom w:val="single" w:sz="6" w:space="0" w:color="000000"/>
            </w:tcBorders>
          </w:tcPr>
          <w:p>
            <w:pPr>
              <w:pStyle w:val="Compact"/>
              <w:spacing w:line="240" w:lineRule="auto" w:after="20"/>
              <w:jc w:val="center"/>
            </w:pPr>
            <w:r>
              <w:rPr>
                <w:sz w:val="17"/>
              </w:rPr>
              <w:t xml:space="preserve">−2.91</w:t>
            </w:r>
          </w:p>
        </w:tc>
        <w:tc>
          <w:tcPr>
            <w:tcW w:type="dxa" w:w="1134"/>
            <w:tcBorders>
              <w:bottom w:val="single" w:sz="6" w:space="0" w:color="000000"/>
            </w:tcBorders>
          </w:tcPr>
          <w:p>
            <w:pPr>
              <w:pStyle w:val="Compact"/>
              <w:spacing w:line="240" w:lineRule="auto" w:after="20"/>
              <w:jc w:val="center"/>
            </w:pPr>
            <w:r>
              <w:rPr>
                <w:sz w:val="17"/>
              </w:rPr>
              <w:t xml:space="preserve">−3.01</w:t>
            </w:r>
          </w:p>
        </w:tc>
        <w:tc>
          <w:tcPr>
            <w:tcW w:type="dxa" w:w="1134"/>
            <w:tcBorders>
              <w:bottom w:val="single" w:sz="6" w:space="0" w:color="000000"/>
            </w:tcBorders>
          </w:tcPr>
          <w:p>
            <w:pPr>
              <w:pStyle w:val="Compact"/>
              <w:spacing w:line="240" w:lineRule="auto" w:after="20"/>
              <w:jc w:val="center"/>
            </w:pPr>
            <w:r>
              <w:rPr>
                <w:sz w:val="17"/>
              </w:rPr>
              <w:t xml:space="preserve">−2.81</w:t>
            </w:r>
          </w:p>
        </w:tc>
        <w:tc>
          <w:tcPr>
            <w:tcW w:type="dxa" w:w="1134"/>
            <w:tcBorders>
              <w:bottom w:val="single" w:sz="6" w:space="0" w:color="000000"/>
            </w:tcBorders>
          </w:tcPr>
          <w:p>
            <w:pPr>
              <w:pStyle w:val="Compact"/>
              <w:spacing w:line="240" w:lineRule="auto" w:after="20"/>
              <w:jc w:val="center"/>
            </w:pPr>
            <w:r>
              <w:rPr>
                <w:sz w:val="17"/>
              </w:rPr>
              <w:t xml:space="preserve">−8.7 / −1.1</w:t>
            </w:r>
          </w:p>
        </w:tc>
        <w:tc>
          <w:tcPr>
            <w:tcW w:type="dxa" w:w="1134"/>
            <w:tcBorders>
              <w:bottom w:val="single" w:sz="6" w:space="0" w:color="000000"/>
            </w:tcBorders>
          </w:tcPr>
          <w:p>
            <w:pPr>
              <w:pStyle w:val="Compact"/>
              <w:spacing w:line="240" w:lineRule="auto" w:after="20"/>
              <w:jc w:val="center"/>
            </w:pPr>
            <w:r>
              <w:rPr>
                <w:sz w:val="17"/>
              </w:rPr>
              <w:t xml:space="preserve">2,105</w:t>
            </w:r>
          </w:p>
        </w:tc>
      </w:tr>
    </w:tbl>
    <w:p>
      <w:pPr>
        <w:pStyle w:val="BodyText"/>
        <w:spacing w:line="360" w:lineRule="auto" w:after="120"/>
        <w:jc w:val="left"/>
      </w:pP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is week-clustered for the first and second half of event dates.</w:t>
      </w:r>
      <w:r>
        <w:t xml:space="preserve"> </w:t>
      </w:r>
      <w:r>
        <w:rPr>
          <w:iCs/>
          <w:i/>
        </w:rPr>
        <w:t xml:space="preserve">P</w:t>
      </w:r>
      <w:r>
        <w:t xml:space="preserve"> </w:t>
      </w:r>
      <w:r>
        <w:t xml:space="preserve">values from the</w:t>
      </w:r>
      <w:r>
        <w:t xml:space="preserve"> </w:t>
      </w:r>
      <w:r>
        <w:rPr>
          <w:iCs/>
          <w:i/>
        </w:rPr>
        <w:t xml:space="preserve">t</w:t>
      </w:r>
      <w:r>
        <w:t xml:space="preserve"> </w:t>
      </w:r>
      <w:r>
        <w:t xml:space="preserve">distribution with</w:t>
      </w:r>
      <w:r>
        <w:t xml:space="preserve"> </w:t>
      </w:r>
      <w:r>
        <w:rPr>
          <w:iCs/>
          <w:i/>
        </w:rPr>
        <w:t xml:space="preserve">G</w:t>
      </w:r>
      <w:r>
        <w:t xml:space="preserve"> </w:t>
      </w:r>
      <w:r>
        <w:t xml:space="preserve">− 1 degrees of freedom are below 0.001 for every</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except for ceiling days</w:t>
      </w:r>
      <w:r>
        <w:t xml:space="preserve"> </w:t>
      </w:r>
      <w:r>
        <w:rPr>
          <w:iCs/>
          <w:i/>
        </w:rPr>
        <w:t xml:space="preserve">d</w:t>
      </w:r>
      <w:r>
        <w:t xml:space="preserve">+2 to</w:t>
      </w:r>
      <w:r>
        <w:t xml:space="preserve"> </w:t>
      </w:r>
      <w:r>
        <w:rPr>
          <w:iCs/>
          <w:i/>
        </w:rPr>
        <w:t xml:space="preserve">d</w:t>
      </w:r>
      <w:r>
        <w:t xml:space="preserve">+5 (</w:t>
      </w:r>
      <w:r>
        <w:rPr>
          <w:iCs/>
          <w:i/>
        </w:rPr>
        <w:t xml:space="preserve">P</w:t>
      </w:r>
      <w:r>
        <w:t xml:space="preserve"> </w:t>
      </w:r>
      <w:r>
        <w:t xml:space="preserve">= 0.13, 0.27, 0.22) and floor days</w:t>
      </w:r>
      <w:r>
        <w:t xml:space="preserve"> </w:t>
      </w:r>
      <w:r>
        <w:rPr>
          <w:iCs/>
          <w:i/>
        </w:rPr>
        <w:t xml:space="preserve">d</w:t>
      </w:r>
      <w:r>
        <w:t xml:space="preserve">+2 to</w:t>
      </w:r>
      <w:r>
        <w:t xml:space="preserve"> </w:t>
      </w:r>
      <w:r>
        <w:rPr>
          <w:iCs/>
          <w:i/>
        </w:rPr>
        <w:t xml:space="preserve">d</w:t>
      </w:r>
      <w:r>
        <w:t xml:space="preserve">+5 (</w:t>
      </w:r>
      <w:r>
        <w:rPr>
          <w:iCs/>
          <w:i/>
        </w:rPr>
        <w:t xml:space="preserve">P</w:t>
      </w:r>
      <w:r>
        <w:t xml:space="preserve"> </w:t>
      </w:r>
      <w:r>
        <w:t xml:space="preserve">= 0.004, 0.003, 0.007).</w:t>
      </w:r>
      <w:r>
        <w:t xml:space="preserve"> </w:t>
      </w:r>
      <w:r>
        <w:rPr>
          <w:iCs/>
          <w:i/>
        </w:rPr>
        <w:t xml:space="preserve">n</w:t>
      </w:r>
      <w:r>
        <w:t xml:space="preserve"> </w:t>
      </w:r>
      <w:r>
        <w:t xml:space="preserve">is the number of events.</w:t>
      </w:r>
    </w:p>
    <w:p>
      <w:pPr>
        <w:pStyle w:val="BodyText"/>
        <w:spacing w:line="360" w:lineRule="auto" w:after="120"/>
        <w:jc w:val="left"/>
      </w:pPr>
      <w:r>
        <w:rPr>
          <w:bCs/>
          <w:b/>
        </w:rPr>
        <w:t xml:space="preserve">Table 2.</w:t>
      </w:r>
      <w:r>
        <w:t xml:space="preserve"> </w:t>
      </w:r>
      <w:r>
        <w:t xml:space="preserve">Decomposition of the next-day abnormal return</w:t>
      </w:r>
    </w:p>
    <w:tbl>
      <w:tblPr>
        <w:tblStyle w:val="Table"/>
        <w:tblW w:type="pct" w:w="5000"/>
        <w:tblLayout w:type="fixed"/>
        <w:tblLook w:firstRow="1" w:lastRow="0" w:firstColumn="0" w:lastColumn="0" w:noHBand="0" w:noVBand="0" w:val="0020"/>
        <w:jc w:val="start"/>
      </w:tblPr>
      <w:tblGrid>
        <w:gridCol w:w="2204"/>
        <w:gridCol w:w="1356"/>
        <w:gridCol w:w="1356"/>
        <w:gridCol w:w="1356"/>
        <w:gridCol w:w="1441"/>
        <w:gridCol w:w="1356"/>
      </w:tblGrid>
      <w:tr>
        <w:trPr>
          <w:tblHeader w:val="true"/>
        </w:trPr>
        <w:tc>
          <w:tcPr>
            <w:tcW w:type="dxa" w:w="2204"/>
            <w:tcBorders>
              <w:top w:val="single" w:sz="6" w:space="0" w:color="000000"/>
              <w:bottom w:val="single" w:sz="6" w:space="0" w:color="000000"/>
            </w:tcBorders>
          </w:tcPr>
          <w:p>
            <w:pPr>
              <w:pStyle w:val="Compact"/>
              <w:spacing w:line="240" w:lineRule="auto" w:after="20"/>
              <w:jc w:val="left"/>
            </w:pPr>
            <w:r>
              <w:rPr>
                <w:b/>
                <w:sz w:val="17"/>
              </w:rPr>
              <w:t xml:space="preserve">Sample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Events</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441"/>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r>
      <w:tr>
        <w:tc>
          <w:tcPr>
            <w:tcW w:type="dxa" w:w="2204"/>
          </w:tcPr>
          <w:p>
            <w:pPr>
              <w:pStyle w:val="Compact"/>
              <w:spacing w:line="240" w:lineRule="auto" w:after="20"/>
              <w:jc w:val="left"/>
            </w:pPr>
            <w:r>
              <w:rPr>
                <w:sz w:val="17"/>
              </w:rPr>
              <w:t xml:space="preserve">Ceiling closes</w:t>
            </w: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441"/>
          </w:tcPr>
          <w:p>
            <w:pPr>
              <w:pStyle w:val="Compact"/>
              <w:spacing w:line="240" w:lineRule="auto" w:after="20"/>
              <w:jc w:val="center"/>
            </w:pPr>
          </w:p>
        </w:tc>
        <w:tc>
          <w:tcPr>
            <w:tcW w:type="dxa" w:w="1356"/>
          </w:tcPr>
          <w:p>
            <w:pPr>
              <w:pStyle w:val="Compact"/>
              <w:spacing w:line="240" w:lineRule="auto" w:after="20"/>
              <w:jc w:val="center"/>
            </w:pPr>
          </w:p>
        </w:tc>
      </w:tr>
      <w:tr>
        <w:tc>
          <w:tcPr>
            <w:tcW w:type="dxa" w:w="2204"/>
          </w:tcPr>
          <w:p>
            <w:pPr>
              <w:pStyle w:val="Compact"/>
              <w:spacing w:line="240" w:lineRule="auto" w:after="20"/>
              <w:jc w:val="left"/>
            </w:pPr>
            <w:r>
              <w:rPr>
                <w:sz w:val="17"/>
              </w:rPr>
              <w:t xml:space="preserve">All, vs market</w:t>
            </w:r>
          </w:p>
        </w:tc>
        <w:tc>
          <w:tcPr>
            <w:tcW w:type="dxa" w:w="1356"/>
          </w:tcPr>
          <w:p>
            <w:pPr>
              <w:pStyle w:val="Compact"/>
              <w:spacing w:line="240" w:lineRule="auto" w:after="20"/>
              <w:jc w:val="center"/>
            </w:pPr>
            <w:r>
              <w:rPr>
                <w:sz w:val="17"/>
              </w:rPr>
              <w:t xml:space="preserve">3,199</w:t>
            </w:r>
          </w:p>
        </w:tc>
        <w:tc>
          <w:tcPr>
            <w:tcW w:type="dxa" w:w="1356"/>
          </w:tcPr>
          <w:p>
            <w:pPr>
              <w:pStyle w:val="Compact"/>
              <w:spacing w:line="240" w:lineRule="auto" w:after="20"/>
              <w:jc w:val="center"/>
            </w:pPr>
            <w:r>
              <w:rPr>
                <w:sz w:val="17"/>
              </w:rPr>
              <w:t xml:space="preserve">2.24 (9.7)</w:t>
            </w:r>
          </w:p>
        </w:tc>
        <w:tc>
          <w:tcPr>
            <w:tcW w:type="dxa" w:w="1356"/>
          </w:tcPr>
          <w:p>
            <w:pPr>
              <w:pStyle w:val="Compact"/>
              <w:spacing w:line="240" w:lineRule="auto" w:after="20"/>
              <w:jc w:val="center"/>
            </w:pPr>
            <w:r>
              <w:rPr>
                <w:sz w:val="17"/>
              </w:rPr>
              <w:t xml:space="preserve">−0.54 (−3.5)</w:t>
            </w:r>
          </w:p>
        </w:tc>
        <w:tc>
          <w:tcPr>
            <w:tcW w:type="dxa" w:w="1441"/>
          </w:tcPr>
          <w:p>
            <w:pPr>
              <w:pStyle w:val="Compact"/>
              <w:spacing w:line="240" w:lineRule="auto" w:after="20"/>
              <w:jc w:val="center"/>
            </w:pPr>
            <w:r>
              <w:rPr>
                <w:sz w:val="17"/>
              </w:rPr>
              <w:t xml:space="preserve">1.66 (4.8)</w:t>
            </w:r>
          </w:p>
        </w:tc>
        <w:tc>
          <w:tcPr>
            <w:tcW w:type="dxa" w:w="1356"/>
          </w:tcPr>
          <w:p>
            <w:pPr>
              <w:pStyle w:val="Compact"/>
              <w:spacing w:line="240" w:lineRule="auto" w:after="20"/>
              <w:jc w:val="center"/>
            </w:pPr>
            <w:r>
              <w:rPr>
                <w:sz w:val="17"/>
              </w:rPr>
              <w:t xml:space="preserve">−0.75 (−2.7)</w:t>
            </w:r>
          </w:p>
        </w:tc>
      </w:tr>
      <w:tr>
        <w:tc>
          <w:tcPr>
            <w:tcW w:type="dxa" w:w="2204"/>
          </w:tcPr>
          <w:p>
            <w:pPr>
              <w:pStyle w:val="Compact"/>
              <w:spacing w:line="240" w:lineRule="auto" w:after="20"/>
              <w:jc w:val="left"/>
            </w:pPr>
            <w:r>
              <w:rPr>
                <w:sz w:val="17"/>
              </w:rPr>
              <w:t xml:space="preserve">All, vs same-date controls</w:t>
            </w:r>
          </w:p>
        </w:tc>
        <w:tc>
          <w:tcPr>
            <w:tcW w:type="dxa" w:w="1356"/>
          </w:tcPr>
          <w:p>
            <w:pPr>
              <w:pStyle w:val="Compact"/>
              <w:spacing w:line="240" w:lineRule="auto" w:after="20"/>
              <w:jc w:val="center"/>
            </w:pPr>
            <w:r>
              <w:rPr>
                <w:sz w:val="17"/>
              </w:rPr>
              <w:t xml:space="preserve">3,100</w:t>
            </w:r>
          </w:p>
        </w:tc>
        <w:tc>
          <w:tcPr>
            <w:tcW w:type="dxa" w:w="1356"/>
          </w:tcPr>
          <w:p>
            <w:pPr>
              <w:pStyle w:val="Compact"/>
              <w:spacing w:line="240" w:lineRule="auto" w:after="20"/>
              <w:jc w:val="center"/>
            </w:pPr>
            <w:r>
              <w:rPr>
                <w:sz w:val="17"/>
              </w:rPr>
              <w:t xml:space="preserve">2.70 (20.2)</w:t>
            </w:r>
          </w:p>
        </w:tc>
        <w:tc>
          <w:tcPr>
            <w:tcW w:type="dxa" w:w="1356"/>
          </w:tcPr>
          <w:p>
            <w:pPr>
              <w:pStyle w:val="Compact"/>
              <w:spacing w:line="240" w:lineRule="auto" w:after="20"/>
              <w:jc w:val="center"/>
            </w:pPr>
            <w:r>
              <w:rPr>
                <w:sz w:val="17"/>
              </w:rPr>
              <w:t xml:space="preserve">−0.50 (−6.0)</w:t>
            </w:r>
          </w:p>
        </w:tc>
        <w:tc>
          <w:tcPr>
            <w:tcW w:type="dxa" w:w="1441"/>
          </w:tcPr>
          <w:p>
            <w:pPr>
              <w:pStyle w:val="Compact"/>
              <w:spacing w:line="240" w:lineRule="auto" w:after="20"/>
              <w:jc w:val="center"/>
            </w:pPr>
            <w:r>
              <w:rPr>
                <w:sz w:val="17"/>
              </w:rPr>
              <w:t xml:space="preserve">2.16 (18.0)</w:t>
            </w:r>
          </w:p>
        </w:tc>
        <w:tc>
          <w:tcPr>
            <w:tcW w:type="dxa" w:w="1356"/>
          </w:tcPr>
          <w:p>
            <w:pPr>
              <w:pStyle w:val="Compact"/>
              <w:spacing w:line="240" w:lineRule="auto" w:after="20"/>
              <w:jc w:val="center"/>
            </w:pPr>
            <w:r>
              <w:rPr>
                <w:sz w:val="17"/>
              </w:rPr>
              <w:t xml:space="preserve">−0.53 (−1.8)</w:t>
            </w:r>
          </w:p>
        </w:tc>
      </w:tr>
      <w:tr>
        <w:tc>
          <w:tcPr>
            <w:tcW w:type="dxa" w:w="2204"/>
          </w:tcPr>
          <w:p>
            <w:pPr>
              <w:pStyle w:val="Compact"/>
              <w:spacing w:line="240" w:lineRule="auto" w:after="20"/>
              <w:jc w:val="left"/>
            </w:pPr>
            <w:r>
              <w:rPr>
                <w:sz w:val="17"/>
              </w:rPr>
              <w:t xml:space="preserve">Exact limit hit</w:t>
            </w:r>
          </w:p>
        </w:tc>
        <w:tc>
          <w:tcPr>
            <w:tcW w:type="dxa" w:w="1356"/>
          </w:tcPr>
          <w:p>
            <w:pPr>
              <w:pStyle w:val="Compact"/>
              <w:spacing w:line="240" w:lineRule="auto" w:after="20"/>
              <w:jc w:val="center"/>
            </w:pPr>
            <w:r>
              <w:rPr>
                <w:sz w:val="17"/>
              </w:rPr>
              <w:t xml:space="preserve">1,642</w:t>
            </w:r>
          </w:p>
        </w:tc>
        <w:tc>
          <w:tcPr>
            <w:tcW w:type="dxa" w:w="1356"/>
          </w:tcPr>
          <w:p>
            <w:pPr>
              <w:pStyle w:val="Compact"/>
              <w:spacing w:line="240" w:lineRule="auto" w:after="20"/>
              <w:jc w:val="center"/>
            </w:pPr>
            <w:r>
              <w:rPr>
                <w:sz w:val="17"/>
              </w:rPr>
              <w:t xml:space="preserve">2.79 (13.8)</w:t>
            </w:r>
          </w:p>
        </w:tc>
        <w:tc>
          <w:tcPr>
            <w:tcW w:type="dxa" w:w="1356"/>
          </w:tcPr>
          <w:p>
            <w:pPr>
              <w:pStyle w:val="Compact"/>
              <w:spacing w:line="240" w:lineRule="auto" w:after="20"/>
              <w:jc w:val="center"/>
            </w:pPr>
            <w:r>
              <w:rPr>
                <w:sz w:val="17"/>
              </w:rPr>
              <w:t xml:space="preserve">−0.74 (−5.3)</w:t>
            </w:r>
          </w:p>
        </w:tc>
        <w:tc>
          <w:tcPr>
            <w:tcW w:type="dxa" w:w="1441"/>
          </w:tcPr>
          <w:p>
            <w:pPr>
              <w:pStyle w:val="Compact"/>
              <w:spacing w:line="240" w:lineRule="auto" w:after="20"/>
              <w:jc w:val="center"/>
            </w:pPr>
            <w:r>
              <w:rPr>
                <w:sz w:val="17"/>
              </w:rPr>
              <w:t xml:space="preserve">2.00 (7.1)</w:t>
            </w:r>
          </w:p>
        </w:tc>
        <w:tc>
          <w:tcPr>
            <w:tcW w:type="dxa" w:w="1356"/>
          </w:tcPr>
          <w:p>
            <w:pPr>
              <w:pStyle w:val="Compact"/>
              <w:spacing w:line="240" w:lineRule="auto" w:after="20"/>
              <w:jc w:val="center"/>
            </w:pPr>
            <w:r>
              <w:rPr>
                <w:sz w:val="17"/>
              </w:rPr>
              <w:t xml:space="preserve">−1.02 (−3.0)</w:t>
            </w:r>
          </w:p>
        </w:tc>
      </w:tr>
      <w:tr>
        <w:tc>
          <w:tcPr>
            <w:tcW w:type="dxa" w:w="2204"/>
          </w:tcPr>
          <w:p>
            <w:pPr>
              <w:pStyle w:val="Compact"/>
              <w:spacing w:line="240" w:lineRule="auto" w:after="20"/>
              <w:jc w:val="left"/>
            </w:pPr>
            <w:r>
              <w:rPr>
                <w:sz w:val="17"/>
              </w:rPr>
              <w:t xml:space="preserve">Near hit</w:t>
            </w:r>
          </w:p>
        </w:tc>
        <w:tc>
          <w:tcPr>
            <w:tcW w:type="dxa" w:w="1356"/>
          </w:tcPr>
          <w:p>
            <w:pPr>
              <w:pStyle w:val="Compact"/>
              <w:spacing w:line="240" w:lineRule="auto" w:after="20"/>
              <w:jc w:val="center"/>
            </w:pPr>
            <w:r>
              <w:rPr>
                <w:sz w:val="17"/>
              </w:rPr>
              <w:t xml:space="preserve">1,557</w:t>
            </w:r>
          </w:p>
        </w:tc>
        <w:tc>
          <w:tcPr>
            <w:tcW w:type="dxa" w:w="1356"/>
          </w:tcPr>
          <w:p>
            <w:pPr>
              <w:pStyle w:val="Compact"/>
              <w:spacing w:line="240" w:lineRule="auto" w:after="20"/>
              <w:jc w:val="center"/>
            </w:pPr>
            <w:r>
              <w:rPr>
                <w:sz w:val="17"/>
              </w:rPr>
              <w:t xml:space="preserve">1.67 (6.4)</w:t>
            </w:r>
          </w:p>
        </w:tc>
        <w:tc>
          <w:tcPr>
            <w:tcW w:type="dxa" w:w="1356"/>
          </w:tcPr>
          <w:p>
            <w:pPr>
              <w:pStyle w:val="Compact"/>
              <w:spacing w:line="240" w:lineRule="auto" w:after="20"/>
              <w:jc w:val="center"/>
            </w:pPr>
            <w:r>
              <w:rPr>
                <w:sz w:val="17"/>
              </w:rPr>
              <w:t xml:space="preserve">−0.32 (−1.6)</w:t>
            </w:r>
          </w:p>
        </w:tc>
        <w:tc>
          <w:tcPr>
            <w:tcW w:type="dxa" w:w="1441"/>
          </w:tcPr>
          <w:p>
            <w:pPr>
              <w:pStyle w:val="Compact"/>
              <w:spacing w:line="240" w:lineRule="auto" w:after="20"/>
              <w:jc w:val="center"/>
            </w:pPr>
            <w:r>
              <w:rPr>
                <w:sz w:val="17"/>
              </w:rPr>
              <w:t xml:space="preserve">1.31 (3.1)</w:t>
            </w:r>
          </w:p>
        </w:tc>
        <w:tc>
          <w:tcPr>
            <w:tcW w:type="dxa" w:w="1356"/>
          </w:tcPr>
          <w:p>
            <w:pPr>
              <w:pStyle w:val="Compact"/>
              <w:spacing w:line="240" w:lineRule="auto" w:after="20"/>
              <w:jc w:val="center"/>
            </w:pPr>
            <w:r>
              <w:rPr>
                <w:sz w:val="17"/>
              </w:rPr>
              <w:t xml:space="preserve">−0.46 (−1.3)</w:t>
            </w:r>
          </w:p>
        </w:tc>
      </w:tr>
      <w:tr>
        <w:tc>
          <w:tcPr>
            <w:tcW w:type="dxa" w:w="2204"/>
          </w:tcPr>
          <w:p>
            <w:pPr>
              <w:pStyle w:val="Compact"/>
              <w:spacing w:line="240" w:lineRule="auto" w:after="20"/>
              <w:jc w:val="left"/>
            </w:pPr>
            <w:r>
              <w:rPr>
                <w:sz w:val="17"/>
              </w:rPr>
              <w:t xml:space="preserve">Locked all day</w:t>
            </w:r>
          </w:p>
        </w:tc>
        <w:tc>
          <w:tcPr>
            <w:tcW w:type="dxa" w:w="1356"/>
          </w:tcPr>
          <w:p>
            <w:pPr>
              <w:pStyle w:val="Compact"/>
              <w:spacing w:line="240" w:lineRule="auto" w:after="20"/>
              <w:jc w:val="center"/>
            </w:pPr>
            <w:r>
              <w:rPr>
                <w:sz w:val="17"/>
              </w:rPr>
              <w:t xml:space="preserve">522</w:t>
            </w:r>
          </w:p>
        </w:tc>
        <w:tc>
          <w:tcPr>
            <w:tcW w:type="dxa" w:w="1356"/>
          </w:tcPr>
          <w:p>
            <w:pPr>
              <w:pStyle w:val="Compact"/>
              <w:spacing w:line="240" w:lineRule="auto" w:after="20"/>
              <w:jc w:val="center"/>
            </w:pPr>
            <w:r>
              <w:rPr>
                <w:sz w:val="17"/>
              </w:rPr>
              <w:t xml:space="preserve">2.91 (3.0)</w:t>
            </w:r>
          </w:p>
        </w:tc>
        <w:tc>
          <w:tcPr>
            <w:tcW w:type="dxa" w:w="1356"/>
          </w:tcPr>
          <w:p>
            <w:pPr>
              <w:pStyle w:val="Compact"/>
              <w:spacing w:line="240" w:lineRule="auto" w:after="20"/>
              <w:jc w:val="center"/>
            </w:pPr>
            <w:r>
              <w:rPr>
                <w:sz w:val="17"/>
              </w:rPr>
              <w:t xml:space="preserve">−1.30 (−5.9)</w:t>
            </w:r>
          </w:p>
        </w:tc>
        <w:tc>
          <w:tcPr>
            <w:tcW w:type="dxa" w:w="1441"/>
          </w:tcPr>
          <w:p>
            <w:pPr>
              <w:pStyle w:val="Compact"/>
              <w:spacing w:line="240" w:lineRule="auto" w:after="20"/>
              <w:jc w:val="center"/>
            </w:pPr>
            <w:r>
              <w:rPr>
                <w:sz w:val="17"/>
              </w:rPr>
              <w:t xml:space="preserve">1.54 (1.4)</w:t>
            </w:r>
          </w:p>
        </w:tc>
        <w:tc>
          <w:tcPr>
            <w:tcW w:type="dxa" w:w="1356"/>
          </w:tcPr>
          <w:p>
            <w:pPr>
              <w:pStyle w:val="Compact"/>
              <w:spacing w:line="240" w:lineRule="auto" w:after="20"/>
              <w:jc w:val="center"/>
            </w:pPr>
            <w:r>
              <w:rPr>
                <w:sz w:val="17"/>
              </w:rPr>
              <w:t xml:space="preserve">−0.76 (−1.5)</w:t>
            </w:r>
          </w:p>
        </w:tc>
      </w:tr>
      <w:tr>
        <w:tc>
          <w:tcPr>
            <w:tcW w:type="dxa" w:w="2204"/>
          </w:tcPr>
          <w:p>
            <w:pPr>
              <w:pStyle w:val="Compact"/>
              <w:spacing w:line="240" w:lineRule="auto" w:after="20"/>
              <w:jc w:val="left"/>
            </w:pPr>
            <w:r>
              <w:rPr>
                <w:sz w:val="17"/>
              </w:rPr>
              <w:t xml:space="preserve">First half of sample</w:t>
            </w:r>
          </w:p>
        </w:tc>
        <w:tc>
          <w:tcPr>
            <w:tcW w:type="dxa" w:w="1356"/>
          </w:tcPr>
          <w:p>
            <w:pPr>
              <w:pStyle w:val="Compact"/>
              <w:spacing w:line="240" w:lineRule="auto" w:after="20"/>
              <w:jc w:val="center"/>
            </w:pPr>
            <w:r>
              <w:rPr>
                <w:sz w:val="17"/>
              </w:rPr>
              <w:t xml:space="preserve">1,615</w:t>
            </w:r>
          </w:p>
        </w:tc>
        <w:tc>
          <w:tcPr>
            <w:tcW w:type="dxa" w:w="1356"/>
          </w:tcPr>
          <w:p>
            <w:pPr>
              <w:pStyle w:val="Compact"/>
              <w:spacing w:line="240" w:lineRule="auto" w:after="20"/>
              <w:jc w:val="center"/>
            </w:pPr>
            <w:r>
              <w:rPr>
                <w:sz w:val="17"/>
              </w:rPr>
              <w:t xml:space="preserve">2.24 (5.4)</w:t>
            </w:r>
          </w:p>
        </w:tc>
        <w:tc>
          <w:tcPr>
            <w:tcW w:type="dxa" w:w="1356"/>
          </w:tcPr>
          <w:p>
            <w:pPr>
              <w:pStyle w:val="Compact"/>
              <w:spacing w:line="240" w:lineRule="auto" w:after="20"/>
              <w:jc w:val="center"/>
            </w:pPr>
            <w:r>
              <w:rPr>
                <w:sz w:val="17"/>
              </w:rPr>
              <w:t xml:space="preserve">−0.77 (−3.3)</w:t>
            </w:r>
          </w:p>
        </w:tc>
        <w:tc>
          <w:tcPr>
            <w:tcW w:type="dxa" w:w="1441"/>
          </w:tcPr>
          <w:p>
            <w:pPr>
              <w:pStyle w:val="Compact"/>
              <w:spacing w:line="240" w:lineRule="auto" w:after="20"/>
              <w:jc w:val="center"/>
            </w:pPr>
            <w:r>
              <w:rPr>
                <w:sz w:val="17"/>
              </w:rPr>
              <w:t xml:space="preserve">1.42 (2.3)</w:t>
            </w:r>
          </w:p>
        </w:tc>
        <w:tc>
          <w:tcPr>
            <w:tcW w:type="dxa" w:w="1356"/>
          </w:tcPr>
          <w:p>
            <w:pPr>
              <w:pStyle w:val="Compact"/>
              <w:spacing w:line="240" w:lineRule="auto" w:after="20"/>
              <w:jc w:val="center"/>
            </w:pPr>
            <w:r>
              <w:rPr>
                <w:sz w:val="17"/>
              </w:rPr>
              <w:t xml:space="preserve">−1.13 (−2.9)</w:t>
            </w:r>
          </w:p>
        </w:tc>
      </w:tr>
      <w:tr>
        <w:tc>
          <w:tcPr>
            <w:tcW w:type="dxa" w:w="2204"/>
          </w:tcPr>
          <w:p>
            <w:pPr>
              <w:pStyle w:val="Compact"/>
              <w:spacing w:line="240" w:lineRule="auto" w:after="20"/>
              <w:jc w:val="left"/>
            </w:pPr>
            <w:r>
              <w:rPr>
                <w:sz w:val="17"/>
              </w:rPr>
              <w:t xml:space="preserve">Second half of sample</w:t>
            </w:r>
          </w:p>
        </w:tc>
        <w:tc>
          <w:tcPr>
            <w:tcW w:type="dxa" w:w="1356"/>
          </w:tcPr>
          <w:p>
            <w:pPr>
              <w:pStyle w:val="Compact"/>
              <w:spacing w:line="240" w:lineRule="auto" w:after="20"/>
              <w:jc w:val="center"/>
            </w:pPr>
            <w:r>
              <w:rPr>
                <w:sz w:val="17"/>
              </w:rPr>
              <w:t xml:space="preserve">1,584</w:t>
            </w:r>
          </w:p>
        </w:tc>
        <w:tc>
          <w:tcPr>
            <w:tcW w:type="dxa" w:w="1356"/>
          </w:tcPr>
          <w:p>
            <w:pPr>
              <w:pStyle w:val="Compact"/>
              <w:spacing w:line="240" w:lineRule="auto" w:after="20"/>
              <w:jc w:val="center"/>
            </w:pPr>
            <w:r>
              <w:rPr>
                <w:sz w:val="17"/>
              </w:rPr>
              <w:t xml:space="preserve">2.25 (13.0)</w:t>
            </w:r>
          </w:p>
        </w:tc>
        <w:tc>
          <w:tcPr>
            <w:tcW w:type="dxa" w:w="1356"/>
          </w:tcPr>
          <w:p>
            <w:pPr>
              <w:pStyle w:val="Compact"/>
              <w:spacing w:line="240" w:lineRule="auto" w:after="20"/>
              <w:jc w:val="center"/>
            </w:pPr>
            <w:r>
              <w:rPr>
                <w:sz w:val="17"/>
              </w:rPr>
              <w:t xml:space="preserve">−0.29 (−2.5)</w:t>
            </w:r>
          </w:p>
        </w:tc>
        <w:tc>
          <w:tcPr>
            <w:tcW w:type="dxa" w:w="1441"/>
          </w:tcPr>
          <w:p>
            <w:pPr>
              <w:pStyle w:val="Compact"/>
              <w:spacing w:line="240" w:lineRule="auto" w:after="20"/>
              <w:jc w:val="center"/>
            </w:pPr>
            <w:r>
              <w:rPr>
                <w:sz w:val="17"/>
              </w:rPr>
              <w:t xml:space="preserve">1.91 (11.3)</w:t>
            </w:r>
          </w:p>
        </w:tc>
        <w:tc>
          <w:tcPr>
            <w:tcW w:type="dxa" w:w="1356"/>
          </w:tcPr>
          <w:p>
            <w:pPr>
              <w:pStyle w:val="Compact"/>
              <w:spacing w:line="240" w:lineRule="auto" w:after="20"/>
              <w:jc w:val="center"/>
            </w:pPr>
            <w:r>
              <w:rPr>
                <w:sz w:val="17"/>
              </w:rPr>
              <w:t xml:space="preserve">−0.36 (−1.2)</w:t>
            </w:r>
          </w:p>
        </w:tc>
      </w:tr>
      <w:tr>
        <w:tc>
          <w:tcPr>
            <w:tcW w:type="dxa" w:w="2204"/>
          </w:tcPr>
          <w:p>
            <w:pPr>
              <w:pStyle w:val="Compact"/>
              <w:spacing w:line="240" w:lineRule="auto" w:after="20"/>
              <w:jc w:val="left"/>
            </w:pPr>
            <w:r>
              <w:rPr>
                <w:sz w:val="17"/>
              </w:rPr>
              <w:t xml:space="preserve">Excluding days with market &lt; −2%</w:t>
            </w:r>
          </w:p>
        </w:tc>
        <w:tc>
          <w:tcPr>
            <w:tcW w:type="dxa" w:w="1356"/>
          </w:tcPr>
          <w:p>
            <w:pPr>
              <w:pStyle w:val="Compact"/>
              <w:spacing w:line="240" w:lineRule="auto" w:after="20"/>
              <w:jc w:val="center"/>
            </w:pPr>
            <w:r>
              <w:rPr>
                <w:sz w:val="17"/>
              </w:rPr>
              <w:t xml:space="preserve">3,125</w:t>
            </w:r>
          </w:p>
        </w:tc>
        <w:tc>
          <w:tcPr>
            <w:tcW w:type="dxa" w:w="1356"/>
          </w:tcPr>
          <w:p>
            <w:pPr>
              <w:pStyle w:val="Compact"/>
              <w:spacing w:line="240" w:lineRule="auto" w:after="20"/>
              <w:jc w:val="center"/>
            </w:pPr>
            <w:r>
              <w:rPr>
                <w:sz w:val="17"/>
              </w:rPr>
              <w:t xml:space="preserve">2.24 (9.6)</w:t>
            </w:r>
          </w:p>
        </w:tc>
        <w:tc>
          <w:tcPr>
            <w:tcW w:type="dxa" w:w="1356"/>
          </w:tcPr>
          <w:p>
            <w:pPr>
              <w:pStyle w:val="Compact"/>
              <w:spacing w:line="240" w:lineRule="auto" w:after="20"/>
              <w:jc w:val="center"/>
            </w:pPr>
            <w:r>
              <w:rPr>
                <w:sz w:val="17"/>
              </w:rPr>
              <w:t xml:space="preserve">−0.53 (−3.4)</w:t>
            </w:r>
          </w:p>
        </w:tc>
        <w:tc>
          <w:tcPr>
            <w:tcW w:type="dxa" w:w="1441"/>
          </w:tcPr>
          <w:p>
            <w:pPr>
              <w:pStyle w:val="Compact"/>
              <w:spacing w:line="240" w:lineRule="auto" w:after="20"/>
              <w:jc w:val="center"/>
            </w:pPr>
            <w:r>
              <w:rPr>
                <w:sz w:val="17"/>
              </w:rPr>
              <w:t xml:space="preserve">1.67 (4.7)</w:t>
            </w:r>
          </w:p>
        </w:tc>
        <w:tc>
          <w:tcPr>
            <w:tcW w:type="dxa" w:w="1356"/>
          </w:tcPr>
          <w:p>
            <w:pPr>
              <w:pStyle w:val="Compact"/>
              <w:spacing w:line="240" w:lineRule="auto" w:after="20"/>
              <w:jc w:val="center"/>
            </w:pPr>
            <w:r>
              <w:rPr>
                <w:sz w:val="17"/>
              </w:rPr>
              <w:t xml:space="preserve">−0.70 (−2.6)</w:t>
            </w:r>
          </w:p>
        </w:tc>
      </w:tr>
      <w:tr>
        <w:tc>
          <w:tcPr>
            <w:tcW w:type="dxa" w:w="2204"/>
          </w:tcPr>
          <w:p>
            <w:pPr>
              <w:pStyle w:val="Compact"/>
              <w:spacing w:line="240" w:lineRule="auto" w:after="20"/>
              <w:jc w:val="left"/>
            </w:pPr>
            <w:r>
              <w:rPr>
                <w:sz w:val="17"/>
              </w:rPr>
              <w:t xml:space="preserve">Floor closes</w:t>
            </w: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441"/>
          </w:tcPr>
          <w:p>
            <w:pPr>
              <w:pStyle w:val="Compact"/>
              <w:spacing w:line="240" w:lineRule="auto" w:after="20"/>
              <w:jc w:val="center"/>
            </w:pPr>
          </w:p>
        </w:tc>
        <w:tc>
          <w:tcPr>
            <w:tcW w:type="dxa" w:w="1356"/>
          </w:tcPr>
          <w:p>
            <w:pPr>
              <w:pStyle w:val="Compact"/>
              <w:spacing w:line="240" w:lineRule="auto" w:after="20"/>
              <w:jc w:val="center"/>
            </w:pPr>
          </w:p>
        </w:tc>
      </w:tr>
      <w:tr>
        <w:tc>
          <w:tcPr>
            <w:tcW w:type="dxa" w:w="2204"/>
          </w:tcPr>
          <w:p>
            <w:pPr>
              <w:pStyle w:val="Compact"/>
              <w:spacing w:line="240" w:lineRule="auto" w:after="20"/>
              <w:jc w:val="left"/>
            </w:pPr>
            <w:r>
              <w:rPr>
                <w:sz w:val="17"/>
              </w:rPr>
              <w:t xml:space="preserve">All, vs market</w:t>
            </w:r>
          </w:p>
        </w:tc>
        <w:tc>
          <w:tcPr>
            <w:tcW w:type="dxa" w:w="1356"/>
          </w:tcPr>
          <w:p>
            <w:pPr>
              <w:pStyle w:val="Compact"/>
              <w:spacing w:line="240" w:lineRule="auto" w:after="20"/>
              <w:jc w:val="center"/>
            </w:pPr>
            <w:r>
              <w:rPr>
                <w:sz w:val="17"/>
              </w:rPr>
              <w:t xml:space="preserve">2,111</w:t>
            </w:r>
          </w:p>
        </w:tc>
        <w:tc>
          <w:tcPr>
            <w:tcW w:type="dxa" w:w="1356"/>
          </w:tcPr>
          <w:p>
            <w:pPr>
              <w:pStyle w:val="Compact"/>
              <w:spacing w:line="240" w:lineRule="auto" w:after="20"/>
              <w:jc w:val="center"/>
            </w:pPr>
            <w:r>
              <w:rPr>
                <w:sz w:val="17"/>
              </w:rPr>
              <w:t xml:space="preserve">−0.97 (−4.6)</w:t>
            </w:r>
          </w:p>
        </w:tc>
        <w:tc>
          <w:tcPr>
            <w:tcW w:type="dxa" w:w="1356"/>
          </w:tcPr>
          <w:p>
            <w:pPr>
              <w:pStyle w:val="Compact"/>
              <w:spacing w:line="240" w:lineRule="auto" w:after="20"/>
              <w:jc w:val="center"/>
            </w:pPr>
            <w:r>
              <w:rPr>
                <w:sz w:val="17"/>
              </w:rPr>
              <w:t xml:space="preserve">0.30 (1.4)</w:t>
            </w:r>
          </w:p>
        </w:tc>
        <w:tc>
          <w:tcPr>
            <w:tcW w:type="dxa" w:w="1441"/>
          </w:tcPr>
          <w:p>
            <w:pPr>
              <w:pStyle w:val="Compact"/>
              <w:spacing w:line="240" w:lineRule="auto" w:after="20"/>
              <w:jc w:val="center"/>
            </w:pPr>
            <w:r>
              <w:rPr>
                <w:sz w:val="17"/>
              </w:rPr>
              <w:t xml:space="preserve">−0.69 (−4.8)</w:t>
            </w:r>
          </w:p>
        </w:tc>
        <w:tc>
          <w:tcPr>
            <w:tcW w:type="dxa" w:w="1356"/>
          </w:tcPr>
          <w:p>
            <w:pPr>
              <w:pStyle w:val="Compact"/>
              <w:spacing w:line="240" w:lineRule="auto" w:after="20"/>
              <w:jc w:val="center"/>
            </w:pPr>
            <w:r>
              <w:rPr>
                <w:sz w:val="17"/>
              </w:rPr>
              <w:t xml:space="preserve">−0.82 (−1.7)</w:t>
            </w:r>
          </w:p>
        </w:tc>
      </w:tr>
      <w:tr>
        <w:tc>
          <w:tcPr>
            <w:tcW w:type="dxa" w:w="2204"/>
          </w:tcPr>
          <w:p>
            <w:pPr>
              <w:pStyle w:val="Compact"/>
              <w:spacing w:line="240" w:lineRule="auto" w:after="20"/>
              <w:jc w:val="left"/>
            </w:pPr>
            <w:r>
              <w:rPr>
                <w:sz w:val="17"/>
              </w:rPr>
              <w:t xml:space="preserve">All, vs same-date controls</w:t>
            </w:r>
          </w:p>
        </w:tc>
        <w:tc>
          <w:tcPr>
            <w:tcW w:type="dxa" w:w="1356"/>
          </w:tcPr>
          <w:p>
            <w:pPr>
              <w:pStyle w:val="Compact"/>
              <w:spacing w:line="240" w:lineRule="auto" w:after="20"/>
              <w:jc w:val="center"/>
            </w:pPr>
            <w:r>
              <w:rPr>
                <w:sz w:val="17"/>
              </w:rPr>
              <w:t xml:space="preserve">2,047</w:t>
            </w:r>
          </w:p>
        </w:tc>
        <w:tc>
          <w:tcPr>
            <w:tcW w:type="dxa" w:w="1356"/>
          </w:tcPr>
          <w:p>
            <w:pPr>
              <w:pStyle w:val="Compact"/>
              <w:spacing w:line="240" w:lineRule="auto" w:after="20"/>
              <w:jc w:val="center"/>
            </w:pPr>
            <w:r>
              <w:rPr>
                <w:sz w:val="17"/>
              </w:rPr>
              <w:t xml:space="preserve">−1.75 (−4.0)</w:t>
            </w:r>
          </w:p>
        </w:tc>
        <w:tc>
          <w:tcPr>
            <w:tcW w:type="dxa" w:w="1356"/>
          </w:tcPr>
          <w:p>
            <w:pPr>
              <w:pStyle w:val="Compact"/>
              <w:spacing w:line="240" w:lineRule="auto" w:after="20"/>
              <w:jc w:val="center"/>
            </w:pPr>
            <w:r>
              <w:rPr>
                <w:sz w:val="17"/>
              </w:rPr>
              <w:t xml:space="preserve">0.14 (0.6)</w:t>
            </w:r>
          </w:p>
        </w:tc>
        <w:tc>
          <w:tcPr>
            <w:tcW w:type="dxa" w:w="1441"/>
          </w:tcPr>
          <w:p>
            <w:pPr>
              <w:pStyle w:val="Compact"/>
              <w:spacing w:line="240" w:lineRule="auto" w:after="20"/>
              <w:jc w:val="center"/>
            </w:pPr>
            <w:r>
              <w:rPr>
                <w:sz w:val="17"/>
              </w:rPr>
              <w:t xml:space="preserve">−1.65 (−3.4)</w:t>
            </w:r>
          </w:p>
        </w:tc>
        <w:tc>
          <w:tcPr>
            <w:tcW w:type="dxa" w:w="1356"/>
          </w:tcPr>
          <w:p>
            <w:pPr>
              <w:pStyle w:val="Compact"/>
              <w:spacing w:line="240" w:lineRule="auto" w:after="20"/>
              <w:jc w:val="center"/>
            </w:pPr>
            <w:r>
              <w:rPr>
                <w:sz w:val="17"/>
              </w:rPr>
              <w:t xml:space="preserve">−0.36 (−0.6)</w:t>
            </w:r>
          </w:p>
        </w:tc>
      </w:tr>
      <w:tr>
        <w:tc>
          <w:tcPr>
            <w:tcW w:type="dxa" w:w="2204"/>
          </w:tcPr>
          <w:p>
            <w:pPr>
              <w:pStyle w:val="Compact"/>
              <w:spacing w:line="240" w:lineRule="auto" w:after="20"/>
              <w:jc w:val="left"/>
            </w:pPr>
            <w:r>
              <w:rPr>
                <w:sz w:val="17"/>
              </w:rPr>
              <w:t xml:space="preserve">Exact limit hit</w:t>
            </w:r>
          </w:p>
        </w:tc>
        <w:tc>
          <w:tcPr>
            <w:tcW w:type="dxa" w:w="1356"/>
          </w:tcPr>
          <w:p>
            <w:pPr>
              <w:pStyle w:val="Compact"/>
              <w:spacing w:line="240" w:lineRule="auto" w:after="20"/>
              <w:jc w:val="center"/>
            </w:pPr>
            <w:r>
              <w:rPr>
                <w:sz w:val="17"/>
              </w:rPr>
              <w:t xml:space="preserve">1,025</w:t>
            </w:r>
          </w:p>
        </w:tc>
        <w:tc>
          <w:tcPr>
            <w:tcW w:type="dxa" w:w="1356"/>
          </w:tcPr>
          <w:p>
            <w:pPr>
              <w:pStyle w:val="Compact"/>
              <w:spacing w:line="240" w:lineRule="auto" w:after="20"/>
              <w:jc w:val="center"/>
            </w:pPr>
            <w:r>
              <w:rPr>
                <w:sz w:val="17"/>
              </w:rPr>
              <w:t xml:space="preserve">−1.30 (−5.1)</w:t>
            </w:r>
          </w:p>
        </w:tc>
        <w:tc>
          <w:tcPr>
            <w:tcW w:type="dxa" w:w="1356"/>
          </w:tcPr>
          <w:p>
            <w:pPr>
              <w:pStyle w:val="Compact"/>
              <w:spacing w:line="240" w:lineRule="auto" w:after="20"/>
              <w:jc w:val="center"/>
            </w:pPr>
            <w:r>
              <w:rPr>
                <w:sz w:val="17"/>
              </w:rPr>
              <w:t xml:space="preserve">0.41 (1.7)</w:t>
            </w:r>
          </w:p>
        </w:tc>
        <w:tc>
          <w:tcPr>
            <w:tcW w:type="dxa" w:w="1441"/>
          </w:tcPr>
          <w:p>
            <w:pPr>
              <w:pStyle w:val="Compact"/>
              <w:spacing w:line="240" w:lineRule="auto" w:after="20"/>
              <w:jc w:val="center"/>
            </w:pPr>
            <w:r>
              <w:rPr>
                <w:sz w:val="17"/>
              </w:rPr>
              <w:t xml:space="preserve">−0.93 (−5.7)</w:t>
            </w:r>
          </w:p>
        </w:tc>
        <w:tc>
          <w:tcPr>
            <w:tcW w:type="dxa" w:w="1356"/>
          </w:tcPr>
          <w:p>
            <w:pPr>
              <w:pStyle w:val="Compact"/>
              <w:spacing w:line="240" w:lineRule="auto" w:after="20"/>
              <w:jc w:val="center"/>
            </w:pPr>
            <w:r>
              <w:rPr>
                <w:sz w:val="17"/>
              </w:rPr>
              <w:t xml:space="preserve">−0.98 (−1.9)</w:t>
            </w:r>
          </w:p>
        </w:tc>
      </w:tr>
      <w:tr>
        <w:tc>
          <w:tcPr>
            <w:tcW w:type="dxa" w:w="2204"/>
          </w:tcPr>
          <w:p>
            <w:pPr>
              <w:pStyle w:val="Compact"/>
              <w:spacing w:line="240" w:lineRule="auto" w:after="20"/>
              <w:jc w:val="left"/>
            </w:pPr>
            <w:r>
              <w:rPr>
                <w:sz w:val="17"/>
              </w:rPr>
              <w:t xml:space="preserve">Near hit</w:t>
            </w:r>
          </w:p>
        </w:tc>
        <w:tc>
          <w:tcPr>
            <w:tcW w:type="dxa" w:w="1356"/>
          </w:tcPr>
          <w:p>
            <w:pPr>
              <w:pStyle w:val="Compact"/>
              <w:spacing w:line="240" w:lineRule="auto" w:after="20"/>
              <w:jc w:val="center"/>
            </w:pPr>
            <w:r>
              <w:rPr>
                <w:sz w:val="17"/>
              </w:rPr>
              <w:t xml:space="preserve">1,086</w:t>
            </w:r>
          </w:p>
        </w:tc>
        <w:tc>
          <w:tcPr>
            <w:tcW w:type="dxa" w:w="1356"/>
          </w:tcPr>
          <w:p>
            <w:pPr>
              <w:pStyle w:val="Compact"/>
              <w:spacing w:line="240" w:lineRule="auto" w:after="20"/>
              <w:jc w:val="center"/>
            </w:pPr>
            <w:r>
              <w:rPr>
                <w:sz w:val="17"/>
              </w:rPr>
              <w:t xml:space="preserve">−0.66 (−3.7)</w:t>
            </w:r>
          </w:p>
        </w:tc>
        <w:tc>
          <w:tcPr>
            <w:tcW w:type="dxa" w:w="1356"/>
          </w:tcPr>
          <w:p>
            <w:pPr>
              <w:pStyle w:val="Compact"/>
              <w:spacing w:line="240" w:lineRule="auto" w:after="20"/>
              <w:jc w:val="center"/>
            </w:pPr>
            <w:r>
              <w:rPr>
                <w:sz w:val="17"/>
              </w:rPr>
              <w:t xml:space="preserve">0.20 (0.9)</w:t>
            </w:r>
          </w:p>
        </w:tc>
        <w:tc>
          <w:tcPr>
            <w:tcW w:type="dxa" w:w="1441"/>
          </w:tcPr>
          <w:p>
            <w:pPr>
              <w:pStyle w:val="Compact"/>
              <w:spacing w:line="240" w:lineRule="auto" w:after="20"/>
              <w:jc w:val="center"/>
            </w:pPr>
            <w:r>
              <w:rPr>
                <w:sz w:val="17"/>
              </w:rPr>
              <w:t xml:space="preserve">−0.47 (−2.9)</w:t>
            </w:r>
          </w:p>
        </w:tc>
        <w:tc>
          <w:tcPr>
            <w:tcW w:type="dxa" w:w="1356"/>
          </w:tcPr>
          <w:p>
            <w:pPr>
              <w:pStyle w:val="Compact"/>
              <w:spacing w:line="240" w:lineRule="auto" w:after="20"/>
              <w:jc w:val="center"/>
            </w:pPr>
            <w:r>
              <w:rPr>
                <w:sz w:val="17"/>
              </w:rPr>
              <w:t xml:space="preserve">−0.66 (−1.4)</w:t>
            </w:r>
          </w:p>
        </w:tc>
      </w:tr>
      <w:tr>
        <w:tc>
          <w:tcPr>
            <w:tcW w:type="dxa" w:w="2204"/>
          </w:tcPr>
          <w:p>
            <w:pPr>
              <w:pStyle w:val="Compact"/>
              <w:spacing w:line="240" w:lineRule="auto" w:after="20"/>
              <w:jc w:val="left"/>
            </w:pPr>
            <w:r>
              <w:rPr>
                <w:sz w:val="17"/>
              </w:rPr>
              <w:t xml:space="preserve">Locked all day</w:t>
            </w:r>
          </w:p>
        </w:tc>
        <w:tc>
          <w:tcPr>
            <w:tcW w:type="dxa" w:w="1356"/>
          </w:tcPr>
          <w:p>
            <w:pPr>
              <w:pStyle w:val="Compact"/>
              <w:spacing w:line="240" w:lineRule="auto" w:after="20"/>
              <w:jc w:val="center"/>
            </w:pPr>
            <w:r>
              <w:rPr>
                <w:sz w:val="17"/>
              </w:rPr>
              <w:t xml:space="preserve">260</w:t>
            </w:r>
          </w:p>
        </w:tc>
        <w:tc>
          <w:tcPr>
            <w:tcW w:type="dxa" w:w="1356"/>
          </w:tcPr>
          <w:p>
            <w:pPr>
              <w:pStyle w:val="Compact"/>
              <w:spacing w:line="240" w:lineRule="auto" w:after="20"/>
              <w:jc w:val="center"/>
            </w:pPr>
            <w:r>
              <w:rPr>
                <w:sz w:val="17"/>
              </w:rPr>
              <w:t xml:space="preserve">−2.50 (−4.8)</w:t>
            </w:r>
          </w:p>
        </w:tc>
        <w:tc>
          <w:tcPr>
            <w:tcW w:type="dxa" w:w="1356"/>
          </w:tcPr>
          <w:p>
            <w:pPr>
              <w:pStyle w:val="Compact"/>
              <w:spacing w:line="240" w:lineRule="auto" w:after="20"/>
              <w:jc w:val="center"/>
            </w:pPr>
            <w:r>
              <w:rPr>
                <w:sz w:val="17"/>
              </w:rPr>
              <w:t xml:space="preserve">1.11 (2.4)</w:t>
            </w:r>
          </w:p>
        </w:tc>
        <w:tc>
          <w:tcPr>
            <w:tcW w:type="dxa" w:w="1441"/>
          </w:tcPr>
          <w:p>
            <w:pPr>
              <w:pStyle w:val="Compact"/>
              <w:spacing w:line="240" w:lineRule="auto" w:after="20"/>
              <w:jc w:val="center"/>
            </w:pPr>
            <w:r>
              <w:rPr>
                <w:sz w:val="17"/>
              </w:rPr>
              <w:t xml:space="preserve">−1.44 (−3.4)</w:t>
            </w:r>
          </w:p>
        </w:tc>
        <w:tc>
          <w:tcPr>
            <w:tcW w:type="dxa" w:w="1356"/>
          </w:tcPr>
          <w:p>
            <w:pPr>
              <w:pStyle w:val="Compact"/>
              <w:spacing w:line="240" w:lineRule="auto" w:after="20"/>
              <w:jc w:val="center"/>
            </w:pPr>
            <w:r>
              <w:rPr>
                <w:sz w:val="17"/>
              </w:rPr>
              <w:t xml:space="preserve">−3.91 (−3.0)</w:t>
            </w:r>
          </w:p>
        </w:tc>
      </w:tr>
      <w:tr>
        <w:tc>
          <w:tcPr>
            <w:tcW w:type="dxa" w:w="2204"/>
          </w:tcPr>
          <w:p>
            <w:pPr>
              <w:pStyle w:val="Compact"/>
              <w:spacing w:line="240" w:lineRule="auto" w:after="20"/>
              <w:jc w:val="left"/>
            </w:pPr>
            <w:r>
              <w:rPr>
                <w:sz w:val="17"/>
              </w:rPr>
              <w:t xml:space="preserve">First half of sample</w:t>
            </w:r>
          </w:p>
        </w:tc>
        <w:tc>
          <w:tcPr>
            <w:tcW w:type="dxa" w:w="1356"/>
          </w:tcPr>
          <w:p>
            <w:pPr>
              <w:pStyle w:val="Compact"/>
              <w:spacing w:line="240" w:lineRule="auto" w:after="20"/>
              <w:jc w:val="center"/>
            </w:pPr>
            <w:r>
              <w:rPr>
                <w:sz w:val="17"/>
              </w:rPr>
              <w:t xml:space="preserve">1,059</w:t>
            </w:r>
          </w:p>
        </w:tc>
        <w:tc>
          <w:tcPr>
            <w:tcW w:type="dxa" w:w="1356"/>
          </w:tcPr>
          <w:p>
            <w:pPr>
              <w:pStyle w:val="Compact"/>
              <w:spacing w:line="240" w:lineRule="auto" w:after="20"/>
              <w:jc w:val="center"/>
            </w:pPr>
            <w:r>
              <w:rPr>
                <w:sz w:val="17"/>
              </w:rPr>
              <w:t xml:space="preserve">−0.55 (−2.4)</w:t>
            </w:r>
          </w:p>
        </w:tc>
        <w:tc>
          <w:tcPr>
            <w:tcW w:type="dxa" w:w="1356"/>
          </w:tcPr>
          <w:p>
            <w:pPr>
              <w:pStyle w:val="Compact"/>
              <w:spacing w:line="240" w:lineRule="auto" w:after="20"/>
              <w:jc w:val="center"/>
            </w:pPr>
            <w:r>
              <w:rPr>
                <w:sz w:val="17"/>
              </w:rPr>
              <w:t xml:space="preserve">−0.09 (−0.3)</w:t>
            </w:r>
          </w:p>
        </w:tc>
        <w:tc>
          <w:tcPr>
            <w:tcW w:type="dxa" w:w="1441"/>
          </w:tcPr>
          <w:p>
            <w:pPr>
              <w:pStyle w:val="Compact"/>
              <w:spacing w:line="240" w:lineRule="auto" w:after="20"/>
              <w:jc w:val="center"/>
            </w:pPr>
            <w:r>
              <w:rPr>
                <w:sz w:val="17"/>
              </w:rPr>
              <w:t xml:space="preserve">−0.63 (−2.9)</w:t>
            </w:r>
          </w:p>
        </w:tc>
        <w:tc>
          <w:tcPr>
            <w:tcW w:type="dxa" w:w="1356"/>
          </w:tcPr>
          <w:p>
            <w:pPr>
              <w:pStyle w:val="Compact"/>
              <w:spacing w:line="240" w:lineRule="auto" w:after="20"/>
              <w:jc w:val="center"/>
            </w:pPr>
            <w:r>
              <w:rPr>
                <w:sz w:val="17"/>
              </w:rPr>
              <w:t xml:space="preserve">−1.69 (−5.1)</w:t>
            </w:r>
          </w:p>
        </w:tc>
      </w:tr>
      <w:tr>
        <w:tc>
          <w:tcPr>
            <w:tcW w:type="dxa" w:w="2204"/>
          </w:tcPr>
          <w:p>
            <w:pPr>
              <w:pStyle w:val="Compact"/>
              <w:spacing w:line="240" w:lineRule="auto" w:after="20"/>
              <w:jc w:val="left"/>
            </w:pPr>
            <w:r>
              <w:rPr>
                <w:sz w:val="17"/>
              </w:rPr>
              <w:t xml:space="preserve">Second half of sample</w:t>
            </w:r>
          </w:p>
        </w:tc>
        <w:tc>
          <w:tcPr>
            <w:tcW w:type="dxa" w:w="1356"/>
          </w:tcPr>
          <w:p>
            <w:pPr>
              <w:pStyle w:val="Compact"/>
              <w:spacing w:line="240" w:lineRule="auto" w:after="20"/>
              <w:jc w:val="center"/>
            </w:pPr>
            <w:r>
              <w:rPr>
                <w:sz w:val="17"/>
              </w:rPr>
              <w:t xml:space="preserve">1,052</w:t>
            </w:r>
          </w:p>
        </w:tc>
        <w:tc>
          <w:tcPr>
            <w:tcW w:type="dxa" w:w="1356"/>
          </w:tcPr>
          <w:p>
            <w:pPr>
              <w:pStyle w:val="Compact"/>
              <w:spacing w:line="240" w:lineRule="auto" w:after="20"/>
              <w:jc w:val="center"/>
            </w:pPr>
            <w:r>
              <w:rPr>
                <w:sz w:val="17"/>
              </w:rPr>
              <w:t xml:space="preserve">−1.40 (−6.5)</w:t>
            </w:r>
          </w:p>
        </w:tc>
        <w:tc>
          <w:tcPr>
            <w:tcW w:type="dxa" w:w="1356"/>
          </w:tcPr>
          <w:p>
            <w:pPr>
              <w:pStyle w:val="Compact"/>
              <w:spacing w:line="240" w:lineRule="auto" w:after="20"/>
              <w:jc w:val="center"/>
            </w:pPr>
            <w:r>
              <w:rPr>
                <w:sz w:val="17"/>
              </w:rPr>
              <w:t xml:space="preserve">0.70 (4.9)</w:t>
            </w:r>
          </w:p>
        </w:tc>
        <w:tc>
          <w:tcPr>
            <w:tcW w:type="dxa" w:w="1441"/>
          </w:tcPr>
          <w:p>
            <w:pPr>
              <w:pStyle w:val="Compact"/>
              <w:spacing w:line="240" w:lineRule="auto" w:after="20"/>
              <w:jc w:val="center"/>
            </w:pPr>
            <w:r>
              <w:rPr>
                <w:sz w:val="17"/>
              </w:rPr>
              <w:t xml:space="preserve">−0.75 (−4.3)</w:t>
            </w:r>
          </w:p>
        </w:tc>
        <w:tc>
          <w:tcPr>
            <w:tcW w:type="dxa" w:w="1356"/>
          </w:tcPr>
          <w:p>
            <w:pPr>
              <w:pStyle w:val="Compact"/>
              <w:spacing w:line="240" w:lineRule="auto" w:after="20"/>
              <w:jc w:val="center"/>
            </w:pPr>
            <w:r>
              <w:rPr>
                <w:sz w:val="17"/>
              </w:rPr>
              <w:t xml:space="preserve">0.07 (0.1)</w:t>
            </w:r>
          </w:p>
        </w:tc>
      </w:tr>
      <w:tr>
        <w:tc>
          <w:tcPr>
            <w:tcW w:type="dxa" w:w="2204"/>
            <w:tcBorders>
              <w:bottom w:val="single" w:sz="6" w:space="0" w:color="000000"/>
            </w:tcBorders>
          </w:tcPr>
          <w:p>
            <w:pPr>
              <w:pStyle w:val="Compact"/>
              <w:spacing w:line="240" w:lineRule="auto" w:after="20"/>
              <w:jc w:val="left"/>
            </w:pPr>
            <w:r>
              <w:rPr>
                <w:sz w:val="17"/>
              </w:rPr>
              <w:t xml:space="preserve">Excluding days with market &lt; −2%</w:t>
            </w:r>
          </w:p>
        </w:tc>
        <w:tc>
          <w:tcPr>
            <w:tcW w:type="dxa" w:w="1356"/>
            <w:tcBorders>
              <w:bottom w:val="single" w:sz="6" w:space="0" w:color="000000"/>
            </w:tcBorders>
          </w:tcPr>
          <w:p>
            <w:pPr>
              <w:pStyle w:val="Compact"/>
              <w:spacing w:line="240" w:lineRule="auto" w:after="20"/>
              <w:jc w:val="center"/>
            </w:pPr>
            <w:r>
              <w:rPr>
                <w:sz w:val="17"/>
              </w:rPr>
              <w:t xml:space="preserve">740</w:t>
            </w:r>
          </w:p>
        </w:tc>
        <w:tc>
          <w:tcPr>
            <w:tcW w:type="dxa" w:w="1356"/>
            <w:tcBorders>
              <w:bottom w:val="single" w:sz="6" w:space="0" w:color="000000"/>
            </w:tcBorders>
          </w:tcPr>
          <w:p>
            <w:pPr>
              <w:pStyle w:val="Compact"/>
              <w:spacing w:line="240" w:lineRule="auto" w:after="20"/>
              <w:jc w:val="center"/>
            </w:pPr>
            <w:r>
              <w:rPr>
                <w:sz w:val="17"/>
              </w:rPr>
              <w:t xml:space="preserve">−1.83 (−8.7)</w:t>
            </w:r>
          </w:p>
        </w:tc>
        <w:tc>
          <w:tcPr>
            <w:tcW w:type="dxa" w:w="1356"/>
            <w:tcBorders>
              <w:bottom w:val="single" w:sz="6" w:space="0" w:color="000000"/>
            </w:tcBorders>
          </w:tcPr>
          <w:p>
            <w:pPr>
              <w:pStyle w:val="Compact"/>
              <w:spacing w:line="240" w:lineRule="auto" w:after="20"/>
              <w:jc w:val="center"/>
            </w:pPr>
            <w:r>
              <w:rPr>
                <w:sz w:val="17"/>
              </w:rPr>
              <w:t xml:space="preserve">0.90 (5.3)</w:t>
            </w:r>
          </w:p>
        </w:tc>
        <w:tc>
          <w:tcPr>
            <w:tcW w:type="dxa" w:w="1441"/>
            <w:tcBorders>
              <w:bottom w:val="single" w:sz="6" w:space="0" w:color="000000"/>
            </w:tcBorders>
          </w:tcPr>
          <w:p>
            <w:pPr>
              <w:pStyle w:val="Compact"/>
              <w:spacing w:line="240" w:lineRule="auto" w:after="20"/>
              <w:jc w:val="center"/>
            </w:pPr>
            <w:r>
              <w:rPr>
                <w:sz w:val="17"/>
              </w:rPr>
              <w:t xml:space="preserve">−0.99 (−4.5)</w:t>
            </w:r>
          </w:p>
        </w:tc>
        <w:tc>
          <w:tcPr>
            <w:tcW w:type="dxa" w:w="1356"/>
            <w:tcBorders>
              <w:bottom w:val="single" w:sz="6" w:space="0" w:color="000000"/>
            </w:tcBorders>
          </w:tcPr>
          <w:p>
            <w:pPr>
              <w:pStyle w:val="Compact"/>
              <w:spacing w:line="240" w:lineRule="auto" w:after="20"/>
              <w:jc w:val="center"/>
            </w:pPr>
            <w:r>
              <w:rPr>
                <w:sz w:val="17"/>
              </w:rPr>
              <w:t xml:space="preserve">−0.81 (−1.7)</w:t>
            </w:r>
          </w:p>
        </w:tc>
      </w:tr>
    </w:tbl>
    <w:p>
      <w:pPr>
        <w:pStyle w:val="BodyText"/>
        <w:spacing w:line="360" w:lineRule="auto" w:after="120"/>
        <w:jc w:val="left"/>
      </w:pP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−2%. Components compound, so they need not sum.</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360" w:lineRule="auto" w:after="120"/>
        <w:jc w:val="left"/>
      </w:pPr>
      <w:r>
        <w:rPr>
          <w:bCs/>
          <w:b/>
        </w:rPr>
        <w:t xml:space="preserve">Table 3.</w:t>
      </w:r>
      <w:r>
        <w:t xml:space="preserve"> </w:t>
      </w:r>
      <w:r>
        <w:t xml:space="preserve">Limit closes versus near-limit moves</w:t>
      </w:r>
    </w:p>
    <w:tbl>
      <w:tblPr>
        <w:tblStyle w:val="Table"/>
        <w:tblW w:type="pct" w:w="5000"/>
        <w:tblLayout w:type="fixed"/>
        <w:tblLook w:firstRow="1" w:lastRow="0" w:firstColumn="0" w:lastColumn="0" w:noHBand="0" w:noVBand="0" w:val="0020"/>
        <w:jc w:val="start"/>
      </w:tblPr>
      <w:tblGrid>
        <w:gridCol w:w="2105"/>
        <w:gridCol w:w="1295"/>
        <w:gridCol w:w="1295"/>
        <w:gridCol w:w="1376"/>
        <w:gridCol w:w="1295"/>
        <w:gridCol w:w="1700"/>
      </w:tblGrid>
      <w:tr>
        <w:trPr>
          <w:tblHeader w:val="true"/>
        </w:trPr>
        <w:tc>
          <w:tcPr>
            <w:tcW w:type="dxa" w:w="2106"/>
            <w:tcBorders>
              <w:top w:val="single" w:sz="6" w:space="0" w:color="000000"/>
              <w:bottom w:val="single" w:sz="6" w:space="0" w:color="000000"/>
            </w:tcBorders>
          </w:tcPr>
          <w:p>
            <w:pPr>
              <w:pStyle w:val="Compact"/>
              <w:spacing w:line="240" w:lineRule="auto" w:after="20"/>
              <w:jc w:val="left"/>
            </w:pPr>
            <w:r>
              <w:rPr>
                <w:b/>
                <w:sz w:val="17"/>
              </w:rPr>
              <w:t xml:space="preserve">Contrast</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377"/>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c>
          <w:tcPr>
            <w:tcW w:type="dxa" w:w="1701"/>
            <w:tcBorders>
              <w:top w:val="single" w:sz="6" w:space="0" w:color="000000"/>
              <w:bottom w:val="single" w:sz="6" w:space="0" w:color="000000"/>
            </w:tcBorders>
          </w:tcPr>
          <w:p>
            <w:pPr>
              <w:pStyle w:val="Compact"/>
              <w:spacing w:line="240" w:lineRule="auto" w:after="20"/>
              <w:jc w:val="center"/>
            </w:pPr>
            <w:r>
              <w:rPr>
                <w:b/>
                <w:sz w:val="17"/>
              </w:rPr>
              <w:t xml:space="preserve">Comparison stock-days</w:t>
            </w:r>
          </w:p>
        </w:tc>
      </w:tr>
      <w:tr>
        <w:tc>
          <w:tcPr>
            <w:tcW w:type="dxa" w:w="2106"/>
          </w:tcPr>
          <w:p>
            <w:pPr>
              <w:pStyle w:val="Compact"/>
              <w:spacing w:line="240" w:lineRule="auto" w:after="20"/>
              <w:jc w:val="left"/>
            </w:pPr>
            <w:r>
              <w:rPr>
                <w:sz w:val="17"/>
              </w:rPr>
              <w:t xml:space="preserve">Ceiling vs 5–6.5% rises</w:t>
            </w:r>
          </w:p>
        </w:tc>
        <w:tc>
          <w:tcPr>
            <w:tcW w:type="dxa" w:w="1296"/>
          </w:tcPr>
          <w:p>
            <w:pPr>
              <w:pStyle w:val="Compact"/>
              <w:spacing w:line="240" w:lineRule="auto" w:after="20"/>
              <w:jc w:val="center"/>
            </w:pPr>
            <w:r>
              <w:rPr>
                <w:sz w:val="17"/>
              </w:rPr>
              <w:t xml:space="preserve">2.66 (14.0)</w:t>
            </w:r>
          </w:p>
        </w:tc>
        <w:tc>
          <w:tcPr>
            <w:tcW w:type="dxa" w:w="1296"/>
          </w:tcPr>
          <w:p>
            <w:pPr>
              <w:pStyle w:val="Compact"/>
              <w:spacing w:line="240" w:lineRule="auto" w:after="20"/>
              <w:jc w:val="center"/>
            </w:pPr>
            <w:r>
              <w:rPr>
                <w:sz w:val="17"/>
              </w:rPr>
              <w:t xml:space="preserve">−0.31 (−2.1)</w:t>
            </w:r>
          </w:p>
        </w:tc>
        <w:tc>
          <w:tcPr>
            <w:tcW w:type="dxa" w:w="1377"/>
          </w:tcPr>
          <w:p>
            <w:pPr>
              <w:pStyle w:val="Compact"/>
              <w:spacing w:line="240" w:lineRule="auto" w:after="20"/>
              <w:jc w:val="center"/>
            </w:pPr>
            <w:r>
              <w:rPr>
                <w:sz w:val="17"/>
              </w:rPr>
              <w:t xml:space="preserve">2.32 (7.6)</w:t>
            </w:r>
          </w:p>
        </w:tc>
        <w:tc>
          <w:tcPr>
            <w:tcW w:type="dxa" w:w="1296"/>
          </w:tcPr>
          <w:p>
            <w:pPr>
              <w:pStyle w:val="Compact"/>
              <w:spacing w:line="240" w:lineRule="auto" w:after="20"/>
              <w:jc w:val="center"/>
            </w:pPr>
            <w:r>
              <w:rPr>
                <w:sz w:val="17"/>
              </w:rPr>
              <w:t xml:space="preserve">−0.02 (−0.1)</w:t>
            </w:r>
          </w:p>
        </w:tc>
        <w:tc>
          <w:tcPr>
            <w:tcW w:type="dxa" w:w="1701"/>
          </w:tcPr>
          <w:p>
            <w:pPr>
              <w:pStyle w:val="Compact"/>
              <w:spacing w:line="240" w:lineRule="auto" w:after="20"/>
              <w:jc w:val="center"/>
            </w:pPr>
            <w:r>
              <w:rPr>
                <w:sz w:val="17"/>
              </w:rPr>
              <w:t xml:space="preserve">1,751</w:t>
            </w:r>
          </w:p>
        </w:tc>
      </w:tr>
      <w:tr>
        <w:tc>
          <w:tcPr>
            <w:tcW w:type="dxa" w:w="2106"/>
          </w:tcPr>
          <w:p>
            <w:pPr>
              <w:pStyle w:val="Compact"/>
              <w:spacing w:line="240" w:lineRule="auto" w:after="20"/>
              <w:jc w:val="left"/>
            </w:pPr>
            <w:r>
              <w:rPr>
                <w:sz w:val="17"/>
              </w:rPr>
              <w:t xml:space="preserve">same, comparison closes at its high</w:t>
            </w:r>
          </w:p>
        </w:tc>
        <w:tc>
          <w:tcPr>
            <w:tcW w:type="dxa" w:w="1296"/>
          </w:tcPr>
          <w:p>
            <w:pPr>
              <w:pStyle w:val="Compact"/>
              <w:spacing w:line="240" w:lineRule="auto" w:after="20"/>
              <w:jc w:val="center"/>
            </w:pPr>
            <w:r>
              <w:rPr>
                <w:sz w:val="17"/>
              </w:rPr>
              <w:t xml:space="preserve">3.14 (14.5)</w:t>
            </w:r>
          </w:p>
        </w:tc>
        <w:tc>
          <w:tcPr>
            <w:tcW w:type="dxa" w:w="1296"/>
          </w:tcPr>
          <w:p>
            <w:pPr>
              <w:pStyle w:val="Compact"/>
              <w:spacing w:line="240" w:lineRule="auto" w:after="20"/>
              <w:jc w:val="center"/>
            </w:pPr>
            <w:r>
              <w:rPr>
                <w:sz w:val="17"/>
              </w:rPr>
              <w:t xml:space="preserve">−0.66 (−3.4)</w:t>
            </w:r>
          </w:p>
        </w:tc>
        <w:tc>
          <w:tcPr>
            <w:tcW w:type="dxa" w:w="1377"/>
          </w:tcPr>
          <w:p>
            <w:pPr>
              <w:pStyle w:val="Compact"/>
              <w:spacing w:line="240" w:lineRule="auto" w:after="20"/>
              <w:jc w:val="center"/>
            </w:pPr>
            <w:r>
              <w:rPr>
                <w:sz w:val="17"/>
              </w:rPr>
              <w:t xml:space="preserve">2.47 (7.2)</w:t>
            </w:r>
          </w:p>
        </w:tc>
        <w:tc>
          <w:tcPr>
            <w:tcW w:type="dxa" w:w="1296"/>
          </w:tcPr>
          <w:p>
            <w:pPr>
              <w:pStyle w:val="Compact"/>
              <w:spacing w:line="240" w:lineRule="auto" w:after="20"/>
              <w:jc w:val="center"/>
            </w:pPr>
            <w:r>
              <w:rPr>
                <w:sz w:val="17"/>
              </w:rPr>
              <w:t xml:space="preserve">−0.49 (−1.5)</w:t>
            </w:r>
          </w:p>
        </w:tc>
        <w:tc>
          <w:tcPr>
            <w:tcW w:type="dxa" w:w="1701"/>
          </w:tcPr>
          <w:p>
            <w:pPr>
              <w:pStyle w:val="Compact"/>
              <w:spacing w:line="240" w:lineRule="auto" w:after="20"/>
              <w:jc w:val="center"/>
            </w:pPr>
            <w:r>
              <w:rPr>
                <w:sz w:val="17"/>
              </w:rPr>
              <w:t xml:space="preserve">679</w:t>
            </w:r>
          </w:p>
        </w:tc>
      </w:tr>
      <w:tr>
        <w:tc>
          <w:tcPr>
            <w:tcW w:type="dxa" w:w="2106"/>
          </w:tcPr>
          <w:p>
            <w:pPr>
              <w:pStyle w:val="Compact"/>
              <w:spacing w:line="240" w:lineRule="auto" w:after="20"/>
              <w:jc w:val="left"/>
            </w:pPr>
            <w:r>
              <w:rPr>
                <w:sz w:val="17"/>
              </w:rPr>
              <w:t xml:space="preserve">Ceiling vs 3–5% rises</w:t>
            </w:r>
          </w:p>
        </w:tc>
        <w:tc>
          <w:tcPr>
            <w:tcW w:type="dxa" w:w="1296"/>
          </w:tcPr>
          <w:p>
            <w:pPr>
              <w:pStyle w:val="Compact"/>
              <w:spacing w:line="240" w:lineRule="auto" w:after="20"/>
              <w:jc w:val="center"/>
            </w:pPr>
            <w:r>
              <w:rPr>
                <w:sz w:val="17"/>
              </w:rPr>
              <w:t xml:space="preserve">2.40 (11.6)</w:t>
            </w:r>
          </w:p>
        </w:tc>
        <w:tc>
          <w:tcPr>
            <w:tcW w:type="dxa" w:w="1296"/>
          </w:tcPr>
          <w:p>
            <w:pPr>
              <w:pStyle w:val="Compact"/>
              <w:spacing w:line="240" w:lineRule="auto" w:after="20"/>
              <w:jc w:val="center"/>
            </w:pPr>
            <w:r>
              <w:rPr>
                <w:sz w:val="17"/>
              </w:rPr>
              <w:t xml:space="preserve">−0.32 (−2.2)</w:t>
            </w:r>
          </w:p>
        </w:tc>
        <w:tc>
          <w:tcPr>
            <w:tcW w:type="dxa" w:w="1377"/>
          </w:tcPr>
          <w:p>
            <w:pPr>
              <w:pStyle w:val="Compact"/>
              <w:spacing w:line="240" w:lineRule="auto" w:after="20"/>
              <w:jc w:val="center"/>
            </w:pPr>
            <w:r>
              <w:rPr>
                <w:sz w:val="17"/>
              </w:rPr>
              <w:t xml:space="preserve">2.05 (6.1)</w:t>
            </w:r>
          </w:p>
        </w:tc>
        <w:tc>
          <w:tcPr>
            <w:tcW w:type="dxa" w:w="1296"/>
          </w:tcPr>
          <w:p>
            <w:pPr>
              <w:pStyle w:val="Compact"/>
              <w:spacing w:line="240" w:lineRule="auto" w:after="20"/>
              <w:jc w:val="center"/>
            </w:pPr>
            <w:r>
              <w:rPr>
                <w:sz w:val="17"/>
              </w:rPr>
              <w:t xml:space="preserve">−0.45 (−2.2)</w:t>
            </w:r>
          </w:p>
        </w:tc>
        <w:tc>
          <w:tcPr>
            <w:tcW w:type="dxa" w:w="1701"/>
          </w:tcPr>
          <w:p>
            <w:pPr>
              <w:pStyle w:val="Compact"/>
              <w:spacing w:line="240" w:lineRule="auto" w:after="20"/>
              <w:jc w:val="center"/>
            </w:pPr>
            <w:r>
              <w:rPr>
                <w:sz w:val="17"/>
              </w:rPr>
              <w:t xml:space="preserve">5,932</w:t>
            </w:r>
          </w:p>
        </w:tc>
      </w:tr>
      <w:tr>
        <w:tc>
          <w:tcPr>
            <w:tcW w:type="dxa" w:w="2106"/>
          </w:tcPr>
          <w:p>
            <w:pPr>
              <w:pStyle w:val="Compact"/>
              <w:spacing w:line="240" w:lineRule="auto" w:after="20"/>
              <w:jc w:val="left"/>
            </w:pPr>
            <w:r>
              <w:rPr>
                <w:sz w:val="17"/>
              </w:rPr>
              <w:t xml:space="preserve">same, comparison closes at its high</w:t>
            </w:r>
          </w:p>
        </w:tc>
        <w:tc>
          <w:tcPr>
            <w:tcW w:type="dxa" w:w="1296"/>
          </w:tcPr>
          <w:p>
            <w:pPr>
              <w:pStyle w:val="Compact"/>
              <w:spacing w:line="240" w:lineRule="auto" w:after="20"/>
              <w:jc w:val="center"/>
            </w:pPr>
            <w:r>
              <w:rPr>
                <w:sz w:val="17"/>
              </w:rPr>
              <w:t xml:space="preserve">2.81 (13.1)</w:t>
            </w:r>
          </w:p>
        </w:tc>
        <w:tc>
          <w:tcPr>
            <w:tcW w:type="dxa" w:w="1296"/>
          </w:tcPr>
          <w:p>
            <w:pPr>
              <w:pStyle w:val="Compact"/>
              <w:spacing w:line="240" w:lineRule="auto" w:after="20"/>
              <w:jc w:val="center"/>
            </w:pPr>
            <w:r>
              <w:rPr>
                <w:sz w:val="17"/>
              </w:rPr>
              <w:t xml:space="preserve">−0.61 (−3.8)</w:t>
            </w:r>
          </w:p>
        </w:tc>
        <w:tc>
          <w:tcPr>
            <w:tcW w:type="dxa" w:w="1377"/>
          </w:tcPr>
          <w:p>
            <w:pPr>
              <w:pStyle w:val="Compact"/>
              <w:spacing w:line="240" w:lineRule="auto" w:after="20"/>
              <w:jc w:val="center"/>
            </w:pPr>
            <w:r>
              <w:rPr>
                <w:sz w:val="17"/>
              </w:rPr>
              <w:t xml:space="preserve">2.17 (6.4)</w:t>
            </w:r>
          </w:p>
        </w:tc>
        <w:tc>
          <w:tcPr>
            <w:tcW w:type="dxa" w:w="1296"/>
          </w:tcPr>
          <w:p>
            <w:pPr>
              <w:pStyle w:val="Compact"/>
              <w:spacing w:line="240" w:lineRule="auto" w:after="20"/>
              <w:jc w:val="center"/>
            </w:pPr>
            <w:r>
              <w:rPr>
                <w:sz w:val="17"/>
              </w:rPr>
              <w:t xml:space="preserve">−0.64 (−2.7)</w:t>
            </w:r>
          </w:p>
        </w:tc>
        <w:tc>
          <w:tcPr>
            <w:tcW w:type="dxa" w:w="1701"/>
          </w:tcPr>
          <w:p>
            <w:pPr>
              <w:pStyle w:val="Compact"/>
              <w:spacing w:line="240" w:lineRule="auto" w:after="20"/>
              <w:jc w:val="center"/>
            </w:pPr>
            <w:r>
              <w:rPr>
                <w:sz w:val="17"/>
              </w:rPr>
              <w:t xml:space="preserve">1,795</w:t>
            </w:r>
          </w:p>
        </w:tc>
      </w:tr>
      <w:tr>
        <w:tc>
          <w:tcPr>
            <w:tcW w:type="dxa" w:w="2106"/>
          </w:tcPr>
          <w:p>
            <w:pPr>
              <w:pStyle w:val="Compact"/>
              <w:spacing w:line="240" w:lineRule="auto" w:after="20"/>
              <w:jc w:val="left"/>
            </w:pPr>
            <w:r>
              <w:rPr>
                <w:sz w:val="17"/>
              </w:rPr>
              <w:t xml:space="preserve">Floor vs 5–6.5% falls</w:t>
            </w:r>
          </w:p>
        </w:tc>
        <w:tc>
          <w:tcPr>
            <w:tcW w:type="dxa" w:w="1296"/>
          </w:tcPr>
          <w:p>
            <w:pPr>
              <w:pStyle w:val="Compact"/>
              <w:spacing w:line="240" w:lineRule="auto" w:after="20"/>
              <w:jc w:val="center"/>
            </w:pPr>
            <w:r>
              <w:rPr>
                <w:sz w:val="17"/>
              </w:rPr>
              <w:t xml:space="preserve">−1.59 (−9.7)</w:t>
            </w:r>
          </w:p>
        </w:tc>
        <w:tc>
          <w:tcPr>
            <w:tcW w:type="dxa" w:w="1296"/>
          </w:tcPr>
          <w:p>
            <w:pPr>
              <w:pStyle w:val="Compact"/>
              <w:spacing w:line="240" w:lineRule="auto" w:after="20"/>
              <w:jc w:val="center"/>
            </w:pPr>
            <w:r>
              <w:rPr>
                <w:sz w:val="17"/>
              </w:rPr>
              <w:t xml:space="preserve">−0.07 (−0.3)</w:t>
            </w:r>
          </w:p>
        </w:tc>
        <w:tc>
          <w:tcPr>
            <w:tcW w:type="dxa" w:w="1377"/>
          </w:tcPr>
          <w:p>
            <w:pPr>
              <w:pStyle w:val="Compact"/>
              <w:spacing w:line="240" w:lineRule="auto" w:after="20"/>
              <w:jc w:val="center"/>
            </w:pPr>
            <w:r>
              <w:rPr>
                <w:sz w:val="17"/>
              </w:rPr>
              <w:t xml:space="preserve">−1.66 (−11.6)</w:t>
            </w:r>
          </w:p>
        </w:tc>
        <w:tc>
          <w:tcPr>
            <w:tcW w:type="dxa" w:w="1296"/>
          </w:tcPr>
          <w:p>
            <w:pPr>
              <w:pStyle w:val="Compact"/>
              <w:spacing w:line="240" w:lineRule="auto" w:after="20"/>
              <w:jc w:val="center"/>
            </w:pPr>
            <w:r>
              <w:rPr>
                <w:sz w:val="17"/>
              </w:rPr>
              <w:t xml:space="preserve">−1.01 (−2.6)</w:t>
            </w:r>
          </w:p>
        </w:tc>
        <w:tc>
          <w:tcPr>
            <w:tcW w:type="dxa" w:w="1701"/>
          </w:tcPr>
          <w:p>
            <w:pPr>
              <w:pStyle w:val="Compact"/>
              <w:spacing w:line="240" w:lineRule="auto" w:after="20"/>
              <w:jc w:val="center"/>
            </w:pPr>
            <w:r>
              <w:rPr>
                <w:sz w:val="17"/>
              </w:rPr>
              <w:t xml:space="preserve">1,522</w:t>
            </w:r>
          </w:p>
        </w:tc>
      </w:tr>
      <w:tr>
        <w:tc>
          <w:tcPr>
            <w:tcW w:type="dxa" w:w="2106"/>
          </w:tcPr>
          <w:p>
            <w:pPr>
              <w:pStyle w:val="Compact"/>
              <w:spacing w:line="240" w:lineRule="auto" w:after="20"/>
              <w:jc w:val="left"/>
            </w:pPr>
            <w:r>
              <w:rPr>
                <w:sz w:val="17"/>
              </w:rPr>
              <w:t xml:space="preserve">same, comparison closes at its low</w:t>
            </w:r>
          </w:p>
        </w:tc>
        <w:tc>
          <w:tcPr>
            <w:tcW w:type="dxa" w:w="1296"/>
          </w:tcPr>
          <w:p>
            <w:pPr>
              <w:pStyle w:val="Compact"/>
              <w:spacing w:line="240" w:lineRule="auto" w:after="20"/>
              <w:jc w:val="center"/>
            </w:pPr>
            <w:r>
              <w:rPr>
                <w:sz w:val="17"/>
              </w:rPr>
              <w:t xml:space="preserve">−1.81 (−8.7)</w:t>
            </w:r>
          </w:p>
        </w:tc>
        <w:tc>
          <w:tcPr>
            <w:tcW w:type="dxa" w:w="1296"/>
          </w:tcPr>
          <w:p>
            <w:pPr>
              <w:pStyle w:val="Compact"/>
              <w:spacing w:line="240" w:lineRule="auto" w:after="20"/>
              <w:jc w:val="center"/>
            </w:pPr>
            <w:r>
              <w:rPr>
                <w:sz w:val="17"/>
              </w:rPr>
              <w:t xml:space="preserve">−0.13 (−0.6)</w:t>
            </w:r>
          </w:p>
        </w:tc>
        <w:tc>
          <w:tcPr>
            <w:tcW w:type="dxa" w:w="1377"/>
          </w:tcPr>
          <w:p>
            <w:pPr>
              <w:pStyle w:val="Compact"/>
              <w:spacing w:line="240" w:lineRule="auto" w:after="20"/>
              <w:jc w:val="center"/>
            </w:pPr>
            <w:r>
              <w:rPr>
                <w:sz w:val="17"/>
              </w:rPr>
              <w:t xml:space="preserve">−1.95 (−10.7)</w:t>
            </w:r>
          </w:p>
        </w:tc>
        <w:tc>
          <w:tcPr>
            <w:tcW w:type="dxa" w:w="1296"/>
          </w:tcPr>
          <w:p>
            <w:pPr>
              <w:pStyle w:val="Compact"/>
              <w:spacing w:line="240" w:lineRule="auto" w:after="20"/>
              <w:jc w:val="center"/>
            </w:pPr>
            <w:r>
              <w:rPr>
                <w:sz w:val="17"/>
              </w:rPr>
              <w:t xml:space="preserve">−1.23 (−2.8)</w:t>
            </w:r>
          </w:p>
        </w:tc>
        <w:tc>
          <w:tcPr>
            <w:tcW w:type="dxa" w:w="1701"/>
          </w:tcPr>
          <w:p>
            <w:pPr>
              <w:pStyle w:val="Compact"/>
              <w:spacing w:line="240" w:lineRule="auto" w:after="20"/>
              <w:jc w:val="center"/>
            </w:pPr>
            <w:r>
              <w:rPr>
                <w:sz w:val="17"/>
              </w:rPr>
              <w:t xml:space="preserve">722</w:t>
            </w:r>
          </w:p>
        </w:tc>
      </w:tr>
      <w:tr>
        <w:tc>
          <w:tcPr>
            <w:tcW w:type="dxa" w:w="2106"/>
          </w:tcPr>
          <w:p>
            <w:pPr>
              <w:pStyle w:val="Compact"/>
              <w:spacing w:line="240" w:lineRule="auto" w:after="20"/>
              <w:jc w:val="left"/>
            </w:pPr>
            <w:r>
              <w:rPr>
                <w:sz w:val="17"/>
              </w:rPr>
              <w:t xml:space="preserve">Floor vs 3–5% falls</w:t>
            </w:r>
          </w:p>
        </w:tc>
        <w:tc>
          <w:tcPr>
            <w:tcW w:type="dxa" w:w="1296"/>
          </w:tcPr>
          <w:p>
            <w:pPr>
              <w:pStyle w:val="Compact"/>
              <w:spacing w:line="240" w:lineRule="auto" w:after="20"/>
              <w:jc w:val="center"/>
            </w:pPr>
            <w:r>
              <w:rPr>
                <w:sz w:val="17"/>
              </w:rPr>
              <w:t xml:space="preserve">−1.14 (−6.4)</w:t>
            </w:r>
          </w:p>
        </w:tc>
        <w:tc>
          <w:tcPr>
            <w:tcW w:type="dxa" w:w="1296"/>
          </w:tcPr>
          <w:p>
            <w:pPr>
              <w:pStyle w:val="Compact"/>
              <w:spacing w:line="240" w:lineRule="auto" w:after="20"/>
              <w:jc w:val="center"/>
            </w:pPr>
            <w:r>
              <w:rPr>
                <w:sz w:val="17"/>
              </w:rPr>
              <w:t xml:space="preserve">0.14 (0.6)</w:t>
            </w:r>
          </w:p>
        </w:tc>
        <w:tc>
          <w:tcPr>
            <w:tcW w:type="dxa" w:w="1377"/>
          </w:tcPr>
          <w:p>
            <w:pPr>
              <w:pStyle w:val="Compact"/>
              <w:spacing w:line="240" w:lineRule="auto" w:after="20"/>
              <w:jc w:val="center"/>
            </w:pPr>
            <w:r>
              <w:rPr>
                <w:sz w:val="17"/>
              </w:rPr>
              <w:t xml:space="preserve">−1.01 (−7.5)</w:t>
            </w:r>
          </w:p>
        </w:tc>
        <w:tc>
          <w:tcPr>
            <w:tcW w:type="dxa" w:w="1296"/>
          </w:tcPr>
          <w:p>
            <w:pPr>
              <w:pStyle w:val="Compact"/>
              <w:spacing w:line="240" w:lineRule="auto" w:after="20"/>
              <w:jc w:val="center"/>
            </w:pPr>
            <w:r>
              <w:rPr>
                <w:sz w:val="17"/>
              </w:rPr>
              <w:t xml:space="preserve">−0.90 (−2.2)</w:t>
            </w:r>
          </w:p>
        </w:tc>
        <w:tc>
          <w:tcPr>
            <w:tcW w:type="dxa" w:w="1701"/>
          </w:tcPr>
          <w:p>
            <w:pPr>
              <w:pStyle w:val="Compact"/>
              <w:spacing w:line="240" w:lineRule="auto" w:after="20"/>
              <w:jc w:val="center"/>
            </w:pPr>
            <w:r>
              <w:rPr>
                <w:sz w:val="17"/>
              </w:rPr>
              <w:t xml:space="preserve">5,237</w:t>
            </w:r>
          </w:p>
        </w:tc>
      </w:tr>
      <w:tr>
        <w:tc>
          <w:tcPr>
            <w:tcW w:type="dxa" w:w="2106"/>
            <w:tcBorders>
              <w:bottom w:val="single" w:sz="6" w:space="0" w:color="000000"/>
            </w:tcBorders>
          </w:tcPr>
          <w:p>
            <w:pPr>
              <w:pStyle w:val="Compact"/>
              <w:spacing w:line="240" w:lineRule="auto" w:after="20"/>
              <w:jc w:val="left"/>
            </w:pPr>
            <w:r>
              <w:rPr>
                <w:sz w:val="17"/>
              </w:rPr>
              <w:t xml:space="preserve">same, comparison closes at its low</w:t>
            </w:r>
          </w:p>
        </w:tc>
        <w:tc>
          <w:tcPr>
            <w:tcW w:type="dxa" w:w="1296"/>
            <w:tcBorders>
              <w:bottom w:val="single" w:sz="6" w:space="0" w:color="000000"/>
            </w:tcBorders>
          </w:tcPr>
          <w:p>
            <w:pPr>
              <w:pStyle w:val="Compact"/>
              <w:spacing w:line="240" w:lineRule="auto" w:after="20"/>
              <w:jc w:val="center"/>
            </w:pPr>
            <w:r>
              <w:rPr>
                <w:sz w:val="17"/>
              </w:rPr>
              <w:t xml:space="preserve">−1.35 (−7.4)</w:t>
            </w:r>
          </w:p>
        </w:tc>
        <w:tc>
          <w:tcPr>
            <w:tcW w:type="dxa" w:w="1296"/>
            <w:tcBorders>
              <w:bottom w:val="single" w:sz="6" w:space="0" w:color="000000"/>
            </w:tcBorders>
          </w:tcPr>
          <w:p>
            <w:pPr>
              <w:pStyle w:val="Compact"/>
              <w:spacing w:line="240" w:lineRule="auto" w:after="20"/>
              <w:jc w:val="center"/>
            </w:pPr>
            <w:r>
              <w:rPr>
                <w:sz w:val="17"/>
              </w:rPr>
              <w:t xml:space="preserve">0.18 (0.8)</w:t>
            </w:r>
          </w:p>
        </w:tc>
        <w:tc>
          <w:tcPr>
            <w:tcW w:type="dxa" w:w="1377"/>
            <w:tcBorders>
              <w:bottom w:val="single" w:sz="6" w:space="0" w:color="000000"/>
            </w:tcBorders>
          </w:tcPr>
          <w:p>
            <w:pPr>
              <w:pStyle w:val="Compact"/>
              <w:spacing w:line="240" w:lineRule="auto" w:after="20"/>
              <w:jc w:val="center"/>
            </w:pPr>
            <w:r>
              <w:rPr>
                <w:sz w:val="17"/>
              </w:rPr>
              <w:t xml:space="preserve">−1.19 (−8.0)</w:t>
            </w:r>
          </w:p>
        </w:tc>
        <w:tc>
          <w:tcPr>
            <w:tcW w:type="dxa" w:w="1296"/>
            <w:tcBorders>
              <w:bottom w:val="single" w:sz="6" w:space="0" w:color="000000"/>
            </w:tcBorders>
          </w:tcPr>
          <w:p>
            <w:pPr>
              <w:pStyle w:val="Compact"/>
              <w:spacing w:line="240" w:lineRule="auto" w:after="20"/>
              <w:jc w:val="center"/>
            </w:pPr>
            <w:r>
              <w:rPr>
                <w:sz w:val="17"/>
              </w:rPr>
              <w:t xml:space="preserve">−1.06 (−2.5)</w:t>
            </w:r>
          </w:p>
        </w:tc>
        <w:tc>
          <w:tcPr>
            <w:tcW w:type="dxa" w:w="1701"/>
            <w:tcBorders>
              <w:bottom w:val="single" w:sz="6" w:space="0" w:color="000000"/>
            </w:tcBorders>
          </w:tcPr>
          <w:p>
            <w:pPr>
              <w:pStyle w:val="Compact"/>
              <w:spacing w:line="240" w:lineRule="auto" w:after="20"/>
              <w:jc w:val="center"/>
            </w:pPr>
            <w:r>
              <w:rPr>
                <w:sz w:val="17"/>
              </w:rPr>
              <w:t xml:space="preserve">2,228</w:t>
            </w:r>
          </w:p>
        </w:tc>
      </w:tr>
    </w:tbl>
    <w:p>
      <w:pPr>
        <w:pStyle w:val="BodyText"/>
        <w:spacing w:line="360" w:lineRule="auto" w:after="120"/>
        <w:jc w:val="left"/>
      </w:pPr>
      <w:r>
        <w:rPr>
          <w:iCs/>
          <w:i/>
        </w:rPr>
        <w:t xml:space="preserve">Note.</w:t>
      </w:r>
      <w:r>
        <w:t xml:space="preserve"> </w:t>
      </w:r>
      <w:r>
        <w:t xml:space="preserve">Differences in percentage points from same-direction moves of 3–5% or 5–6.5% that did not close at the limit; market-adjusted returns; date-clustered</w:t>
      </w:r>
      <w:r>
        <w:t xml:space="preserve"> </w:t>
      </w:r>
      <w:r>
        <w:rPr>
          <w:iCs/>
          <w:i/>
        </w:rPr>
        <w:t xml:space="preserve">t</w:t>
      </w:r>
      <w:r>
        <w:t xml:space="preserve">-statistics in parentheses.</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360" w:lineRule="auto" w:after="120"/>
        <w:jc w:val="left"/>
      </w:pPr>
      <w:r>
        <w:rPr>
          <w:bCs/>
          <w:b/>
        </w:rPr>
        <w:t xml:space="preserve">Table 4.</w:t>
      </w:r>
      <w:r>
        <w:t xml:space="preserve"> </w:t>
      </w:r>
      <w:r>
        <w:t xml:space="preserve">Returns before and after the KRX platform change of 5 May 2025</w:t>
      </w:r>
    </w:p>
    <w:tbl>
      <w:tblPr>
        <w:tblStyle w:val="Table"/>
        <w:tblW w:type="pct" w:w="5000"/>
        <w:tblLayout w:type="fixed"/>
        <w:tblLook w:firstRow="1" w:lastRow="0" w:firstColumn="0" w:lastColumn="0" w:noHBand="0" w:noVBand="0" w:val="0020"/>
        <w:jc w:val="start"/>
      </w:tblPr>
      <w:tblGrid>
        <w:gridCol w:w="1395"/>
        <w:gridCol w:w="1395"/>
        <w:gridCol w:w="1482"/>
        <w:gridCol w:w="1395"/>
        <w:gridCol w:w="1395"/>
        <w:gridCol w:w="2006"/>
      </w:tblGrid>
      <w:tr>
        <w:trPr>
          <w:tblHeader w:val="true"/>
        </w:trPr>
        <w:tc>
          <w:tcPr>
            <w:tcW w:type="dxa" w:w="1396"/>
            <w:tcBorders>
              <w:top w:val="single" w:sz="6" w:space="0" w:color="000000"/>
              <w:bottom w:val="single" w:sz="6" w:space="0" w:color="000000"/>
            </w:tcBorders>
          </w:tcPr>
          <w:p>
            <w:pPr>
              <w:pStyle w:val="Compact"/>
              <w:spacing w:line="240" w:lineRule="auto" w:after="20"/>
              <w:jc w:val="left"/>
            </w:pPr>
            <w:r>
              <w:rPr>
                <w:b/>
                <w:sz w:val="17"/>
              </w:rPr>
              <w:t xml:space="preserve">Event</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Outcome</w:t>
            </w:r>
          </w:p>
        </w:tc>
        <w:tc>
          <w:tcPr>
            <w:tcW w:type="dxa" w:w="1483"/>
            <w:tcBorders>
              <w:top w:val="single" w:sz="6" w:space="0" w:color="000000"/>
              <w:bottom w:val="single" w:sz="6" w:space="0" w:color="000000"/>
            </w:tcBorders>
          </w:tcPr>
          <w:p>
            <w:pPr>
              <w:pStyle w:val="Compact"/>
              <w:spacing w:line="240" w:lineRule="auto" w:after="20"/>
              <w:jc w:val="center"/>
            </w:pPr>
            <w:r>
              <w:rPr>
                <w:b/>
                <w:sz w:val="17"/>
              </w:rPr>
              <w:t xml:space="preserve">Before the change</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After the change</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Difference</w:t>
            </w:r>
          </w:p>
        </w:tc>
        <w:tc>
          <w:tcPr>
            <w:tcW w:type="dxa" w:w="2006"/>
            <w:tcBorders>
              <w:top w:val="single" w:sz="6" w:space="0" w:color="000000"/>
              <w:bottom w:val="single" w:sz="6" w:space="0" w:color="000000"/>
            </w:tcBorders>
          </w:tcPr>
          <w:p>
            <w:pPr>
              <w:pStyle w:val="Compact"/>
              <w:spacing w:line="240" w:lineRule="auto" w:after="20"/>
              <w:jc w:val="center"/>
            </w:pPr>
            <w:r>
              <w:rPr>
                <w:b/>
                <w:sz w:val="17"/>
              </w:rPr>
              <w:t xml:space="preserve">Events (before / after)</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Overnight gap</w:t>
            </w:r>
          </w:p>
        </w:tc>
        <w:tc>
          <w:tcPr>
            <w:tcW w:type="dxa" w:w="1483"/>
          </w:tcPr>
          <w:p>
            <w:pPr>
              <w:pStyle w:val="Compact"/>
              <w:spacing w:line="240" w:lineRule="auto" w:after="20"/>
              <w:jc w:val="center"/>
            </w:pPr>
            <w:r>
              <w:rPr>
                <w:sz w:val="17"/>
              </w:rPr>
              <w:t xml:space="preserve">1.65 (3.2)</w:t>
            </w:r>
          </w:p>
        </w:tc>
        <w:tc>
          <w:tcPr>
            <w:tcW w:type="dxa" w:w="1396"/>
          </w:tcPr>
          <w:p>
            <w:pPr>
              <w:pStyle w:val="Compact"/>
              <w:spacing w:line="240" w:lineRule="auto" w:after="20"/>
              <w:jc w:val="center"/>
            </w:pPr>
            <w:r>
              <w:rPr>
                <w:sz w:val="17"/>
              </w:rPr>
              <w:t xml:space="preserve">2.49 (17.9)</w:t>
            </w:r>
          </w:p>
        </w:tc>
        <w:tc>
          <w:tcPr>
            <w:tcW w:type="dxa" w:w="1396"/>
          </w:tcPr>
          <w:p>
            <w:pPr>
              <w:pStyle w:val="Compact"/>
              <w:spacing w:line="240" w:lineRule="auto" w:after="20"/>
              <w:jc w:val="center"/>
            </w:pPr>
            <w:r>
              <w:rPr>
                <w:sz w:val="17"/>
              </w:rPr>
              <w:t xml:space="preserve">0.85 (1.6)</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Intraday</w:t>
            </w:r>
          </w:p>
        </w:tc>
        <w:tc>
          <w:tcPr>
            <w:tcW w:type="dxa" w:w="1483"/>
          </w:tcPr>
          <w:p>
            <w:pPr>
              <w:pStyle w:val="Compact"/>
              <w:spacing w:line="240" w:lineRule="auto" w:after="20"/>
              <w:jc w:val="center"/>
            </w:pPr>
            <w:r>
              <w:rPr>
                <w:sz w:val="17"/>
              </w:rPr>
              <w:t xml:space="preserve">−0.77 (−2.0)</w:t>
            </w:r>
          </w:p>
        </w:tc>
        <w:tc>
          <w:tcPr>
            <w:tcW w:type="dxa" w:w="1396"/>
          </w:tcPr>
          <w:p>
            <w:pPr>
              <w:pStyle w:val="Compact"/>
              <w:spacing w:line="240" w:lineRule="auto" w:after="20"/>
              <w:jc w:val="center"/>
            </w:pPr>
            <w:r>
              <w:rPr>
                <w:sz w:val="17"/>
              </w:rPr>
              <w:t xml:space="preserve">−0.44 (−4.3)</w:t>
            </w:r>
          </w:p>
        </w:tc>
        <w:tc>
          <w:tcPr>
            <w:tcW w:type="dxa" w:w="1396"/>
          </w:tcPr>
          <w:p>
            <w:pPr>
              <w:pStyle w:val="Compact"/>
              <w:spacing w:line="240" w:lineRule="auto" w:after="20"/>
              <w:jc w:val="center"/>
            </w:pPr>
            <w:r>
              <w:rPr>
                <w:sz w:val="17"/>
              </w:rPr>
              <w:t xml:space="preserve">0.34 (0.8)</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Close-to-close</w:t>
            </w:r>
          </w:p>
        </w:tc>
        <w:tc>
          <w:tcPr>
            <w:tcW w:type="dxa" w:w="1483"/>
          </w:tcPr>
          <w:p>
            <w:pPr>
              <w:pStyle w:val="Compact"/>
              <w:spacing w:line="240" w:lineRule="auto" w:after="20"/>
              <w:jc w:val="center"/>
            </w:pPr>
            <w:r>
              <w:rPr>
                <w:sz w:val="17"/>
              </w:rPr>
              <w:t xml:space="preserve">0.83 (1.0)</w:t>
            </w:r>
          </w:p>
        </w:tc>
        <w:tc>
          <w:tcPr>
            <w:tcW w:type="dxa" w:w="1396"/>
          </w:tcPr>
          <w:p>
            <w:pPr>
              <w:pStyle w:val="Compact"/>
              <w:spacing w:line="240" w:lineRule="auto" w:after="20"/>
              <w:jc w:val="center"/>
            </w:pPr>
            <w:r>
              <w:rPr>
                <w:sz w:val="17"/>
              </w:rPr>
              <w:t xml:space="preserve">2.01 (14.6)</w:t>
            </w:r>
          </w:p>
        </w:tc>
        <w:tc>
          <w:tcPr>
            <w:tcW w:type="dxa" w:w="1396"/>
          </w:tcPr>
          <w:p>
            <w:pPr>
              <w:pStyle w:val="Compact"/>
              <w:spacing w:line="240" w:lineRule="auto" w:after="20"/>
              <w:jc w:val="center"/>
            </w:pPr>
            <w:r>
              <w:rPr>
                <w:sz w:val="17"/>
              </w:rPr>
              <w:t xml:space="preserve">1.18 (1.3)</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Open to day</w:t>
            </w:r>
            <w:r>
              <w:rPr>
                <w:sz w:val="17"/>
              </w:rPr>
              <w:t xml:space="preserve"> </w:t>
            </w:r>
            <w:r>
              <w:rPr>
                <w:iCs/>
                <w:i/>
                <w:sz w:val="17"/>
              </w:rPr>
              <w:t xml:space="preserve">d</w:t>
            </w:r>
            <w:r>
              <w:rPr>
                <w:sz w:val="17"/>
              </w:rPr>
              <w:t xml:space="preserve">+5</w:t>
            </w:r>
          </w:p>
        </w:tc>
        <w:tc>
          <w:tcPr>
            <w:tcW w:type="dxa" w:w="1483"/>
          </w:tcPr>
          <w:p>
            <w:pPr>
              <w:pStyle w:val="Compact"/>
              <w:spacing w:line="240" w:lineRule="auto" w:after="20"/>
              <w:jc w:val="center"/>
            </w:pPr>
            <w:r>
              <w:rPr>
                <w:sz w:val="17"/>
              </w:rPr>
              <w:t xml:space="preserve">−0.71 (−1.3)</w:t>
            </w:r>
          </w:p>
        </w:tc>
        <w:tc>
          <w:tcPr>
            <w:tcW w:type="dxa" w:w="1396"/>
          </w:tcPr>
          <w:p>
            <w:pPr>
              <w:pStyle w:val="Compact"/>
              <w:spacing w:line="240" w:lineRule="auto" w:after="20"/>
              <w:jc w:val="center"/>
            </w:pPr>
            <w:r>
              <w:rPr>
                <w:sz w:val="17"/>
              </w:rPr>
              <w:t xml:space="preserve">−0.77 (−2.5)</w:t>
            </w:r>
          </w:p>
        </w:tc>
        <w:tc>
          <w:tcPr>
            <w:tcW w:type="dxa" w:w="1396"/>
          </w:tcPr>
          <w:p>
            <w:pPr>
              <w:pStyle w:val="Compact"/>
              <w:spacing w:line="240" w:lineRule="auto" w:after="20"/>
              <w:jc w:val="center"/>
            </w:pPr>
            <w:r>
              <w:rPr>
                <w:sz w:val="17"/>
              </w:rPr>
              <w:t xml:space="preserve">−0.06 (−0.1)</w:t>
            </w:r>
          </w:p>
        </w:tc>
        <w:tc>
          <w:tcPr>
            <w:tcW w:type="dxa" w:w="2006"/>
          </w:tcPr>
          <w:p>
            <w:pPr>
              <w:pStyle w:val="Compact"/>
              <w:spacing w:line="240" w:lineRule="auto" w:after="20"/>
              <w:jc w:val="center"/>
            </w:pPr>
            <w:r>
              <w:rPr>
                <w:sz w:val="17"/>
              </w:rPr>
              <w:t xml:space="preserve">936 / 2,257</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Overnight gap</w:t>
            </w:r>
          </w:p>
        </w:tc>
        <w:tc>
          <w:tcPr>
            <w:tcW w:type="dxa" w:w="1483"/>
          </w:tcPr>
          <w:p>
            <w:pPr>
              <w:pStyle w:val="Compact"/>
              <w:spacing w:line="240" w:lineRule="auto" w:after="20"/>
              <w:jc w:val="center"/>
            </w:pPr>
            <w:r>
              <w:rPr>
                <w:sz w:val="17"/>
              </w:rPr>
              <w:t xml:space="preserve">−0.42 (−1.9)</w:t>
            </w:r>
          </w:p>
        </w:tc>
        <w:tc>
          <w:tcPr>
            <w:tcW w:type="dxa" w:w="1396"/>
          </w:tcPr>
          <w:p>
            <w:pPr>
              <w:pStyle w:val="Compact"/>
              <w:spacing w:line="240" w:lineRule="auto" w:after="20"/>
              <w:jc w:val="center"/>
            </w:pPr>
            <w:r>
              <w:rPr>
                <w:sz w:val="17"/>
              </w:rPr>
              <w:t xml:space="preserve">−1.37 (−7.0)</w:t>
            </w:r>
          </w:p>
        </w:tc>
        <w:tc>
          <w:tcPr>
            <w:tcW w:type="dxa" w:w="1396"/>
          </w:tcPr>
          <w:p>
            <w:pPr>
              <w:pStyle w:val="Compact"/>
              <w:spacing w:line="240" w:lineRule="auto" w:after="20"/>
              <w:jc w:val="center"/>
            </w:pPr>
            <w:r>
              <w:rPr>
                <w:sz w:val="17"/>
              </w:rPr>
              <w:t xml:space="preserve">−0.95 (−3.2)</w:t>
            </w:r>
          </w:p>
        </w:tc>
        <w:tc>
          <w:tcPr>
            <w:tcW w:type="dxa" w:w="2006"/>
          </w:tcPr>
          <w:p>
            <w:pPr>
              <w:pStyle w:val="Compact"/>
              <w:spacing w:line="240" w:lineRule="auto" w:after="20"/>
              <w:jc w:val="center"/>
            </w:pPr>
            <w:r>
              <w:rPr>
                <w:sz w:val="17"/>
              </w:rPr>
              <w:t xml:space="preserve">891 / 1,220</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Intraday</w:t>
            </w:r>
          </w:p>
        </w:tc>
        <w:tc>
          <w:tcPr>
            <w:tcW w:type="dxa" w:w="1483"/>
          </w:tcPr>
          <w:p>
            <w:pPr>
              <w:pStyle w:val="Compact"/>
              <w:spacing w:line="240" w:lineRule="auto" w:after="20"/>
              <w:jc w:val="center"/>
            </w:pPr>
            <w:r>
              <w:rPr>
                <w:sz w:val="17"/>
              </w:rPr>
              <w:t xml:space="preserve">−0.15 (−0.4)</w:t>
            </w:r>
          </w:p>
        </w:tc>
        <w:tc>
          <w:tcPr>
            <w:tcW w:type="dxa" w:w="1396"/>
          </w:tcPr>
          <w:p>
            <w:pPr>
              <w:pStyle w:val="Compact"/>
              <w:spacing w:line="240" w:lineRule="auto" w:after="20"/>
              <w:jc w:val="center"/>
            </w:pPr>
            <w:r>
              <w:rPr>
                <w:sz w:val="17"/>
              </w:rPr>
              <w:t xml:space="preserve">0.64 (4.6)</w:t>
            </w:r>
          </w:p>
        </w:tc>
        <w:tc>
          <w:tcPr>
            <w:tcW w:type="dxa" w:w="1396"/>
          </w:tcPr>
          <w:p>
            <w:pPr>
              <w:pStyle w:val="Compact"/>
              <w:spacing w:line="240" w:lineRule="auto" w:after="20"/>
              <w:jc w:val="center"/>
            </w:pPr>
            <w:r>
              <w:rPr>
                <w:sz w:val="17"/>
              </w:rPr>
              <w:t xml:space="preserve">0.79 (2.0)</w:t>
            </w:r>
          </w:p>
        </w:tc>
        <w:tc>
          <w:tcPr>
            <w:tcW w:type="dxa" w:w="2006"/>
          </w:tcPr>
          <w:p>
            <w:pPr>
              <w:pStyle w:val="Compact"/>
              <w:spacing w:line="240" w:lineRule="auto" w:after="20"/>
              <w:jc w:val="center"/>
            </w:pPr>
            <w:r>
              <w:rPr>
                <w:sz w:val="17"/>
              </w:rPr>
              <w:t xml:space="preserve">891 / 1,220</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Close-to-close</w:t>
            </w:r>
          </w:p>
        </w:tc>
        <w:tc>
          <w:tcPr>
            <w:tcW w:type="dxa" w:w="1483"/>
          </w:tcPr>
          <w:p>
            <w:pPr>
              <w:pStyle w:val="Compact"/>
              <w:spacing w:line="240" w:lineRule="auto" w:after="20"/>
              <w:jc w:val="center"/>
            </w:pPr>
            <w:r>
              <w:rPr>
                <w:sz w:val="17"/>
              </w:rPr>
              <w:t xml:space="preserve">−0.57 (−2.3)</w:t>
            </w:r>
          </w:p>
        </w:tc>
        <w:tc>
          <w:tcPr>
            <w:tcW w:type="dxa" w:w="1396"/>
          </w:tcPr>
          <w:p>
            <w:pPr>
              <w:pStyle w:val="Compact"/>
              <w:spacing w:line="240" w:lineRule="auto" w:after="20"/>
              <w:jc w:val="center"/>
            </w:pPr>
            <w:r>
              <w:rPr>
                <w:sz w:val="17"/>
              </w:rPr>
              <w:t xml:space="preserve">−0.78 (−5.0)</w:t>
            </w:r>
          </w:p>
        </w:tc>
        <w:tc>
          <w:tcPr>
            <w:tcW w:type="dxa" w:w="1396"/>
          </w:tcPr>
          <w:p>
            <w:pPr>
              <w:pStyle w:val="Compact"/>
              <w:spacing w:line="240" w:lineRule="auto" w:after="20"/>
              <w:jc w:val="center"/>
            </w:pPr>
            <w:r>
              <w:rPr>
                <w:sz w:val="17"/>
              </w:rPr>
              <w:t xml:space="preserve">−0.21 (−0.7)</w:t>
            </w:r>
          </w:p>
        </w:tc>
        <w:tc>
          <w:tcPr>
            <w:tcW w:type="dxa" w:w="2006"/>
          </w:tcPr>
          <w:p>
            <w:pPr>
              <w:pStyle w:val="Compact"/>
              <w:spacing w:line="240" w:lineRule="auto" w:after="20"/>
              <w:jc w:val="center"/>
            </w:pPr>
            <w:r>
              <w:rPr>
                <w:sz w:val="17"/>
              </w:rPr>
              <w:t xml:space="preserve">891 / 1,220</w:t>
            </w:r>
          </w:p>
        </w:tc>
      </w:tr>
      <w:tr>
        <w:tc>
          <w:tcPr>
            <w:tcW w:type="dxa" w:w="1396"/>
            <w:tcBorders>
              <w:bottom w:val="single" w:sz="6" w:space="0" w:color="000000"/>
            </w:tcBorders>
          </w:tcPr>
          <w:p>
            <w:pPr>
              <w:pStyle w:val="Compact"/>
              <w:spacing w:line="240" w:lineRule="auto" w:after="20"/>
              <w:jc w:val="left"/>
            </w:pPr>
            <w:r>
              <w:rPr>
                <w:sz w:val="17"/>
              </w:rPr>
              <w:t xml:space="preserve">Floor</w:t>
            </w:r>
          </w:p>
        </w:tc>
        <w:tc>
          <w:tcPr>
            <w:tcW w:type="dxa" w:w="1396"/>
            <w:tcBorders>
              <w:bottom w:val="single" w:sz="6" w:space="0" w:color="000000"/>
            </w:tcBorders>
          </w:tcPr>
          <w:p>
            <w:pPr>
              <w:pStyle w:val="Compact"/>
              <w:spacing w:line="240" w:lineRule="auto" w:after="20"/>
              <w:jc w:val="center"/>
            </w:pPr>
            <w:r>
              <w:rPr>
                <w:sz w:val="17"/>
              </w:rPr>
              <w:t xml:space="preserve">Open to day</w:t>
            </w:r>
            <w:r>
              <w:rPr>
                <w:sz w:val="17"/>
              </w:rPr>
              <w:t xml:space="preserve"> </w:t>
            </w:r>
            <w:r>
              <w:rPr>
                <w:iCs/>
                <w:i/>
                <w:sz w:val="17"/>
              </w:rPr>
              <w:t xml:space="preserve">d</w:t>
            </w:r>
            <w:r>
              <w:rPr>
                <w:sz w:val="17"/>
              </w:rPr>
              <w:t xml:space="preserve">+5</w:t>
            </w:r>
          </w:p>
        </w:tc>
        <w:tc>
          <w:tcPr>
            <w:tcW w:type="dxa" w:w="1483"/>
            <w:tcBorders>
              <w:bottom w:val="single" w:sz="6" w:space="0" w:color="000000"/>
            </w:tcBorders>
          </w:tcPr>
          <w:p>
            <w:pPr>
              <w:pStyle w:val="Compact"/>
              <w:spacing w:line="240" w:lineRule="auto" w:after="20"/>
              <w:jc w:val="center"/>
            </w:pPr>
            <w:r>
              <w:rPr>
                <w:sz w:val="17"/>
              </w:rPr>
              <w:t xml:space="preserve">−1.73 (−4.7)</w:t>
            </w:r>
          </w:p>
        </w:tc>
        <w:tc>
          <w:tcPr>
            <w:tcW w:type="dxa" w:w="1396"/>
            <w:tcBorders>
              <w:bottom w:val="single" w:sz="6" w:space="0" w:color="000000"/>
            </w:tcBorders>
          </w:tcPr>
          <w:p>
            <w:pPr>
              <w:pStyle w:val="Compact"/>
              <w:spacing w:line="240" w:lineRule="auto" w:after="20"/>
              <w:jc w:val="center"/>
            </w:pPr>
            <w:r>
              <w:rPr>
                <w:sz w:val="17"/>
              </w:rPr>
              <w:t xml:space="preserve">−0.15 (−0.3)</w:t>
            </w:r>
          </w:p>
        </w:tc>
        <w:tc>
          <w:tcPr>
            <w:tcW w:type="dxa" w:w="1396"/>
            <w:tcBorders>
              <w:bottom w:val="single" w:sz="6" w:space="0" w:color="000000"/>
            </w:tcBorders>
          </w:tcPr>
          <w:p>
            <w:pPr>
              <w:pStyle w:val="Compact"/>
              <w:spacing w:line="240" w:lineRule="auto" w:after="20"/>
              <w:jc w:val="center"/>
            </w:pPr>
            <w:r>
              <w:rPr>
                <w:sz w:val="17"/>
              </w:rPr>
              <w:t xml:space="preserve">1.58 (2.5)</w:t>
            </w:r>
          </w:p>
        </w:tc>
        <w:tc>
          <w:tcPr>
            <w:tcW w:type="dxa" w:w="2006"/>
            <w:tcBorders>
              <w:bottom w:val="single" w:sz="6" w:space="0" w:color="000000"/>
            </w:tcBorders>
          </w:tcPr>
          <w:p>
            <w:pPr>
              <w:pStyle w:val="Compact"/>
              <w:spacing w:line="240" w:lineRule="auto" w:after="20"/>
              <w:jc w:val="center"/>
            </w:pPr>
            <w:r>
              <w:rPr>
                <w:sz w:val="17"/>
              </w:rPr>
              <w:t xml:space="preserve">891 / 1,217</w:t>
            </w:r>
          </w:p>
        </w:tc>
      </w:tr>
    </w:tbl>
    <w:p>
      <w:pPr>
        <w:pStyle w:val="BodyText"/>
        <w:spacing w:line="360" w:lineRule="auto" w:after="120"/>
        <w:jc w:val="left"/>
      </w:pP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360" w:lineRule="auto" w:after="120"/>
        <w:jc w:val="left"/>
      </w:pPr>
      <w:r>
        <w:rPr>
          <w:bCs/>
          <w:b/>
        </w:rPr>
        <w:t xml:space="preserve">Table 5.</w:t>
      </w:r>
      <w:r>
        <w:t xml:space="preserve"> </w:t>
      </w:r>
      <w:r>
        <w:t xml:space="preserve">Events and overnight gaps by calendar quarter</w:t>
      </w:r>
    </w:p>
    <w:tbl>
      <w:tblPr>
        <w:tblStyle w:val="Table"/>
        <w:tblW w:type="auto" w:w="0"/>
        <w:tblLayout w:type="fixed"/>
        <w:tblLook w:firstRow="1" w:lastRow="0" w:firstColumn="0" w:lastColumn="0" w:noHBand="0" w:noVBand="0" w:val="0020"/>
        <w:jc w:val="start"/>
      </w:tblPr>
      <w:tblGrid>
        <w:gridCol w:w="1814"/>
        <w:gridCol w:w="1814"/>
        <w:gridCol w:w="1814"/>
        <w:gridCol w:w="1814"/>
        <w:gridCol w:w="1814"/>
      </w:tblGrid>
      <w:tr>
        <w:trPr>
          <w:tblHeader w:val="true"/>
        </w:trPr>
        <w:tc>
          <w:tcPr>
            <w:tcW w:type="dxa" w:w="1814"/>
            <w:tcBorders>
              <w:top w:val="single" w:sz="6" w:space="0" w:color="000000"/>
              <w:bottom w:val="single" w:sz="6" w:space="0" w:color="000000"/>
            </w:tcBorders>
          </w:tcPr>
          <w:p>
            <w:pPr>
              <w:pStyle w:val="Compact"/>
              <w:spacing w:line="240" w:lineRule="auto" w:after="20"/>
              <w:jc w:val="left"/>
            </w:pPr>
            <w:r>
              <w:rPr>
                <w:b/>
                <w:sz w:val="17"/>
              </w:rPr>
              <w:t xml:space="preserve">Quarter</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Ceiling events</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Ceiling gap</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Floor events</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Floor gap</w:t>
            </w:r>
          </w:p>
        </w:tc>
      </w:tr>
      <w:tr>
        <w:tc>
          <w:tcPr>
            <w:tcW w:type="dxa" w:w="1814"/>
          </w:tcPr>
          <w:p>
            <w:pPr>
              <w:pStyle w:val="Compact"/>
              <w:spacing w:line="240" w:lineRule="auto" w:after="20"/>
              <w:jc w:val="left"/>
            </w:pPr>
            <w:r>
              <w:rPr>
                <w:sz w:val="17"/>
              </w:rPr>
              <w:t xml:space="preserve">2024-Q4</w:t>
            </w:r>
          </w:p>
        </w:tc>
        <w:tc>
          <w:tcPr>
            <w:tcW w:type="dxa" w:w="1814"/>
          </w:tcPr>
          <w:p>
            <w:pPr>
              <w:pStyle w:val="Compact"/>
              <w:spacing w:line="240" w:lineRule="auto" w:after="20"/>
              <w:jc w:val="center"/>
            </w:pPr>
            <w:r>
              <w:rPr>
                <w:sz w:val="17"/>
              </w:rPr>
              <w:t xml:space="preserve">177</w:t>
            </w:r>
          </w:p>
        </w:tc>
        <w:tc>
          <w:tcPr>
            <w:tcW w:type="dxa" w:w="1814"/>
          </w:tcPr>
          <w:p>
            <w:pPr>
              <w:pStyle w:val="Compact"/>
              <w:spacing w:line="240" w:lineRule="auto" w:after="20"/>
              <w:jc w:val="center"/>
            </w:pPr>
            <w:r>
              <w:rPr>
                <w:sz w:val="17"/>
              </w:rPr>
              <w:t xml:space="preserve">2.16 (5.6)</w:t>
            </w:r>
          </w:p>
        </w:tc>
        <w:tc>
          <w:tcPr>
            <w:tcW w:type="dxa" w:w="1814"/>
          </w:tcPr>
          <w:p>
            <w:pPr>
              <w:pStyle w:val="Compact"/>
              <w:spacing w:line="240" w:lineRule="auto" w:after="20"/>
              <w:jc w:val="center"/>
            </w:pPr>
            <w:r>
              <w:rPr>
                <w:sz w:val="17"/>
              </w:rPr>
              <w:t xml:space="preserve">48</w:t>
            </w:r>
          </w:p>
        </w:tc>
        <w:tc>
          <w:tcPr>
            <w:tcW w:type="dxa" w:w="1814"/>
          </w:tcPr>
          <w:p>
            <w:pPr>
              <w:pStyle w:val="Compact"/>
              <w:spacing w:line="240" w:lineRule="auto" w:after="20"/>
              <w:jc w:val="center"/>
            </w:pPr>
            <w:r>
              <w:rPr>
                <w:sz w:val="17"/>
              </w:rPr>
              <w:t xml:space="preserve">−1.50 (−2.5)</w:t>
            </w:r>
          </w:p>
        </w:tc>
      </w:tr>
      <w:tr>
        <w:tc>
          <w:tcPr>
            <w:tcW w:type="dxa" w:w="1814"/>
          </w:tcPr>
          <w:p>
            <w:pPr>
              <w:pStyle w:val="Compact"/>
              <w:spacing w:line="240" w:lineRule="auto" w:after="20"/>
              <w:jc w:val="left"/>
            </w:pPr>
            <w:r>
              <w:rPr>
                <w:sz w:val="17"/>
              </w:rPr>
              <w:t xml:space="preserve">2025-Q1</w:t>
            </w:r>
          </w:p>
        </w:tc>
        <w:tc>
          <w:tcPr>
            <w:tcW w:type="dxa" w:w="1814"/>
          </w:tcPr>
          <w:p>
            <w:pPr>
              <w:pStyle w:val="Compact"/>
              <w:spacing w:line="240" w:lineRule="auto" w:after="20"/>
              <w:jc w:val="center"/>
            </w:pPr>
            <w:r>
              <w:rPr>
                <w:sz w:val="17"/>
              </w:rPr>
              <w:t xml:space="preserve">295</w:t>
            </w:r>
          </w:p>
        </w:tc>
        <w:tc>
          <w:tcPr>
            <w:tcW w:type="dxa" w:w="1814"/>
          </w:tcPr>
          <w:p>
            <w:pPr>
              <w:pStyle w:val="Compact"/>
              <w:spacing w:line="240" w:lineRule="auto" w:after="20"/>
              <w:jc w:val="center"/>
            </w:pPr>
            <w:r>
              <w:rPr>
                <w:sz w:val="17"/>
              </w:rPr>
              <w:t xml:space="preserve">2.78 (9.1)</w:t>
            </w:r>
          </w:p>
        </w:tc>
        <w:tc>
          <w:tcPr>
            <w:tcW w:type="dxa" w:w="1814"/>
          </w:tcPr>
          <w:p>
            <w:pPr>
              <w:pStyle w:val="Compact"/>
              <w:spacing w:line="240" w:lineRule="auto" w:after="20"/>
              <w:jc w:val="center"/>
            </w:pPr>
            <w:r>
              <w:rPr>
                <w:sz w:val="17"/>
              </w:rPr>
              <w:t xml:space="preserve">79</w:t>
            </w:r>
          </w:p>
        </w:tc>
        <w:tc>
          <w:tcPr>
            <w:tcW w:type="dxa" w:w="1814"/>
          </w:tcPr>
          <w:p>
            <w:pPr>
              <w:pStyle w:val="Compact"/>
              <w:spacing w:line="240" w:lineRule="auto" w:after="20"/>
              <w:jc w:val="center"/>
            </w:pPr>
            <w:r>
              <w:rPr>
                <w:sz w:val="17"/>
              </w:rPr>
              <w:t xml:space="preserve">−1.70 (−3.9)</w:t>
            </w:r>
          </w:p>
        </w:tc>
      </w:tr>
      <w:tr>
        <w:tc>
          <w:tcPr>
            <w:tcW w:type="dxa" w:w="1814"/>
          </w:tcPr>
          <w:p>
            <w:pPr>
              <w:pStyle w:val="Compact"/>
              <w:spacing w:line="240" w:lineRule="auto" w:after="20"/>
              <w:jc w:val="left"/>
            </w:pPr>
            <w:r>
              <w:rPr>
                <w:sz w:val="17"/>
              </w:rPr>
              <w:t xml:space="preserve">2025-Q2</w:t>
            </w:r>
          </w:p>
        </w:tc>
        <w:tc>
          <w:tcPr>
            <w:tcW w:type="dxa" w:w="1814"/>
          </w:tcPr>
          <w:p>
            <w:pPr>
              <w:pStyle w:val="Compact"/>
              <w:spacing w:line="240" w:lineRule="auto" w:after="20"/>
              <w:jc w:val="center"/>
            </w:pPr>
            <w:r>
              <w:rPr>
                <w:sz w:val="17"/>
              </w:rPr>
              <w:t xml:space="preserve">686</w:t>
            </w:r>
          </w:p>
        </w:tc>
        <w:tc>
          <w:tcPr>
            <w:tcW w:type="dxa" w:w="1814"/>
          </w:tcPr>
          <w:p>
            <w:pPr>
              <w:pStyle w:val="Compact"/>
              <w:spacing w:line="240" w:lineRule="auto" w:after="20"/>
              <w:jc w:val="center"/>
            </w:pPr>
            <w:r>
              <w:rPr>
                <w:sz w:val="17"/>
              </w:rPr>
              <w:t xml:space="preserve">1.33 (2.5)</w:t>
            </w:r>
          </w:p>
        </w:tc>
        <w:tc>
          <w:tcPr>
            <w:tcW w:type="dxa" w:w="1814"/>
          </w:tcPr>
          <w:p>
            <w:pPr>
              <w:pStyle w:val="Compact"/>
              <w:spacing w:line="240" w:lineRule="auto" w:after="20"/>
              <w:jc w:val="center"/>
            </w:pPr>
            <w:r>
              <w:rPr>
                <w:sz w:val="17"/>
              </w:rPr>
              <w:t xml:space="preserve">802</w:t>
            </w:r>
          </w:p>
        </w:tc>
        <w:tc>
          <w:tcPr>
            <w:tcW w:type="dxa" w:w="1814"/>
          </w:tcPr>
          <w:p>
            <w:pPr>
              <w:pStyle w:val="Compact"/>
              <w:spacing w:line="240" w:lineRule="auto" w:after="20"/>
              <w:jc w:val="center"/>
            </w:pPr>
            <w:r>
              <w:rPr>
                <w:sz w:val="17"/>
              </w:rPr>
              <w:t xml:space="preserve">−0.34 (−1.5)</w:t>
            </w:r>
          </w:p>
        </w:tc>
      </w:tr>
      <w:tr>
        <w:tc>
          <w:tcPr>
            <w:tcW w:type="dxa" w:w="1814"/>
          </w:tcPr>
          <w:p>
            <w:pPr>
              <w:pStyle w:val="Compact"/>
              <w:spacing w:line="240" w:lineRule="auto" w:after="20"/>
              <w:jc w:val="left"/>
            </w:pPr>
            <w:r>
              <w:rPr>
                <w:sz w:val="17"/>
              </w:rPr>
              <w:t xml:space="preserve">2025-Q3</w:t>
            </w:r>
          </w:p>
        </w:tc>
        <w:tc>
          <w:tcPr>
            <w:tcW w:type="dxa" w:w="1814"/>
          </w:tcPr>
          <w:p>
            <w:pPr>
              <w:pStyle w:val="Compact"/>
              <w:spacing w:line="240" w:lineRule="auto" w:after="20"/>
              <w:jc w:val="center"/>
            </w:pPr>
            <w:r>
              <w:rPr>
                <w:sz w:val="17"/>
              </w:rPr>
              <w:t xml:space="preserve">624</w:t>
            </w:r>
          </w:p>
        </w:tc>
        <w:tc>
          <w:tcPr>
            <w:tcW w:type="dxa" w:w="1814"/>
          </w:tcPr>
          <w:p>
            <w:pPr>
              <w:pStyle w:val="Compact"/>
              <w:spacing w:line="240" w:lineRule="auto" w:after="20"/>
              <w:jc w:val="center"/>
            </w:pPr>
            <w:r>
              <w:rPr>
                <w:sz w:val="17"/>
              </w:rPr>
              <w:t xml:space="preserve">2.99 (16.8)</w:t>
            </w:r>
          </w:p>
        </w:tc>
        <w:tc>
          <w:tcPr>
            <w:tcW w:type="dxa" w:w="1814"/>
          </w:tcPr>
          <w:p>
            <w:pPr>
              <w:pStyle w:val="Compact"/>
              <w:spacing w:line="240" w:lineRule="auto" w:after="20"/>
              <w:jc w:val="center"/>
            </w:pPr>
            <w:r>
              <w:rPr>
                <w:sz w:val="17"/>
              </w:rPr>
              <w:t xml:space="preserve">195</w:t>
            </w:r>
          </w:p>
        </w:tc>
        <w:tc>
          <w:tcPr>
            <w:tcW w:type="dxa" w:w="1814"/>
          </w:tcPr>
          <w:p>
            <w:pPr>
              <w:pStyle w:val="Compact"/>
              <w:spacing w:line="240" w:lineRule="auto" w:after="20"/>
              <w:jc w:val="center"/>
            </w:pPr>
            <w:r>
              <w:rPr>
                <w:sz w:val="17"/>
              </w:rPr>
              <w:t xml:space="preserve">−0.86 (−4.1)</w:t>
            </w:r>
          </w:p>
        </w:tc>
      </w:tr>
      <w:tr>
        <w:tc>
          <w:tcPr>
            <w:tcW w:type="dxa" w:w="1814"/>
          </w:tcPr>
          <w:p>
            <w:pPr>
              <w:pStyle w:val="Compact"/>
              <w:spacing w:line="240" w:lineRule="auto" w:after="20"/>
              <w:jc w:val="left"/>
            </w:pPr>
            <w:r>
              <w:rPr>
                <w:sz w:val="17"/>
              </w:rPr>
              <w:t xml:space="preserve">2025-Q4</w:t>
            </w:r>
          </w:p>
        </w:tc>
        <w:tc>
          <w:tcPr>
            <w:tcW w:type="dxa" w:w="1814"/>
          </w:tcPr>
          <w:p>
            <w:pPr>
              <w:pStyle w:val="Compact"/>
              <w:spacing w:line="240" w:lineRule="auto" w:after="20"/>
              <w:jc w:val="center"/>
            </w:pPr>
            <w:r>
              <w:rPr>
                <w:sz w:val="17"/>
              </w:rPr>
              <w:t xml:space="preserve">426</w:t>
            </w:r>
          </w:p>
        </w:tc>
        <w:tc>
          <w:tcPr>
            <w:tcW w:type="dxa" w:w="1814"/>
          </w:tcPr>
          <w:p>
            <w:pPr>
              <w:pStyle w:val="Compact"/>
              <w:spacing w:line="240" w:lineRule="auto" w:after="20"/>
              <w:jc w:val="center"/>
            </w:pPr>
            <w:r>
              <w:rPr>
                <w:sz w:val="17"/>
              </w:rPr>
              <w:t xml:space="preserve">2.64 (7.4)</w:t>
            </w:r>
          </w:p>
        </w:tc>
        <w:tc>
          <w:tcPr>
            <w:tcW w:type="dxa" w:w="1814"/>
          </w:tcPr>
          <w:p>
            <w:pPr>
              <w:pStyle w:val="Compact"/>
              <w:spacing w:line="240" w:lineRule="auto" w:after="20"/>
              <w:jc w:val="center"/>
            </w:pPr>
            <w:r>
              <w:rPr>
                <w:sz w:val="17"/>
              </w:rPr>
              <w:t xml:space="preserve">280</w:t>
            </w:r>
          </w:p>
        </w:tc>
        <w:tc>
          <w:tcPr>
            <w:tcW w:type="dxa" w:w="1814"/>
          </w:tcPr>
          <w:p>
            <w:pPr>
              <w:pStyle w:val="Compact"/>
              <w:spacing w:line="240" w:lineRule="auto" w:after="20"/>
              <w:jc w:val="center"/>
            </w:pPr>
            <w:r>
              <w:rPr>
                <w:sz w:val="17"/>
              </w:rPr>
              <w:t xml:space="preserve">−1.39 (−2.4)</w:t>
            </w:r>
          </w:p>
        </w:tc>
      </w:tr>
      <w:tr>
        <w:tc>
          <w:tcPr>
            <w:tcW w:type="dxa" w:w="1814"/>
          </w:tcPr>
          <w:p>
            <w:pPr>
              <w:pStyle w:val="Compact"/>
              <w:spacing w:line="240" w:lineRule="auto" w:after="20"/>
              <w:jc w:val="left"/>
            </w:pPr>
            <w:r>
              <w:rPr>
                <w:sz w:val="17"/>
              </w:rPr>
              <w:t xml:space="preserve">2026-Q1</w:t>
            </w:r>
          </w:p>
        </w:tc>
        <w:tc>
          <w:tcPr>
            <w:tcW w:type="dxa" w:w="1814"/>
          </w:tcPr>
          <w:p>
            <w:pPr>
              <w:pStyle w:val="Compact"/>
              <w:spacing w:line="240" w:lineRule="auto" w:after="20"/>
              <w:jc w:val="center"/>
            </w:pPr>
            <w:r>
              <w:rPr>
                <w:sz w:val="17"/>
              </w:rPr>
              <w:t xml:space="preserve">455</w:t>
            </w:r>
          </w:p>
        </w:tc>
        <w:tc>
          <w:tcPr>
            <w:tcW w:type="dxa" w:w="1814"/>
          </w:tcPr>
          <w:p>
            <w:pPr>
              <w:pStyle w:val="Compact"/>
              <w:spacing w:line="240" w:lineRule="auto" w:after="20"/>
              <w:jc w:val="center"/>
            </w:pPr>
            <w:r>
              <w:rPr>
                <w:sz w:val="17"/>
              </w:rPr>
              <w:t xml:space="preserve">2.35 (10.4)</w:t>
            </w:r>
          </w:p>
        </w:tc>
        <w:tc>
          <w:tcPr>
            <w:tcW w:type="dxa" w:w="1814"/>
          </w:tcPr>
          <w:p>
            <w:pPr>
              <w:pStyle w:val="Compact"/>
              <w:spacing w:line="240" w:lineRule="auto" w:after="20"/>
              <w:jc w:val="center"/>
            </w:pPr>
            <w:r>
              <w:rPr>
                <w:sz w:val="17"/>
              </w:rPr>
              <w:t xml:space="preserve">433</w:t>
            </w:r>
          </w:p>
        </w:tc>
        <w:tc>
          <w:tcPr>
            <w:tcW w:type="dxa" w:w="1814"/>
          </w:tcPr>
          <w:p>
            <w:pPr>
              <w:pStyle w:val="Compact"/>
              <w:spacing w:line="240" w:lineRule="auto" w:after="20"/>
              <w:jc w:val="center"/>
            </w:pPr>
            <w:r>
              <w:rPr>
                <w:sz w:val="17"/>
              </w:rPr>
              <w:t xml:space="preserve">−1.39 (−7.8)</w:t>
            </w:r>
          </w:p>
        </w:tc>
      </w:tr>
      <w:tr>
        <w:tc>
          <w:tcPr>
            <w:tcW w:type="dxa" w:w="1814"/>
          </w:tcPr>
          <w:p>
            <w:pPr>
              <w:pStyle w:val="Compact"/>
              <w:spacing w:line="240" w:lineRule="auto" w:after="20"/>
              <w:jc w:val="left"/>
            </w:pPr>
            <w:r>
              <w:rPr>
                <w:sz w:val="17"/>
              </w:rPr>
              <w:t xml:space="preserve">2026-Q2</w:t>
            </w:r>
          </w:p>
        </w:tc>
        <w:tc>
          <w:tcPr>
            <w:tcW w:type="dxa" w:w="1814"/>
          </w:tcPr>
          <w:p>
            <w:pPr>
              <w:pStyle w:val="Compact"/>
              <w:spacing w:line="240" w:lineRule="auto" w:after="20"/>
              <w:jc w:val="center"/>
            </w:pPr>
            <w:r>
              <w:rPr>
                <w:sz w:val="17"/>
              </w:rPr>
              <w:t xml:space="preserve">297</w:t>
            </w:r>
          </w:p>
        </w:tc>
        <w:tc>
          <w:tcPr>
            <w:tcW w:type="dxa" w:w="1814"/>
          </w:tcPr>
          <w:p>
            <w:pPr>
              <w:pStyle w:val="Compact"/>
              <w:spacing w:line="240" w:lineRule="auto" w:after="20"/>
              <w:jc w:val="center"/>
            </w:pPr>
            <w:r>
              <w:rPr>
                <w:sz w:val="17"/>
              </w:rPr>
              <w:t xml:space="preserve">2.08 (7.0)</w:t>
            </w:r>
          </w:p>
        </w:tc>
        <w:tc>
          <w:tcPr>
            <w:tcW w:type="dxa" w:w="1814"/>
          </w:tcPr>
          <w:p>
            <w:pPr>
              <w:pStyle w:val="Compact"/>
              <w:spacing w:line="240" w:lineRule="auto" w:after="20"/>
              <w:jc w:val="center"/>
            </w:pPr>
            <w:r>
              <w:rPr>
                <w:sz w:val="17"/>
              </w:rPr>
              <w:t xml:space="preserve">99</w:t>
            </w:r>
          </w:p>
        </w:tc>
        <w:tc>
          <w:tcPr>
            <w:tcW w:type="dxa" w:w="1814"/>
          </w:tcPr>
          <w:p>
            <w:pPr>
              <w:pStyle w:val="Compact"/>
              <w:spacing w:line="240" w:lineRule="auto" w:after="20"/>
              <w:jc w:val="center"/>
            </w:pPr>
            <w:r>
              <w:rPr>
                <w:sz w:val="17"/>
              </w:rPr>
              <w:t xml:space="preserve">−1.46 (−3.3)</w:t>
            </w:r>
          </w:p>
        </w:tc>
      </w:tr>
      <w:tr>
        <w:tc>
          <w:tcPr>
            <w:tcW w:type="dxa" w:w="1814"/>
            <w:tcBorders>
              <w:bottom w:val="single" w:sz="6" w:space="0" w:color="000000"/>
            </w:tcBorders>
          </w:tcPr>
          <w:p>
            <w:pPr>
              <w:pStyle w:val="Compact"/>
              <w:spacing w:line="240" w:lineRule="auto" w:after="20"/>
              <w:jc w:val="left"/>
            </w:pPr>
            <w:r>
              <w:rPr>
                <w:sz w:val="17"/>
              </w:rPr>
              <w:t xml:space="preserve">2026-Q3</w:t>
            </w:r>
          </w:p>
        </w:tc>
        <w:tc>
          <w:tcPr>
            <w:tcW w:type="dxa" w:w="1814"/>
            <w:tcBorders>
              <w:bottom w:val="single" w:sz="6" w:space="0" w:color="000000"/>
            </w:tcBorders>
          </w:tcPr>
          <w:p>
            <w:pPr>
              <w:pStyle w:val="Compact"/>
              <w:spacing w:line="240" w:lineRule="auto" w:after="20"/>
              <w:jc w:val="center"/>
            </w:pPr>
            <w:r>
              <w:rPr>
                <w:sz w:val="17"/>
              </w:rPr>
              <w:t xml:space="preserve">239</w:t>
            </w:r>
          </w:p>
        </w:tc>
        <w:tc>
          <w:tcPr>
            <w:tcW w:type="dxa" w:w="1814"/>
            <w:tcBorders>
              <w:bottom w:val="single" w:sz="6" w:space="0" w:color="000000"/>
            </w:tcBorders>
          </w:tcPr>
          <w:p>
            <w:pPr>
              <w:pStyle w:val="Compact"/>
              <w:spacing w:line="240" w:lineRule="auto" w:after="20"/>
              <w:jc w:val="center"/>
            </w:pPr>
            <w:r>
              <w:rPr>
                <w:sz w:val="17"/>
              </w:rPr>
              <w:t xml:space="preserve">1.61 (5.4)</w:t>
            </w:r>
          </w:p>
        </w:tc>
        <w:tc>
          <w:tcPr>
            <w:tcW w:type="dxa" w:w="1814"/>
            <w:tcBorders>
              <w:bottom w:val="single" w:sz="6" w:space="0" w:color="000000"/>
            </w:tcBorders>
          </w:tcPr>
          <w:p>
            <w:pPr>
              <w:pStyle w:val="Compact"/>
              <w:spacing w:line="240" w:lineRule="auto" w:after="20"/>
              <w:jc w:val="center"/>
            </w:pPr>
            <w:r>
              <w:rPr>
                <w:sz w:val="17"/>
              </w:rPr>
              <w:t xml:space="preserve">175</w:t>
            </w:r>
          </w:p>
        </w:tc>
        <w:tc>
          <w:tcPr>
            <w:tcW w:type="dxa" w:w="1814"/>
            <w:tcBorders>
              <w:bottom w:val="single" w:sz="6" w:space="0" w:color="000000"/>
            </w:tcBorders>
          </w:tcPr>
          <w:p>
            <w:pPr>
              <w:pStyle w:val="Compact"/>
              <w:spacing w:line="240" w:lineRule="auto" w:after="20"/>
              <w:jc w:val="center"/>
            </w:pPr>
            <w:r>
              <w:rPr>
                <w:sz w:val="17"/>
              </w:rPr>
              <w:t xml:space="preserve">−1.55 (−2.8)</w:t>
            </w:r>
          </w:p>
        </w:tc>
      </w:tr>
    </w:tbl>
    <w:p>
      <w:pPr>
        <w:pStyle w:val="BodyText"/>
        <w:spacing w:line="360" w:lineRule="auto" w:after="120"/>
        <w:jc w:val="left"/>
      </w:pP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sectPr>
      <w:footerReference w:type="default" r:id="rId9"/>
      <w:pgSz w:w="11906" w:h="16838"/>
      <w:pgMar w:left="1440" w:right="1440" w:top="1440" w:bottom="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pPr>
      <w:spacing w:after="180" w:before="180"/>
    </w:pPr>
    <w:qFormat/>
    <w:rPr>
      <w:rFonts w:ascii="Times New Roman" w:hAnsi="Times New Roman" w:cs="Times New Roman" w:eastAsia="Times New Roman"/>
      <w:sz w:val="24"/>
    </w:rPr>
  </w:style>
  <w:style w:customStyle="1" w:styleId="FirstParagraph" w:type="paragraph">
    <w:name w:val="First Paragraph"/>
    <w:basedOn w:val="BodyText"/>
    <w:next w:val="BodyText"/>
    <w:qFormat/>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4"/>
    </w:rPr>
  </w:style>
  <w:style w:styleId="Title" w:type="paragraph">
    <w:name w:val="Title"/>
    <w:basedOn w:val="Normal"/>
    <w:next w:val="BodyText"/>
    <w:qFormat/>
    <w:pPr>
      <w:keepNext/>
      <w:keepLines/>
      <w:spacing w:after="120" w:before="240"/>
      <w:jc w:val="center"/>
    </w:pPr>
    <w:rPr>
      <w:rFonts w:ascii="Times New Roman" w:hAnsi="Times New Roman" w:cs="Times New Roman" w:eastAsia="Times New Roman"/>
      <w:b/>
      <w:bCs/>
      <w:i w:val="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i w:val="0"/>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sz w:val="28"/>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2026-10-22T04:04:12Z</dcterms:created>
  <dcterms:modified xsi:type="dcterms:W3CDTF">2026-10-22T04:04:12Z</dcterms:modified>
</cp:coreProperties>
</file>

<file path=docProps/custom.xml><?xml version="1.0" encoding="utf-8"?>
<Properties xmlns="http://schemas.openxmlformats.org/officeDocument/2006/custom-properties" xmlns:vt="http://schemas.openxmlformats.org/officeDocument/2006/docPropsVTypes"/>
</file>