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t xml:space="preserve">Do price limits delay price discovery? Overnight gaps after limit closes in Vietnam</w:t>
      </w:r>
    </w:p>
    <w:p>
      <w:pPr>
        <w:pStyle w:val="BodyText"/>
        <w:spacing w:line="276" w:lineRule="auto" w:after="120"/>
        <w:jc w:val="left"/>
      </w:pPr>
      <w:r>
        <w:t xml:space="preserve">Ha Hong Hanh, Nguyen Van Trung &amp; Nguyen Thanh Binh</w:t>
      </w:r>
    </w:p>
    <w:p>
      <w:pPr>
        <w:pStyle w:val="BodyText"/>
        <w:spacing w:line="276" w:lineRule="auto" w:after="120"/>
        <w:jc w:val="left"/>
      </w:pPr>
      <w:r>
        <w:rPr>
          <w:bCs/>
          <w:b/>
        </w:rPr>
        <w:t xml:space="preserve">Supplementary Information</w:t>
      </w:r>
    </w:p>
    <w:p>
      <w:pPr>
        <w:spacing w:line="276" w:lineRule="auto" w:after="120"/>
        <w:jc w:val="left"/>
      </w:pPr>
      <w:r>
        <w:br w:type="page"/>
      </w:r>
    </w:p>
    <w:p>
      <w:pPr>
        <w:pStyle w:val="Heading2"/>
        <w:jc w:val="left"/>
      </w:pPr>
      <w:r>
        <w:t xml:space="preserve">Supplementary Note 1: Characteristic definitions</w:t>
      </w:r>
    </w:p>
    <w:p>
      <w:pPr>
        <w:pStyle w:val="FirstParagraph"/>
        <w:spacing w:line="276" w:lineRule="auto" w:after="120"/>
        <w:jc w:val="left"/>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Parkinson[1] high-low estimator; SKEW and KURT are the third and fourth standardized moments; AMIHUD is the mean ratio of absolute return to dollar volume [2]; LNDVOL is the log of mean dollar volume; and CSSPREAD is the Corwin and Schultz[3] spread estimator. Over the last 20 days, MAX and MIN are the largest and smallest daily returns [4],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p>
      <w:pPr>
        <w:pStyle w:val="Heading2"/>
        <w:jc w:val="left"/>
      </w:pPr>
      <w:r>
        <w:t xml:space="preserve">Supplementary Note 2: Literature search</w:t>
      </w:r>
    </w:p>
    <w:p>
      <w:pPr>
        <w:pStyle w:val="FirstParagraph"/>
        <w:spacing w:line="276" w:lineRule="auto" w:after="120"/>
        <w:jc w:val="left"/>
      </w:pPr>
      <w:r>
        <w:t xml:space="preserve">We searched on October 4 and 5, 2026 with a web search engine;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(Methods) and the working paper of Farber et al.[5], cited as background on the early market. A second search on October 6, 2026, covered studies of price limits in Vietnam, including the Vietnam Journals Online (VJOL) index, and added Le[6] and the working paper of Farber et al.[5]; Vietnamese-language articles without an English record were not screened, and the coverage of Chinese A-share studies is incomplete. We read the bibliographic records and the abstract text returned by the search tool; the full texts of the three studies closest to ours [7–9] were read on October 6, 2026, and Supplementary Table S1 reports their results.</w:t>
      </w:r>
    </w:p>
    <w:p>
      <w:pPr>
        <w:pStyle w:val="Heading2"/>
        <w:jc w:val="left"/>
      </w:pPr>
      <w:r>
        <w:t xml:space="preserve">Supplementary Tables</w:t>
      </w:r>
    </w:p>
    <w:p>
      <w:pPr>
        <w:pStyle w:val="FirstParagraph"/>
        <w:spacing w:line="276" w:lineRule="auto" w:after="120"/>
        <w:jc w:val="left"/>
      </w:pPr>
      <w:r>
        <w:rPr>
          <w:bCs/>
          <w:b/>
        </w:rPr>
        <w:t xml:space="preserve">Supplementary Table S1.</w:t>
      </w:r>
      <w:r>
        <w:t xml:space="preserve"> </w:t>
      </w:r>
      <w:r>
        <w:t xml:space="preserve">Comparison with earlier studies</w:t>
      </w:r>
    </w:p>
    <w:tbl>
      <w:tblPr>
        <w:tblStyle w:val="Table"/>
        <w:tblW w:type="pct" w:w="5000"/>
        <w:tblLayout w:type="fixed"/>
        <w:tblLook w:firstRow="1" w:lastRow="0" w:firstColumn="0" w:lastColumn="0" w:noHBand="0" w:noVBand="0" w:val="0020"/>
        <w:jc w:val="start"/>
      </w:tblPr>
      <w:tblGrid>
        <w:gridCol w:w="2267"/>
        <w:gridCol w:w="2267"/>
        <w:gridCol w:w="2267"/>
        <w:gridCol w:w="2267"/>
      </w:tblGrid>
      <w:tr>
        <w:trPr>
          <w:tblHeader w:val="true"/>
        </w:trPr>
        <w:tc>
          <w:tcPr>
            <w:tcW w:type="dxa" w:w="2268"/>
            <w:tcBorders>
              <w:top w:val="single" w:sz="6" w:space="0" w:color="000000"/>
              <w:bottom w:val="single" w:sz="6" w:space="0" w:color="000000"/>
            </w:tcBorders>
          </w:tcPr>
          <w:p>
            <w:pPr>
              <w:pStyle w:val="Compact"/>
              <w:spacing w:line="240" w:lineRule="auto" w:after="20"/>
              <w:jc w:val="left"/>
            </w:pPr>
            <w:r>
              <w:rPr>
                <w:b/>
                <w:sz w:val="17"/>
              </w:rPr>
              <w:t xml:space="preserve">Study</w:t>
            </w:r>
          </w:p>
        </w:tc>
        <w:tc>
          <w:tcPr>
            <w:tcW w:type="dxa" w:w="2268"/>
            <w:tcBorders>
              <w:top w:val="single" w:sz="6" w:space="0" w:color="000000"/>
              <w:bottom w:val="single" w:sz="6" w:space="0" w:color="000000"/>
            </w:tcBorders>
          </w:tcPr>
          <w:p>
            <w:pPr>
              <w:pStyle w:val="Compact"/>
              <w:spacing w:line="240" w:lineRule="auto" w:after="20"/>
              <w:jc w:val="center"/>
            </w:pPr>
            <w:r>
              <w:rPr>
                <w:b/>
                <w:sz w:val="17"/>
              </w:rPr>
              <w:t xml:space="preserve">Setting</w:t>
            </w:r>
          </w:p>
        </w:tc>
        <w:tc>
          <w:tcPr>
            <w:tcW w:type="dxa" w:w="2268"/>
            <w:tcBorders>
              <w:top w:val="single" w:sz="6" w:space="0" w:color="000000"/>
              <w:bottom w:val="single" w:sz="6" w:space="0" w:color="000000"/>
            </w:tcBorders>
          </w:tcPr>
          <w:p>
            <w:pPr>
              <w:pStyle w:val="Compact"/>
              <w:spacing w:line="240" w:lineRule="auto" w:after="20"/>
              <w:jc w:val="center"/>
            </w:pPr>
            <w:r>
              <w:rPr>
                <w:b/>
                <w:sz w:val="17"/>
              </w:rPr>
              <w:t xml:space="preserve">Reported finding</w:t>
            </w:r>
          </w:p>
        </w:tc>
        <w:tc>
          <w:tcPr>
            <w:tcW w:type="dxa" w:w="2268"/>
            <w:tcBorders>
              <w:top w:val="single" w:sz="6" w:space="0" w:color="000000"/>
              <w:bottom w:val="single" w:sz="6" w:space="0" w:color="000000"/>
            </w:tcBorders>
          </w:tcPr>
          <w:p>
            <w:pPr>
              <w:pStyle w:val="Compact"/>
              <w:spacing w:line="240" w:lineRule="auto" w:after="20"/>
              <w:jc w:val="center"/>
            </w:pPr>
            <w:r>
              <w:rPr>
                <w:b/>
                <w:sz w:val="17"/>
              </w:rPr>
              <w:t xml:space="preserve">Relation to our result</w:t>
            </w:r>
          </w:p>
        </w:tc>
      </w:tr>
      <w:tr>
        <w:tc>
          <w:tcPr>
            <w:tcW w:type="dxa" w:w="2268"/>
          </w:tcPr>
          <w:p>
            <w:pPr>
              <w:pStyle w:val="Compact"/>
              <w:spacing w:line="240" w:lineRule="auto" w:after="20"/>
              <w:jc w:val="left"/>
            </w:pPr>
            <w:r>
              <w:rPr>
                <w:sz w:val="17"/>
              </w:rPr>
              <w:t xml:space="preserve">Kim and Rhee (1997)</w:t>
            </w:r>
          </w:p>
        </w:tc>
        <w:tc>
          <w:tcPr>
            <w:tcW w:type="dxa" w:w="2268"/>
          </w:tcPr>
          <w:p>
            <w:pPr>
              <w:pStyle w:val="Compact"/>
              <w:spacing w:line="240" w:lineRule="auto" w:after="20"/>
              <w:jc w:val="center"/>
            </w:pPr>
            <w:r>
              <w:rPr>
                <w:sz w:val="17"/>
              </w:rPr>
              <w:t xml:space="preserve">Tokyo, 1989–1992; limit hits</w:t>
            </w:r>
          </w:p>
        </w:tc>
        <w:tc>
          <w:tcPr>
            <w:tcW w:type="dxa" w:w="2268"/>
          </w:tcPr>
          <w:p>
            <w:pPr>
              <w:pStyle w:val="Compact"/>
              <w:spacing w:line="240" w:lineRule="auto" w:after="20"/>
              <w:jc w:val="center"/>
            </w:pPr>
            <w:r>
              <w:rPr>
                <w:sz w:val="17"/>
              </w:rPr>
              <w:t xml:space="preserve">Overnight continuation after limit hits in 65% (upper) and 49% (lower) of cases, against 50% and 32% for stocks reaching 90% of the limit; volatility spillover and trading interference</w:t>
            </w:r>
          </w:p>
        </w:tc>
        <w:tc>
          <w:tcPr>
            <w:tcW w:type="dxa" w:w="2268"/>
          </w:tcPr>
          <w:p>
            <w:pPr>
              <w:pStyle w:val="Compact"/>
              <w:spacing w:line="240" w:lineRule="auto" w:after="20"/>
              <w:jc w:val="center"/>
            </w:pPr>
            <w:r>
              <w:rPr>
                <w:sz w:val="17"/>
              </w:rPr>
              <w:t xml:space="preserve">Same direction: the overnight move is larger at the limit than near it; we measure its size, not its frequency; spillover and interference not tested</w:t>
            </w:r>
          </w:p>
        </w:tc>
      </w:tr>
      <w:tr>
        <w:tc>
          <w:tcPr>
            <w:tcW w:type="dxa" w:w="2268"/>
          </w:tcPr>
          <w:p>
            <w:pPr>
              <w:pStyle w:val="Compact"/>
              <w:spacing w:line="240" w:lineRule="auto" w:after="20"/>
              <w:jc w:val="left"/>
            </w:pPr>
            <w:r>
              <w:rPr>
                <w:sz w:val="17"/>
              </w:rPr>
              <w:t xml:space="preserve">Berkman and Lee (2002)</w:t>
            </w:r>
          </w:p>
        </w:tc>
        <w:tc>
          <w:tcPr>
            <w:tcW w:type="dxa" w:w="2268"/>
          </w:tcPr>
          <w:p>
            <w:pPr>
              <w:pStyle w:val="Compact"/>
              <w:spacing w:line="240" w:lineRule="auto" w:after="20"/>
              <w:jc w:val="center"/>
            </w:pPr>
            <w:r>
              <w:rPr>
                <w:sz w:val="17"/>
              </w:rPr>
              <w:t xml:space="preserve">Korea; limit revision</w:t>
            </w:r>
          </w:p>
        </w:tc>
        <w:tc>
          <w:tcPr>
            <w:tcW w:type="dxa" w:w="2268"/>
          </w:tcPr>
          <w:p>
            <w:pPr>
              <w:pStyle w:val="Compact"/>
              <w:spacing w:line="240" w:lineRule="auto" w:after="20"/>
              <w:jc w:val="center"/>
            </w:pPr>
            <w:r>
              <w:rPr>
                <w:sz w:val="17"/>
              </w:rPr>
              <w:t xml:space="preserve">Volatility and trading activity around the revision</w:t>
            </w:r>
          </w:p>
        </w:tc>
        <w:tc>
          <w:tcPr>
            <w:tcW w:type="dxa" w:w="2268"/>
          </w:tcPr>
          <w:p>
            <w:pPr>
              <w:pStyle w:val="Compact"/>
              <w:spacing w:line="240" w:lineRule="auto" w:after="20"/>
              <w:jc w:val="center"/>
            </w:pPr>
            <w:r>
              <w:rPr>
                <w:sz w:val="17"/>
              </w:rPr>
              <w:t xml:space="preserve">Different question</w:t>
            </w:r>
          </w:p>
        </w:tc>
      </w:tr>
      <w:tr>
        <w:tc>
          <w:tcPr>
            <w:tcW w:type="dxa" w:w="2268"/>
          </w:tcPr>
          <w:p>
            <w:pPr>
              <w:pStyle w:val="Compact"/>
              <w:spacing w:line="240" w:lineRule="auto" w:after="20"/>
              <w:jc w:val="left"/>
            </w:pPr>
            <w:r>
              <w:rPr>
                <w:sz w:val="17"/>
              </w:rPr>
              <w:t xml:space="preserve">Huang et al. (2001)</w:t>
            </w:r>
          </w:p>
        </w:tc>
        <w:tc>
          <w:tcPr>
            <w:tcW w:type="dxa" w:w="2268"/>
          </w:tcPr>
          <w:p>
            <w:pPr>
              <w:pStyle w:val="Compact"/>
              <w:spacing w:line="240" w:lineRule="auto" w:after="20"/>
              <w:jc w:val="center"/>
            </w:pPr>
            <w:r>
              <w:rPr>
                <w:sz w:val="17"/>
              </w:rPr>
              <w:t xml:space="preserve">Taiwan, 1990–1996; 7% band</w:t>
            </w:r>
          </w:p>
        </w:tc>
        <w:tc>
          <w:tcPr>
            <w:tcW w:type="dxa" w:w="2268"/>
          </w:tcPr>
          <w:p>
            <w:pPr>
              <w:pStyle w:val="Compact"/>
              <w:spacing w:line="240" w:lineRule="auto" w:after="20"/>
              <w:jc w:val="center"/>
            </w:pPr>
            <w:r>
              <w:rPr>
                <w:sz w:val="17"/>
              </w:rPr>
              <w:t xml:space="preserve">One-day up-limit closes: +1.18% overnight, −0.77% in the next session; near-limit rises: +0.23% and −0.72%; down-limit closes: −2.17% and +1.24%</w:t>
            </w:r>
          </w:p>
        </w:tc>
        <w:tc>
          <w:tcPr>
            <w:tcW w:type="dxa" w:w="2268"/>
          </w:tcPr>
          <w:p>
            <w:pPr>
              <w:pStyle w:val="Compact"/>
              <w:spacing w:line="240" w:lineRule="auto" w:after="20"/>
              <w:jc w:val="center"/>
            </w:pPr>
            <w:r>
              <w:rPr>
                <w:sz w:val="17"/>
              </w:rPr>
              <w:t xml:space="preserve">Same timing; our ceiling gap (2.24%) is larger, and the session reverses a smaller share (24% against about two thirds)</w:t>
            </w:r>
          </w:p>
        </w:tc>
      </w:tr>
      <w:tr>
        <w:tc>
          <w:tcPr>
            <w:tcW w:type="dxa" w:w="2268"/>
          </w:tcPr>
          <w:p>
            <w:pPr>
              <w:pStyle w:val="Compact"/>
              <w:spacing w:line="240" w:lineRule="auto" w:after="20"/>
              <w:jc w:val="left"/>
            </w:pPr>
            <w:r>
              <w:rPr>
                <w:sz w:val="17"/>
              </w:rPr>
              <w:t xml:space="preserve">Cho et al. (2003)</w:t>
            </w:r>
          </w:p>
        </w:tc>
        <w:tc>
          <w:tcPr>
            <w:tcW w:type="dxa" w:w="2268"/>
          </w:tcPr>
          <w:p>
            <w:pPr>
              <w:pStyle w:val="Compact"/>
              <w:spacing w:line="240" w:lineRule="auto" w:after="20"/>
              <w:jc w:val="center"/>
            </w:pPr>
            <w:r>
              <w:rPr>
                <w:sz w:val="17"/>
              </w:rPr>
              <w:t xml:space="preserve">Taiwan; five-minute data</w:t>
            </w:r>
          </w:p>
        </w:tc>
        <w:tc>
          <w:tcPr>
            <w:tcW w:type="dxa" w:w="2268"/>
          </w:tcPr>
          <w:p>
            <w:pPr>
              <w:pStyle w:val="Compact"/>
              <w:spacing w:line="240" w:lineRule="auto" w:after="20"/>
              <w:jc w:val="center"/>
            </w:pPr>
            <w:r>
              <w:rPr>
                <w:sz w:val="17"/>
              </w:rPr>
              <w:t xml:space="preserve">Prices accelerate toward the upper limit</w:t>
            </w:r>
          </w:p>
        </w:tc>
        <w:tc>
          <w:tcPr>
            <w:tcW w:type="dxa" w:w="2268"/>
          </w:tcPr>
          <w:p>
            <w:pPr>
              <w:pStyle w:val="Compact"/>
              <w:spacing w:line="240" w:lineRule="auto" w:after="20"/>
              <w:jc w:val="center"/>
            </w:pPr>
            <w:r>
              <w:rPr>
                <w:sz w:val="17"/>
              </w:rPr>
              <w:t xml:space="preserve">Not tested; no intraday prices</w:t>
            </w:r>
          </w:p>
        </w:tc>
      </w:tr>
      <w:tr>
        <w:tc>
          <w:tcPr>
            <w:tcW w:type="dxa" w:w="2268"/>
          </w:tcPr>
          <w:p>
            <w:pPr>
              <w:pStyle w:val="Compact"/>
              <w:spacing w:line="240" w:lineRule="auto" w:after="20"/>
              <w:jc w:val="left"/>
            </w:pPr>
            <w:r>
              <w:rPr>
                <w:sz w:val="17"/>
              </w:rPr>
              <w:t xml:space="preserve">Chen et al. (2019)</w:t>
            </w:r>
          </w:p>
        </w:tc>
        <w:tc>
          <w:tcPr>
            <w:tcW w:type="dxa" w:w="2268"/>
          </w:tcPr>
          <w:p>
            <w:pPr>
              <w:pStyle w:val="Compact"/>
              <w:spacing w:line="240" w:lineRule="auto" w:after="20"/>
              <w:jc w:val="center"/>
            </w:pPr>
            <w:r>
              <w:rPr>
                <w:sz w:val="17"/>
              </w:rPr>
              <w:t xml:space="preserve">Shenzhen; accounts</w:t>
            </w:r>
          </w:p>
        </w:tc>
        <w:tc>
          <w:tcPr>
            <w:tcW w:type="dxa" w:w="2268"/>
          </w:tcPr>
          <w:p>
            <w:pPr>
              <w:pStyle w:val="Compact"/>
              <w:spacing w:line="240" w:lineRule="auto" w:after="20"/>
              <w:jc w:val="center"/>
            </w:pPr>
            <w:r>
              <w:rPr>
                <w:sz w:val="17"/>
              </w:rPr>
              <w:t xml:space="preserve">Large investors buy on the limit day and sell the next; their net buying predicts long-run reversal</w:t>
            </w:r>
          </w:p>
        </w:tc>
        <w:tc>
          <w:tcPr>
            <w:tcW w:type="dxa" w:w="2268"/>
          </w:tcPr>
          <w:p>
            <w:pPr>
              <w:pStyle w:val="Compact"/>
              <w:spacing w:line="240" w:lineRule="auto" w:after="20"/>
              <w:jc w:val="center"/>
            </w:pPr>
            <w:r>
              <w:rPr>
                <w:sz w:val="17"/>
              </w:rPr>
              <w:t xml:space="preserve">Consistent with our intraday reversal; no account identities</w:t>
            </w:r>
          </w:p>
        </w:tc>
      </w:tr>
      <w:tr>
        <w:tc>
          <w:tcPr>
            <w:tcW w:type="dxa" w:w="2268"/>
          </w:tcPr>
          <w:p>
            <w:pPr>
              <w:pStyle w:val="Compact"/>
              <w:spacing w:line="240" w:lineRule="auto" w:after="20"/>
              <w:jc w:val="left"/>
            </w:pPr>
            <w:r>
              <w:rPr>
                <w:sz w:val="17"/>
              </w:rPr>
              <w:t xml:space="preserve">Qi (2023)</w:t>
            </w:r>
          </w:p>
        </w:tc>
        <w:tc>
          <w:tcPr>
            <w:tcW w:type="dxa" w:w="2268"/>
          </w:tcPr>
          <w:p>
            <w:pPr>
              <w:pStyle w:val="Compact"/>
              <w:spacing w:line="240" w:lineRule="auto" w:after="20"/>
              <w:jc w:val="center"/>
            </w:pPr>
            <w:r>
              <w:rPr>
                <w:sz w:val="17"/>
              </w:rPr>
              <w:t xml:space="preserve">ChiNext, 2020–2021; band 10% to 20%</w:t>
            </w:r>
          </w:p>
        </w:tc>
        <w:tc>
          <w:tcPr>
            <w:tcW w:type="dxa" w:w="2268"/>
          </w:tcPr>
          <w:p>
            <w:pPr>
              <w:pStyle w:val="Compact"/>
              <w:spacing w:line="240" w:lineRule="auto" w:after="20"/>
              <w:jc w:val="center"/>
            </w:pPr>
            <w:r>
              <w:rPr>
                <w:sz w:val="17"/>
              </w:rPr>
              <w:t xml:space="preserve">Day-1 abnormal return +0.24% after upper-limit closes and −3.37% after lower-limit closes under the 10% band; spillover and interference, stronger at the lower limit; no magnet effect</w:t>
            </w:r>
          </w:p>
        </w:tc>
        <w:tc>
          <w:tcPr>
            <w:tcW w:type="dxa" w:w="2268"/>
          </w:tcPr>
          <w:p>
            <w:pPr>
              <w:pStyle w:val="Compact"/>
              <w:spacing w:line="240" w:lineRule="auto" w:after="20"/>
              <w:jc w:val="center"/>
            </w:pPr>
            <w:r>
              <w:rPr>
                <w:sz w:val="17"/>
              </w:rPr>
              <w:t xml:space="preserve">Opposite asymmetry: our day-</w:t>
            </w:r>
            <w:r>
              <w:rPr>
                <w:iCs/>
                <w:i/>
                <w:sz w:val="17"/>
              </w:rPr>
              <w:t xml:space="preserve">d</w:t>
            </w:r>
            <w:r>
              <w:rPr>
                <w:sz w:val="17"/>
              </w:rPr>
              <w:t xml:space="preserve">+1 return is 1.66% after ceiling and −0.71% after floor closes</w:t>
            </w:r>
          </w:p>
        </w:tc>
      </w:tr>
      <w:tr>
        <w:tc>
          <w:tcPr>
            <w:tcW w:type="dxa" w:w="2268"/>
          </w:tcPr>
          <w:p>
            <w:pPr>
              <w:pStyle w:val="Compact"/>
              <w:spacing w:line="240" w:lineRule="auto" w:after="20"/>
              <w:jc w:val="left"/>
            </w:pPr>
            <w:r>
              <w:rPr>
                <w:sz w:val="17"/>
              </w:rPr>
              <w:t xml:space="preserve">Lin et al. (2023); Zeng et al. (2024)</w:t>
            </w:r>
          </w:p>
        </w:tc>
        <w:tc>
          <w:tcPr>
            <w:tcW w:type="dxa" w:w="2268"/>
          </w:tcPr>
          <w:p>
            <w:pPr>
              <w:pStyle w:val="Compact"/>
              <w:spacing w:line="240" w:lineRule="auto" w:after="20"/>
              <w:jc w:val="center"/>
            </w:pPr>
            <w:r>
              <w:rPr>
                <w:sz w:val="17"/>
              </w:rPr>
              <w:t xml:space="preserve">China; cross-section</w:t>
            </w:r>
          </w:p>
        </w:tc>
        <w:tc>
          <w:tcPr>
            <w:tcW w:type="dxa" w:w="2268"/>
          </w:tcPr>
          <w:p>
            <w:pPr>
              <w:pStyle w:val="Compact"/>
              <w:spacing w:line="240" w:lineRule="auto" w:after="20"/>
              <w:jc w:val="center"/>
            </w:pPr>
            <w:r>
              <w:rPr>
                <w:sz w:val="17"/>
              </w:rPr>
              <w:t xml:space="preserve">Large limit exposure or frequent upper-limit hits predict lower returns</w:t>
            </w:r>
          </w:p>
        </w:tc>
        <w:tc>
          <w:tcPr>
            <w:tcW w:type="dxa" w:w="2268"/>
          </w:tcPr>
          <w:p>
            <w:pPr>
              <w:pStyle w:val="Compact"/>
              <w:spacing w:line="240" w:lineRule="auto" w:after="20"/>
              <w:jc w:val="center"/>
            </w:pPr>
            <w:r>
              <w:rPr>
                <w:sz w:val="17"/>
              </w:rPr>
              <w:t xml:space="preserve">Different horizon; a one-day gain can coexist with later reversal, which we do not measure</w:t>
            </w:r>
          </w:p>
        </w:tc>
      </w:tr>
      <w:tr>
        <w:tc>
          <w:tcPr>
            <w:tcW w:type="dxa" w:w="2268"/>
          </w:tcPr>
          <w:p>
            <w:pPr>
              <w:pStyle w:val="Compact"/>
              <w:spacing w:line="240" w:lineRule="auto" w:after="20"/>
              <w:jc w:val="left"/>
            </w:pPr>
            <w:r>
              <w:rPr>
                <w:sz w:val="17"/>
              </w:rPr>
              <w:t xml:space="preserve">Berkman et al. (2012)</w:t>
            </w:r>
          </w:p>
        </w:tc>
        <w:tc>
          <w:tcPr>
            <w:tcW w:type="dxa" w:w="2268"/>
          </w:tcPr>
          <w:p>
            <w:pPr>
              <w:pStyle w:val="Compact"/>
              <w:spacing w:line="240" w:lineRule="auto" w:after="20"/>
              <w:jc w:val="center"/>
            </w:pPr>
            <w:r>
              <w:rPr>
                <w:sz w:val="17"/>
              </w:rPr>
              <w:t xml:space="preserve">U.S.; intraday data</w:t>
            </w:r>
          </w:p>
        </w:tc>
        <w:tc>
          <w:tcPr>
            <w:tcW w:type="dxa" w:w="2268"/>
          </w:tcPr>
          <w:p>
            <w:pPr>
              <w:pStyle w:val="Compact"/>
              <w:spacing w:line="240" w:lineRule="auto" w:after="20"/>
              <w:jc w:val="center"/>
            </w:pPr>
            <w:r>
              <w:rPr>
                <w:sz w:val="17"/>
              </w:rPr>
              <w:t xml:space="preserve">Overnight gains, intraday reversals, concentrated in high-attention stocks</w:t>
            </w:r>
          </w:p>
        </w:tc>
        <w:tc>
          <w:tcPr>
            <w:tcW w:type="dxa" w:w="2268"/>
          </w:tcPr>
          <w:p>
            <w:pPr>
              <w:pStyle w:val="Compact"/>
              <w:spacing w:line="240" w:lineRule="auto" w:after="20"/>
              <w:jc w:val="center"/>
            </w:pPr>
            <w:r>
              <w:rPr>
                <w:sz w:val="17"/>
              </w:rPr>
              <w:t xml:space="preserve">Same signs; the gap also rises with volume and prior return</w:t>
            </w:r>
          </w:p>
        </w:tc>
      </w:tr>
      <w:tr>
        <w:tc>
          <w:tcPr>
            <w:tcW w:type="dxa" w:w="2268"/>
          </w:tcPr>
          <w:p>
            <w:pPr>
              <w:pStyle w:val="Compact"/>
              <w:spacing w:line="240" w:lineRule="auto" w:after="20"/>
              <w:jc w:val="left"/>
            </w:pPr>
            <w:r>
              <w:rPr>
                <w:sz w:val="17"/>
              </w:rPr>
              <w:t xml:space="preserve">Lou et al. (2019)</w:t>
            </w:r>
          </w:p>
        </w:tc>
        <w:tc>
          <w:tcPr>
            <w:tcW w:type="dxa" w:w="2268"/>
          </w:tcPr>
          <w:p>
            <w:pPr>
              <w:pStyle w:val="Compact"/>
              <w:spacing w:line="240" w:lineRule="auto" w:after="20"/>
              <w:jc w:val="center"/>
            </w:pPr>
            <w:r>
              <w:rPr>
                <w:sz w:val="17"/>
              </w:rPr>
              <w:t xml:space="preserve">U.S.; stock returns</w:t>
            </w:r>
          </w:p>
        </w:tc>
        <w:tc>
          <w:tcPr>
            <w:tcW w:type="dxa" w:w="2268"/>
          </w:tcPr>
          <w:p>
            <w:pPr>
              <w:pStyle w:val="Compact"/>
              <w:spacing w:line="240" w:lineRule="auto" w:after="20"/>
              <w:jc w:val="center"/>
            </w:pPr>
            <w:r>
              <w:rPr>
                <w:sz w:val="17"/>
              </w:rPr>
              <w:t xml:space="preserve">Overnight and intraday continuation, offsetting cross-period reversal</w:t>
            </w:r>
          </w:p>
        </w:tc>
        <w:tc>
          <w:tcPr>
            <w:tcW w:type="dxa" w:w="2268"/>
          </w:tcPr>
          <w:p>
            <w:pPr>
              <w:pStyle w:val="Compact"/>
              <w:spacing w:line="240" w:lineRule="auto" w:after="20"/>
              <w:jc w:val="center"/>
            </w:pPr>
            <w:r>
              <w:rPr>
                <w:sz w:val="17"/>
              </w:rPr>
              <w:t xml:space="preserve">Gap-then-reversal has the sign of that cross-period reversal at one day</w:t>
            </w:r>
          </w:p>
        </w:tc>
      </w:tr>
      <w:tr>
        <w:tc>
          <w:tcPr>
            <w:tcW w:type="dxa" w:w="2268"/>
          </w:tcPr>
          <w:p>
            <w:pPr>
              <w:pStyle w:val="Compact"/>
              <w:spacing w:line="240" w:lineRule="auto" w:after="20"/>
              <w:jc w:val="left"/>
            </w:pPr>
            <w:r>
              <w:rPr>
                <w:sz w:val="17"/>
              </w:rPr>
              <w:t xml:space="preserve">Qiao and Dam (2020)</w:t>
            </w:r>
          </w:p>
        </w:tc>
        <w:tc>
          <w:tcPr>
            <w:tcW w:type="dxa" w:w="2268"/>
          </w:tcPr>
          <w:p>
            <w:pPr>
              <w:pStyle w:val="Compact"/>
              <w:spacing w:line="240" w:lineRule="auto" w:after="20"/>
              <w:jc w:val="center"/>
            </w:pPr>
            <w:r>
              <w:rPr>
                <w:sz w:val="17"/>
              </w:rPr>
              <w:t xml:space="preserve">China A-shares</w:t>
            </w:r>
          </w:p>
        </w:tc>
        <w:tc>
          <w:tcPr>
            <w:tcW w:type="dxa" w:w="2268"/>
          </w:tcPr>
          <w:p>
            <w:pPr>
              <w:pStyle w:val="Compact"/>
              <w:spacing w:line="240" w:lineRule="auto" w:after="20"/>
              <w:jc w:val="center"/>
            </w:pPr>
            <w:r>
              <w:rPr>
                <w:sz w:val="17"/>
              </w:rPr>
              <w:t xml:space="preserve">Negative average overnight return; T+1 rule lowers opening prices</w:t>
            </w:r>
          </w:p>
        </w:tc>
        <w:tc>
          <w:tcPr>
            <w:tcW w:type="dxa" w:w="2268"/>
          </w:tcPr>
          <w:p>
            <w:pPr>
              <w:pStyle w:val="Compact"/>
              <w:spacing w:line="240" w:lineRule="auto" w:after="20"/>
              <w:jc w:val="center"/>
            </w:pPr>
            <w:r>
              <w:rPr>
                <w:sz w:val="17"/>
              </w:rPr>
              <w:t xml:space="preserve">Opposite sign: positive overnight return after ceiling closes</w:t>
            </w:r>
          </w:p>
        </w:tc>
      </w:tr>
      <w:tr>
        <w:tc>
          <w:tcPr>
            <w:tcW w:type="dxa" w:w="2268"/>
            <w:tcBorders>
              <w:bottom w:val="single" w:sz="6" w:space="0" w:color="000000"/>
            </w:tcBorders>
          </w:tcPr>
          <w:p>
            <w:pPr>
              <w:pStyle w:val="Compact"/>
              <w:spacing w:line="240" w:lineRule="auto" w:after="20"/>
              <w:jc w:val="left"/>
            </w:pPr>
            <w:r>
              <w:rPr>
                <w:sz w:val="17"/>
              </w:rPr>
              <w:t xml:space="preserve">Hou et al. (2020); Harvey et al. (2016)</w:t>
            </w:r>
          </w:p>
        </w:tc>
        <w:tc>
          <w:tcPr>
            <w:tcW w:type="dxa" w:w="2268"/>
            <w:tcBorders>
              <w:bottom w:val="single" w:sz="6" w:space="0" w:color="000000"/>
            </w:tcBorders>
          </w:tcPr>
          <w:p>
            <w:pPr>
              <w:pStyle w:val="Compact"/>
              <w:spacing w:line="240" w:lineRule="auto" w:after="20"/>
              <w:jc w:val="center"/>
            </w:pPr>
            <w:r>
              <w:rPr>
                <w:sz w:val="17"/>
              </w:rPr>
              <w:t xml:space="preserve">U.S.; anomalies</w:t>
            </w:r>
          </w:p>
        </w:tc>
        <w:tc>
          <w:tcPr>
            <w:tcW w:type="dxa" w:w="2268"/>
            <w:tcBorders>
              <w:bottom w:val="single" w:sz="6" w:space="0" w:color="000000"/>
            </w:tcBorders>
          </w:tcPr>
          <w:p>
            <w:pPr>
              <w:pStyle w:val="Compact"/>
              <w:spacing w:line="240" w:lineRule="auto" w:after="20"/>
              <w:jc w:val="center"/>
            </w:pPr>
            <w:r>
              <w:rPr>
                <w:sz w:val="17"/>
              </w:rPr>
              <w:t xml:space="preserve">With microcaps mitigated, 65% of 452 anomalies fail the 1.96 hurdle; a new factor needs</w:t>
            </w:r>
            <w:r>
              <w:rPr>
                <w:sz w:val="17"/>
              </w:rPr>
              <w:t xml:space="preserve"> </w:t>
            </w:r>
            <w:r>
              <w:rPr>
                <w:iCs/>
                <w:i/>
                <w:sz w:val="17"/>
              </w:rPr>
              <w:t xml:space="preserve">t</w:t>
            </w:r>
            <w:r>
              <w:rPr>
                <w:sz w:val="17"/>
              </w:rPr>
              <w:t xml:space="preserve"> </w:t>
            </w:r>
            <w:r>
              <w:rPr>
                <w:sz w:val="17"/>
              </w:rPr>
              <w:t xml:space="preserve">above 3.0</w:t>
            </w:r>
          </w:p>
        </w:tc>
        <w:tc>
          <w:tcPr>
            <w:tcW w:type="dxa" w:w="2268"/>
            <w:tcBorders>
              <w:bottom w:val="single" w:sz="6" w:space="0" w:color="000000"/>
            </w:tcBorders>
          </w:tcPr>
          <w:p>
            <w:pPr>
              <w:pStyle w:val="Compact"/>
              <w:spacing w:line="240" w:lineRule="auto" w:after="20"/>
              <w:jc w:val="center"/>
            </w:pPr>
            <w:r>
              <w:rPr>
                <w:sz w:val="17"/>
              </w:rPr>
              <w:t xml:space="preserve">None of our 22 characteristics reaches 1.96 in the full sample</w:t>
            </w:r>
          </w:p>
        </w:tc>
      </w:tr>
    </w:tbl>
    <w:p>
      <w:pPr>
        <w:pStyle w:val="BodyText"/>
        <w:spacing w:line="276" w:lineRule="auto" w:after="120"/>
        <w:jc w:val="left"/>
      </w:pPr>
      <w:r>
        <w:rPr>
          <w:iCs/>
          <w:i/>
        </w:rPr>
        <w:t xml:space="preserve">Note.</w:t>
      </w:r>
      <w:r>
        <w:t xml:space="preserve"> </w:t>
      </w:r>
      <w:r>
        <w:t xml:space="preserve">Entries for Kim and Rhee[7], Huang et al.[8] and Qi[9] report results from the full texts; the other entries summarize each study’s abstract.</w:t>
      </w:r>
    </w:p>
    <w:p>
      <w:pPr>
        <w:pStyle w:val="BodyText"/>
        <w:spacing w:line="276" w:lineRule="auto" w:after="120"/>
        <w:jc w:val="left"/>
      </w:pPr>
      <w:r>
        <w:rPr>
          <w:bCs/>
          <w:b/>
        </w:rPr>
        <w:t xml:space="preserve">Supplementary Table S2.</w:t>
      </w:r>
      <w:r>
        <w:t xml:space="preserve"> </w:t>
      </w:r>
      <w:r>
        <w:t xml:space="preserve">Next-day abnormal returns under alternative event definitions</w:t>
      </w:r>
    </w:p>
    <w:tbl>
      <w:tblPr>
        <w:tblStyle w:val="Table"/>
        <w:tblW w:type="pct" w:w="5000"/>
        <w:tblLayout w:type="fixed"/>
        <w:tblLook w:firstRow="1" w:lastRow="0" w:firstColumn="0" w:lastColumn="0" w:noHBand="0" w:noVBand="0" w:val="0020"/>
        <w:jc w:val="start"/>
      </w:tblPr>
      <w:tblGrid>
        <w:gridCol w:w="2204"/>
        <w:gridCol w:w="1356"/>
        <w:gridCol w:w="1356"/>
        <w:gridCol w:w="1441"/>
        <w:gridCol w:w="1356"/>
        <w:gridCol w:w="1356"/>
      </w:tblGrid>
      <w:tr>
        <w:trPr>
          <w:tblHeader w:val="true"/>
        </w:trPr>
        <w:tc>
          <w:tcPr>
            <w:tcW w:type="dxa" w:w="2204"/>
            <w:tcBorders>
              <w:top w:val="single" w:sz="6" w:space="0" w:color="000000"/>
              <w:bottom w:val="single" w:sz="6" w:space="0" w:color="000000"/>
            </w:tcBorders>
          </w:tcPr>
          <w:p>
            <w:pPr>
              <w:pStyle w:val="Compact"/>
              <w:spacing w:line="240" w:lineRule="auto" w:after="20"/>
              <w:jc w:val="left"/>
            </w:pPr>
            <w:r>
              <w:rPr>
                <w:b/>
                <w:sz w:val="17"/>
              </w:rPr>
              <w:t xml:space="preserve">Event definition</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Overnight gap</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Intraday</w:t>
            </w:r>
          </w:p>
        </w:tc>
        <w:tc>
          <w:tcPr>
            <w:tcW w:type="dxa" w:w="1441"/>
            <w:tcBorders>
              <w:top w:val="single" w:sz="6" w:space="0" w:color="000000"/>
              <w:bottom w:val="single" w:sz="6" w:space="0" w:color="000000"/>
            </w:tcBorders>
          </w:tcPr>
          <w:p>
            <w:pPr>
              <w:pStyle w:val="Compact"/>
              <w:spacing w:line="240" w:lineRule="auto" w:after="20"/>
              <w:jc w:val="center"/>
            </w:pPr>
            <w:r>
              <w:rPr>
                <w:b/>
                <w:sz w:val="17"/>
              </w:rPr>
              <w:t xml:space="preserve">Close-to-close</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Open to day</w:t>
            </w:r>
            <w:r>
              <w:rPr>
                <w:b/>
                <w:sz w:val="17"/>
              </w:rPr>
              <w:t xml:space="preserve"> </w:t>
            </w:r>
            <w:r>
              <w:rPr>
                <w:iCs/>
                <w:b/>
                <w:i/>
                <w:sz w:val="17"/>
              </w:rPr>
              <w:t xml:space="preserve">d</w:t>
            </w:r>
            <w:r>
              <w:rPr>
                <w:b/>
                <w:sz w:val="17"/>
              </w:rPr>
              <w:t xml:space="preserve">+5</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Events</w:t>
            </w:r>
          </w:p>
        </w:tc>
      </w:tr>
      <w:tr>
        <w:tc>
          <w:tcPr>
            <w:tcW w:type="dxa" w:w="2204"/>
          </w:tcPr>
          <w:p>
            <w:pPr>
              <w:pStyle w:val="Compact"/>
              <w:spacing w:line="240" w:lineRule="auto" w:after="20"/>
              <w:jc w:val="left"/>
            </w:pPr>
            <w:r>
              <w:rPr>
                <w:sz w:val="17"/>
              </w:rPr>
              <w:t xml:space="preserve">Ceiling: return ≥ 6.5%, close = high (baseline)</w:t>
            </w:r>
          </w:p>
        </w:tc>
        <w:tc>
          <w:tcPr>
            <w:tcW w:type="dxa" w:w="1356"/>
          </w:tcPr>
          <w:p>
            <w:pPr>
              <w:pStyle w:val="Compact"/>
              <w:spacing w:line="240" w:lineRule="auto" w:after="20"/>
              <w:jc w:val="center"/>
            </w:pPr>
            <w:r>
              <w:rPr>
                <w:sz w:val="17"/>
              </w:rPr>
              <w:t xml:space="preserve">2.24 (9.7)</w:t>
            </w:r>
          </w:p>
        </w:tc>
        <w:tc>
          <w:tcPr>
            <w:tcW w:type="dxa" w:w="1356"/>
          </w:tcPr>
          <w:p>
            <w:pPr>
              <w:pStyle w:val="Compact"/>
              <w:spacing w:line="240" w:lineRule="auto" w:after="20"/>
              <w:jc w:val="center"/>
            </w:pPr>
            <w:r>
              <w:rPr>
                <w:sz w:val="17"/>
              </w:rPr>
              <w:t xml:space="preserve">−0.54 (−3.5)</w:t>
            </w:r>
          </w:p>
        </w:tc>
        <w:tc>
          <w:tcPr>
            <w:tcW w:type="dxa" w:w="1441"/>
          </w:tcPr>
          <w:p>
            <w:pPr>
              <w:pStyle w:val="Compact"/>
              <w:spacing w:line="240" w:lineRule="auto" w:after="20"/>
              <w:jc w:val="center"/>
            </w:pPr>
            <w:r>
              <w:rPr>
                <w:sz w:val="17"/>
              </w:rPr>
              <w:t xml:space="preserve">1.66 (4.8)</w:t>
            </w:r>
          </w:p>
        </w:tc>
        <w:tc>
          <w:tcPr>
            <w:tcW w:type="dxa" w:w="1356"/>
          </w:tcPr>
          <w:p>
            <w:pPr>
              <w:pStyle w:val="Compact"/>
              <w:spacing w:line="240" w:lineRule="auto" w:after="20"/>
              <w:jc w:val="center"/>
            </w:pPr>
            <w:r>
              <w:rPr>
                <w:sz w:val="17"/>
              </w:rPr>
              <w:t xml:space="preserve">−0.75 (−2.7)</w:t>
            </w:r>
          </w:p>
        </w:tc>
        <w:tc>
          <w:tcPr>
            <w:tcW w:type="dxa" w:w="1356"/>
          </w:tcPr>
          <w:p>
            <w:pPr>
              <w:pStyle w:val="Compact"/>
              <w:spacing w:line="240" w:lineRule="auto" w:after="20"/>
              <w:jc w:val="center"/>
            </w:pPr>
            <w:r>
              <w:rPr>
                <w:sz w:val="17"/>
              </w:rPr>
              <w:t xml:space="preserve">3,199</w:t>
            </w:r>
          </w:p>
        </w:tc>
      </w:tr>
      <w:tr>
        <w:tc>
          <w:tcPr>
            <w:tcW w:type="dxa" w:w="2204"/>
          </w:tcPr>
          <w:p>
            <w:pPr>
              <w:pStyle w:val="Compact"/>
              <w:spacing w:line="240" w:lineRule="auto" w:after="20"/>
              <w:jc w:val="left"/>
            </w:pPr>
            <w:r>
              <w:rPr>
                <w:sz w:val="17"/>
              </w:rPr>
              <w:t xml:space="preserve">Ceiling: return ≥ 6.0%, close = high</w:t>
            </w:r>
          </w:p>
        </w:tc>
        <w:tc>
          <w:tcPr>
            <w:tcW w:type="dxa" w:w="1356"/>
          </w:tcPr>
          <w:p>
            <w:pPr>
              <w:pStyle w:val="Compact"/>
              <w:spacing w:line="240" w:lineRule="auto" w:after="20"/>
              <w:jc w:val="center"/>
            </w:pPr>
            <w:r>
              <w:rPr>
                <w:sz w:val="17"/>
              </w:rPr>
              <w:t xml:space="preserve">2.07 (9.8)</w:t>
            </w:r>
          </w:p>
        </w:tc>
        <w:tc>
          <w:tcPr>
            <w:tcW w:type="dxa" w:w="1356"/>
          </w:tcPr>
          <w:p>
            <w:pPr>
              <w:pStyle w:val="Compact"/>
              <w:spacing w:line="240" w:lineRule="auto" w:after="20"/>
              <w:jc w:val="center"/>
            </w:pPr>
            <w:r>
              <w:rPr>
                <w:sz w:val="17"/>
              </w:rPr>
              <w:t xml:space="preserve">−0.51 (−3.4)</w:t>
            </w:r>
          </w:p>
        </w:tc>
        <w:tc>
          <w:tcPr>
            <w:tcW w:type="dxa" w:w="1441"/>
          </w:tcPr>
          <w:p>
            <w:pPr>
              <w:pStyle w:val="Compact"/>
              <w:spacing w:line="240" w:lineRule="auto" w:after="20"/>
              <w:jc w:val="center"/>
            </w:pPr>
            <w:r>
              <w:rPr>
                <w:sz w:val="17"/>
              </w:rPr>
              <w:t xml:space="preserve">1.53 (4.8)</w:t>
            </w:r>
          </w:p>
        </w:tc>
        <w:tc>
          <w:tcPr>
            <w:tcW w:type="dxa" w:w="1356"/>
          </w:tcPr>
          <w:p>
            <w:pPr>
              <w:pStyle w:val="Compact"/>
              <w:spacing w:line="240" w:lineRule="auto" w:after="20"/>
              <w:jc w:val="center"/>
            </w:pPr>
            <w:r>
              <w:rPr>
                <w:sz w:val="17"/>
              </w:rPr>
              <w:t xml:space="preserve">−0.72 (−2.7)</w:t>
            </w:r>
          </w:p>
        </w:tc>
        <w:tc>
          <w:tcPr>
            <w:tcW w:type="dxa" w:w="1356"/>
          </w:tcPr>
          <w:p>
            <w:pPr>
              <w:pStyle w:val="Compact"/>
              <w:spacing w:line="240" w:lineRule="auto" w:after="20"/>
              <w:jc w:val="center"/>
            </w:pPr>
            <w:r>
              <w:rPr>
                <w:sz w:val="17"/>
              </w:rPr>
              <w:t xml:space="preserve">3,390</w:t>
            </w:r>
          </w:p>
        </w:tc>
      </w:tr>
      <w:tr>
        <w:tc>
          <w:tcPr>
            <w:tcW w:type="dxa" w:w="2204"/>
          </w:tcPr>
          <w:p>
            <w:pPr>
              <w:pStyle w:val="Compact"/>
              <w:spacing w:line="240" w:lineRule="auto" w:after="20"/>
              <w:jc w:val="left"/>
            </w:pPr>
            <w:r>
              <w:rPr>
                <w:sz w:val="17"/>
              </w:rPr>
              <w:t xml:space="preserve">Ceiling: return ≥ 6.8%, close = high</w:t>
            </w:r>
          </w:p>
        </w:tc>
        <w:tc>
          <w:tcPr>
            <w:tcW w:type="dxa" w:w="1356"/>
          </w:tcPr>
          <w:p>
            <w:pPr>
              <w:pStyle w:val="Compact"/>
              <w:spacing w:line="240" w:lineRule="auto" w:after="20"/>
              <w:jc w:val="center"/>
            </w:pPr>
            <w:r>
              <w:rPr>
                <w:sz w:val="17"/>
              </w:rPr>
              <w:t xml:space="preserve">2.33 (9.5)</w:t>
            </w:r>
          </w:p>
        </w:tc>
        <w:tc>
          <w:tcPr>
            <w:tcW w:type="dxa" w:w="1356"/>
          </w:tcPr>
          <w:p>
            <w:pPr>
              <w:pStyle w:val="Compact"/>
              <w:spacing w:line="240" w:lineRule="auto" w:after="20"/>
              <w:jc w:val="center"/>
            </w:pPr>
            <w:r>
              <w:rPr>
                <w:sz w:val="17"/>
              </w:rPr>
              <w:t xml:space="preserve">−0.56 (−3.5)</w:t>
            </w:r>
          </w:p>
        </w:tc>
        <w:tc>
          <w:tcPr>
            <w:tcW w:type="dxa" w:w="1441"/>
          </w:tcPr>
          <w:p>
            <w:pPr>
              <w:pStyle w:val="Compact"/>
              <w:spacing w:line="240" w:lineRule="auto" w:after="20"/>
              <w:jc w:val="center"/>
            </w:pPr>
            <w:r>
              <w:rPr>
                <w:sz w:val="17"/>
              </w:rPr>
              <w:t xml:space="preserve">1.73 (4.7)</w:t>
            </w:r>
          </w:p>
        </w:tc>
        <w:tc>
          <w:tcPr>
            <w:tcW w:type="dxa" w:w="1356"/>
          </w:tcPr>
          <w:p>
            <w:pPr>
              <w:pStyle w:val="Compact"/>
              <w:spacing w:line="240" w:lineRule="auto" w:after="20"/>
              <w:jc w:val="center"/>
            </w:pPr>
            <w:r>
              <w:rPr>
                <w:sz w:val="17"/>
              </w:rPr>
              <w:t xml:space="preserve">−0.84 (−2.6)</w:t>
            </w:r>
          </w:p>
        </w:tc>
        <w:tc>
          <w:tcPr>
            <w:tcW w:type="dxa" w:w="1356"/>
          </w:tcPr>
          <w:p>
            <w:pPr>
              <w:pStyle w:val="Compact"/>
              <w:spacing w:line="240" w:lineRule="auto" w:after="20"/>
              <w:jc w:val="center"/>
            </w:pPr>
            <w:r>
              <w:rPr>
                <w:sz w:val="17"/>
              </w:rPr>
              <w:t xml:space="preserve">2,468</w:t>
            </w:r>
          </w:p>
        </w:tc>
      </w:tr>
      <w:tr>
        <w:tc>
          <w:tcPr>
            <w:tcW w:type="dxa" w:w="2204"/>
          </w:tcPr>
          <w:p>
            <w:pPr>
              <w:pStyle w:val="Compact"/>
              <w:spacing w:line="240" w:lineRule="auto" w:after="20"/>
              <w:jc w:val="left"/>
            </w:pPr>
            <w:r>
              <w:rPr>
                <w:sz w:val="17"/>
              </w:rPr>
              <w:t xml:space="preserve">Ceiling: return in [6.7%, 7.3%], close = high</w:t>
            </w:r>
          </w:p>
        </w:tc>
        <w:tc>
          <w:tcPr>
            <w:tcW w:type="dxa" w:w="1356"/>
          </w:tcPr>
          <w:p>
            <w:pPr>
              <w:pStyle w:val="Compact"/>
              <w:spacing w:line="240" w:lineRule="auto" w:after="20"/>
              <w:jc w:val="center"/>
            </w:pPr>
            <w:r>
              <w:rPr>
                <w:sz w:val="17"/>
              </w:rPr>
              <w:t xml:space="preserve">2.35 (9.8)</w:t>
            </w:r>
          </w:p>
        </w:tc>
        <w:tc>
          <w:tcPr>
            <w:tcW w:type="dxa" w:w="1356"/>
          </w:tcPr>
          <w:p>
            <w:pPr>
              <w:pStyle w:val="Compact"/>
              <w:spacing w:line="240" w:lineRule="auto" w:after="20"/>
              <w:jc w:val="center"/>
            </w:pPr>
            <w:r>
              <w:rPr>
                <w:sz w:val="17"/>
              </w:rPr>
              <w:t xml:space="preserve">−0.55 (−3.9)</w:t>
            </w:r>
          </w:p>
        </w:tc>
        <w:tc>
          <w:tcPr>
            <w:tcW w:type="dxa" w:w="1441"/>
          </w:tcPr>
          <w:p>
            <w:pPr>
              <w:pStyle w:val="Compact"/>
              <w:spacing w:line="240" w:lineRule="auto" w:after="20"/>
              <w:jc w:val="center"/>
            </w:pPr>
            <w:r>
              <w:rPr>
                <w:sz w:val="17"/>
              </w:rPr>
              <w:t xml:space="preserve">1.76 (5.2)</w:t>
            </w:r>
          </w:p>
        </w:tc>
        <w:tc>
          <w:tcPr>
            <w:tcW w:type="dxa" w:w="1356"/>
          </w:tcPr>
          <w:p>
            <w:pPr>
              <w:pStyle w:val="Compact"/>
              <w:spacing w:line="240" w:lineRule="auto" w:after="20"/>
              <w:jc w:val="center"/>
            </w:pPr>
            <w:r>
              <w:rPr>
                <w:sz w:val="17"/>
              </w:rPr>
              <w:t xml:space="preserve">−0.78 (−2.6)</w:t>
            </w:r>
          </w:p>
        </w:tc>
        <w:tc>
          <w:tcPr>
            <w:tcW w:type="dxa" w:w="1356"/>
          </w:tcPr>
          <w:p>
            <w:pPr>
              <w:pStyle w:val="Compact"/>
              <w:spacing w:line="240" w:lineRule="auto" w:after="20"/>
              <w:jc w:val="center"/>
            </w:pPr>
            <w:r>
              <w:rPr>
                <w:sz w:val="17"/>
              </w:rPr>
              <w:t xml:space="preserve">2,851</w:t>
            </w:r>
          </w:p>
        </w:tc>
      </w:tr>
      <w:tr>
        <w:tc>
          <w:tcPr>
            <w:tcW w:type="dxa" w:w="2204"/>
          </w:tcPr>
          <w:p>
            <w:pPr>
              <w:pStyle w:val="Compact"/>
              <w:spacing w:line="240" w:lineRule="auto" w:after="20"/>
              <w:jc w:val="left"/>
            </w:pPr>
            <w:r>
              <w:rPr>
                <w:sz w:val="17"/>
              </w:rPr>
              <w:t xml:space="preserve">Ceiling: return ≥ 6.5%, no close condition</w:t>
            </w:r>
          </w:p>
        </w:tc>
        <w:tc>
          <w:tcPr>
            <w:tcW w:type="dxa" w:w="1356"/>
          </w:tcPr>
          <w:p>
            <w:pPr>
              <w:pStyle w:val="Compact"/>
              <w:spacing w:line="240" w:lineRule="auto" w:after="20"/>
              <w:jc w:val="center"/>
            </w:pPr>
            <w:r>
              <w:rPr>
                <w:sz w:val="17"/>
              </w:rPr>
              <w:t xml:space="preserve">2.10 (9.6)</w:t>
            </w:r>
          </w:p>
        </w:tc>
        <w:tc>
          <w:tcPr>
            <w:tcW w:type="dxa" w:w="1356"/>
          </w:tcPr>
          <w:p>
            <w:pPr>
              <w:pStyle w:val="Compact"/>
              <w:spacing w:line="240" w:lineRule="auto" w:after="20"/>
              <w:jc w:val="center"/>
            </w:pPr>
            <w:r>
              <w:rPr>
                <w:sz w:val="17"/>
              </w:rPr>
              <w:t xml:space="preserve">−0.51 (−3.4)</w:t>
            </w:r>
          </w:p>
        </w:tc>
        <w:tc>
          <w:tcPr>
            <w:tcW w:type="dxa" w:w="1441"/>
          </w:tcPr>
          <w:p>
            <w:pPr>
              <w:pStyle w:val="Compact"/>
              <w:spacing w:line="240" w:lineRule="auto" w:after="20"/>
              <w:jc w:val="center"/>
            </w:pPr>
            <w:r>
              <w:rPr>
                <w:sz w:val="17"/>
              </w:rPr>
              <w:t xml:space="preserve">1.55 (4.6)</w:t>
            </w:r>
          </w:p>
        </w:tc>
        <w:tc>
          <w:tcPr>
            <w:tcW w:type="dxa" w:w="1356"/>
          </w:tcPr>
          <w:p>
            <w:pPr>
              <w:pStyle w:val="Compact"/>
              <w:spacing w:line="240" w:lineRule="auto" w:after="20"/>
              <w:jc w:val="center"/>
            </w:pPr>
            <w:r>
              <w:rPr>
                <w:sz w:val="17"/>
              </w:rPr>
              <w:t xml:space="preserve">−0.77 (−2.9)</w:t>
            </w:r>
          </w:p>
        </w:tc>
        <w:tc>
          <w:tcPr>
            <w:tcW w:type="dxa" w:w="1356"/>
          </w:tcPr>
          <w:p>
            <w:pPr>
              <w:pStyle w:val="Compact"/>
              <w:spacing w:line="240" w:lineRule="auto" w:after="20"/>
              <w:jc w:val="center"/>
            </w:pPr>
            <w:r>
              <w:rPr>
                <w:sz w:val="17"/>
              </w:rPr>
              <w:t xml:space="preserve">3,421</w:t>
            </w:r>
          </w:p>
        </w:tc>
      </w:tr>
      <w:tr>
        <w:tc>
          <w:tcPr>
            <w:tcW w:type="dxa" w:w="2204"/>
          </w:tcPr>
          <w:p>
            <w:pPr>
              <w:pStyle w:val="Compact"/>
              <w:spacing w:line="240" w:lineRule="auto" w:after="20"/>
              <w:jc w:val="left"/>
            </w:pPr>
            <w:r>
              <w:rPr>
                <w:sz w:val="17"/>
              </w:rPr>
              <w:t xml:space="preserve">Ceiling: return ≥ 6.5%, locked open = high = low = close</w:t>
            </w:r>
          </w:p>
        </w:tc>
        <w:tc>
          <w:tcPr>
            <w:tcW w:type="dxa" w:w="1356"/>
          </w:tcPr>
          <w:p>
            <w:pPr>
              <w:pStyle w:val="Compact"/>
              <w:spacing w:line="240" w:lineRule="auto" w:after="20"/>
              <w:jc w:val="center"/>
            </w:pPr>
            <w:r>
              <w:rPr>
                <w:sz w:val="17"/>
              </w:rPr>
              <w:t xml:space="preserve">2.91 (3.0)</w:t>
            </w:r>
          </w:p>
        </w:tc>
        <w:tc>
          <w:tcPr>
            <w:tcW w:type="dxa" w:w="1356"/>
          </w:tcPr>
          <w:p>
            <w:pPr>
              <w:pStyle w:val="Compact"/>
              <w:spacing w:line="240" w:lineRule="auto" w:after="20"/>
              <w:jc w:val="center"/>
            </w:pPr>
            <w:r>
              <w:rPr>
                <w:sz w:val="17"/>
              </w:rPr>
              <w:t xml:space="preserve">−1.30 (−5.9)</w:t>
            </w:r>
          </w:p>
        </w:tc>
        <w:tc>
          <w:tcPr>
            <w:tcW w:type="dxa" w:w="1441"/>
          </w:tcPr>
          <w:p>
            <w:pPr>
              <w:pStyle w:val="Compact"/>
              <w:spacing w:line="240" w:lineRule="auto" w:after="20"/>
              <w:jc w:val="center"/>
            </w:pPr>
            <w:r>
              <w:rPr>
                <w:sz w:val="17"/>
              </w:rPr>
              <w:t xml:space="preserve">1.54 (1.4)</w:t>
            </w:r>
          </w:p>
        </w:tc>
        <w:tc>
          <w:tcPr>
            <w:tcW w:type="dxa" w:w="1356"/>
          </w:tcPr>
          <w:p>
            <w:pPr>
              <w:pStyle w:val="Compact"/>
              <w:spacing w:line="240" w:lineRule="auto" w:after="20"/>
              <w:jc w:val="center"/>
            </w:pPr>
            <w:r>
              <w:rPr>
                <w:sz w:val="17"/>
              </w:rPr>
              <w:t xml:space="preserve">−0.76 (−1.5)</w:t>
            </w:r>
          </w:p>
        </w:tc>
        <w:tc>
          <w:tcPr>
            <w:tcW w:type="dxa" w:w="1356"/>
          </w:tcPr>
          <w:p>
            <w:pPr>
              <w:pStyle w:val="Compact"/>
              <w:spacing w:line="240" w:lineRule="auto" w:after="20"/>
              <w:jc w:val="center"/>
            </w:pPr>
            <w:r>
              <w:rPr>
                <w:sz w:val="17"/>
              </w:rPr>
              <w:t xml:space="preserve">522</w:t>
            </w:r>
          </w:p>
        </w:tc>
      </w:tr>
      <w:tr>
        <w:tc>
          <w:tcPr>
            <w:tcW w:type="dxa" w:w="2204"/>
          </w:tcPr>
          <w:p>
            <w:pPr>
              <w:pStyle w:val="Compact"/>
              <w:spacing w:line="240" w:lineRule="auto" w:after="20"/>
              <w:jc w:val="left"/>
            </w:pPr>
            <w:r>
              <w:rPr>
                <w:sz w:val="17"/>
              </w:rPr>
              <w:t xml:space="preserve">Floor: return ≤ −6.5%, close = low (baseline)</w:t>
            </w:r>
          </w:p>
        </w:tc>
        <w:tc>
          <w:tcPr>
            <w:tcW w:type="dxa" w:w="1356"/>
          </w:tcPr>
          <w:p>
            <w:pPr>
              <w:pStyle w:val="Compact"/>
              <w:spacing w:line="240" w:lineRule="auto" w:after="20"/>
              <w:jc w:val="center"/>
            </w:pPr>
            <w:r>
              <w:rPr>
                <w:sz w:val="17"/>
              </w:rPr>
              <w:t xml:space="preserve">−0.97 (−4.6)</w:t>
            </w:r>
          </w:p>
        </w:tc>
        <w:tc>
          <w:tcPr>
            <w:tcW w:type="dxa" w:w="1356"/>
          </w:tcPr>
          <w:p>
            <w:pPr>
              <w:pStyle w:val="Compact"/>
              <w:spacing w:line="240" w:lineRule="auto" w:after="20"/>
              <w:jc w:val="center"/>
            </w:pPr>
            <w:r>
              <w:rPr>
                <w:sz w:val="17"/>
              </w:rPr>
              <w:t xml:space="preserve">0.30 (1.4)</w:t>
            </w:r>
          </w:p>
        </w:tc>
        <w:tc>
          <w:tcPr>
            <w:tcW w:type="dxa" w:w="1441"/>
          </w:tcPr>
          <w:p>
            <w:pPr>
              <w:pStyle w:val="Compact"/>
              <w:spacing w:line="240" w:lineRule="auto" w:after="20"/>
              <w:jc w:val="center"/>
            </w:pPr>
            <w:r>
              <w:rPr>
                <w:sz w:val="17"/>
              </w:rPr>
              <w:t xml:space="preserve">−0.69 (−4.8)</w:t>
            </w:r>
          </w:p>
        </w:tc>
        <w:tc>
          <w:tcPr>
            <w:tcW w:type="dxa" w:w="1356"/>
          </w:tcPr>
          <w:p>
            <w:pPr>
              <w:pStyle w:val="Compact"/>
              <w:spacing w:line="240" w:lineRule="auto" w:after="20"/>
              <w:jc w:val="center"/>
            </w:pPr>
            <w:r>
              <w:rPr>
                <w:sz w:val="17"/>
              </w:rPr>
              <w:t xml:space="preserve">−0.82 (−1.7)</w:t>
            </w:r>
          </w:p>
        </w:tc>
        <w:tc>
          <w:tcPr>
            <w:tcW w:type="dxa" w:w="1356"/>
          </w:tcPr>
          <w:p>
            <w:pPr>
              <w:pStyle w:val="Compact"/>
              <w:spacing w:line="240" w:lineRule="auto" w:after="20"/>
              <w:jc w:val="center"/>
            </w:pPr>
            <w:r>
              <w:rPr>
                <w:sz w:val="17"/>
              </w:rPr>
              <w:t xml:space="preserve">2,111</w:t>
            </w:r>
          </w:p>
        </w:tc>
      </w:tr>
      <w:tr>
        <w:tc>
          <w:tcPr>
            <w:tcW w:type="dxa" w:w="2204"/>
          </w:tcPr>
          <w:p>
            <w:pPr>
              <w:pStyle w:val="Compact"/>
              <w:spacing w:line="240" w:lineRule="auto" w:after="20"/>
              <w:jc w:val="left"/>
            </w:pPr>
            <w:r>
              <w:rPr>
                <w:sz w:val="17"/>
              </w:rPr>
              <w:t xml:space="preserve">Floor: return ≤ −6.0%, close = low</w:t>
            </w:r>
          </w:p>
        </w:tc>
        <w:tc>
          <w:tcPr>
            <w:tcW w:type="dxa" w:w="1356"/>
          </w:tcPr>
          <w:p>
            <w:pPr>
              <w:pStyle w:val="Compact"/>
              <w:spacing w:line="240" w:lineRule="auto" w:after="20"/>
              <w:jc w:val="center"/>
            </w:pPr>
            <w:r>
              <w:rPr>
                <w:sz w:val="17"/>
              </w:rPr>
              <w:t xml:space="preserve">−0.79 (−4.6)</w:t>
            </w:r>
          </w:p>
        </w:tc>
        <w:tc>
          <w:tcPr>
            <w:tcW w:type="dxa" w:w="1356"/>
          </w:tcPr>
          <w:p>
            <w:pPr>
              <w:pStyle w:val="Compact"/>
              <w:spacing w:line="240" w:lineRule="auto" w:after="20"/>
              <w:jc w:val="center"/>
            </w:pPr>
            <w:r>
              <w:rPr>
                <w:sz w:val="17"/>
              </w:rPr>
              <w:t xml:space="preserve">0.34 (1.6)</w:t>
            </w:r>
          </w:p>
        </w:tc>
        <w:tc>
          <w:tcPr>
            <w:tcW w:type="dxa" w:w="1441"/>
          </w:tcPr>
          <w:p>
            <w:pPr>
              <w:pStyle w:val="Compact"/>
              <w:spacing w:line="240" w:lineRule="auto" w:after="20"/>
              <w:jc w:val="center"/>
            </w:pPr>
            <w:r>
              <w:rPr>
                <w:sz w:val="17"/>
              </w:rPr>
              <w:t xml:space="preserve">−0.48 (−3.4)</w:t>
            </w:r>
          </w:p>
        </w:tc>
        <w:tc>
          <w:tcPr>
            <w:tcW w:type="dxa" w:w="1356"/>
          </w:tcPr>
          <w:p>
            <w:pPr>
              <w:pStyle w:val="Compact"/>
              <w:spacing w:line="240" w:lineRule="auto" w:after="20"/>
              <w:jc w:val="center"/>
            </w:pPr>
            <w:r>
              <w:rPr>
                <w:sz w:val="17"/>
              </w:rPr>
              <w:t xml:space="preserve">−0.65 (−1.5)</w:t>
            </w:r>
          </w:p>
        </w:tc>
        <w:tc>
          <w:tcPr>
            <w:tcW w:type="dxa" w:w="1356"/>
          </w:tcPr>
          <w:p>
            <w:pPr>
              <w:pStyle w:val="Compact"/>
              <w:spacing w:line="240" w:lineRule="auto" w:after="20"/>
              <w:jc w:val="center"/>
            </w:pPr>
            <w:r>
              <w:rPr>
                <w:sz w:val="17"/>
              </w:rPr>
              <w:t xml:space="preserve">2,346</w:t>
            </w:r>
          </w:p>
        </w:tc>
      </w:tr>
      <w:tr>
        <w:tc>
          <w:tcPr>
            <w:tcW w:type="dxa" w:w="2204"/>
          </w:tcPr>
          <w:p>
            <w:pPr>
              <w:pStyle w:val="Compact"/>
              <w:spacing w:line="240" w:lineRule="auto" w:after="20"/>
              <w:jc w:val="left"/>
            </w:pPr>
            <w:r>
              <w:rPr>
                <w:sz w:val="17"/>
              </w:rPr>
              <w:t xml:space="preserve">Floor: return ≤ −6.8%, close = low</w:t>
            </w:r>
          </w:p>
        </w:tc>
        <w:tc>
          <w:tcPr>
            <w:tcW w:type="dxa" w:w="1356"/>
          </w:tcPr>
          <w:p>
            <w:pPr>
              <w:pStyle w:val="Compact"/>
              <w:spacing w:line="240" w:lineRule="auto" w:after="20"/>
              <w:jc w:val="center"/>
            </w:pPr>
            <w:r>
              <w:rPr>
                <w:sz w:val="17"/>
              </w:rPr>
              <w:t xml:space="preserve">−1.09 (−4.7)</w:t>
            </w:r>
          </w:p>
        </w:tc>
        <w:tc>
          <w:tcPr>
            <w:tcW w:type="dxa" w:w="1356"/>
          </w:tcPr>
          <w:p>
            <w:pPr>
              <w:pStyle w:val="Compact"/>
              <w:spacing w:line="240" w:lineRule="auto" w:after="20"/>
              <w:jc w:val="center"/>
            </w:pPr>
            <w:r>
              <w:rPr>
                <w:sz w:val="17"/>
              </w:rPr>
              <w:t xml:space="preserve">0.33 (1.4)</w:t>
            </w:r>
          </w:p>
        </w:tc>
        <w:tc>
          <w:tcPr>
            <w:tcW w:type="dxa" w:w="1441"/>
          </w:tcPr>
          <w:p>
            <w:pPr>
              <w:pStyle w:val="Compact"/>
              <w:spacing w:line="240" w:lineRule="auto" w:after="20"/>
              <w:jc w:val="center"/>
            </w:pPr>
            <w:r>
              <w:rPr>
                <w:sz w:val="17"/>
              </w:rPr>
              <w:t xml:space="preserve">−0.78 (−4.9)</w:t>
            </w:r>
          </w:p>
        </w:tc>
        <w:tc>
          <w:tcPr>
            <w:tcW w:type="dxa" w:w="1356"/>
          </w:tcPr>
          <w:p>
            <w:pPr>
              <w:pStyle w:val="Compact"/>
              <w:spacing w:line="240" w:lineRule="auto" w:after="20"/>
              <w:jc w:val="center"/>
            </w:pPr>
            <w:r>
              <w:rPr>
                <w:sz w:val="17"/>
              </w:rPr>
              <w:t xml:space="preserve">−0.90 (−1.9)</w:t>
            </w:r>
          </w:p>
        </w:tc>
        <w:tc>
          <w:tcPr>
            <w:tcW w:type="dxa" w:w="1356"/>
          </w:tcPr>
          <w:p>
            <w:pPr>
              <w:pStyle w:val="Compact"/>
              <w:spacing w:line="240" w:lineRule="auto" w:after="20"/>
              <w:jc w:val="center"/>
            </w:pPr>
            <w:r>
              <w:rPr>
                <w:sz w:val="17"/>
              </w:rPr>
              <w:t xml:space="preserve">1,715</w:t>
            </w:r>
          </w:p>
        </w:tc>
      </w:tr>
      <w:tr>
        <w:tc>
          <w:tcPr>
            <w:tcW w:type="dxa" w:w="2204"/>
          </w:tcPr>
          <w:p>
            <w:pPr>
              <w:pStyle w:val="Compact"/>
              <w:spacing w:line="240" w:lineRule="auto" w:after="20"/>
              <w:jc w:val="left"/>
            </w:pPr>
            <w:r>
              <w:rPr>
                <w:sz w:val="17"/>
              </w:rPr>
              <w:t xml:space="preserve">Floor: return in [−7.3%, −6.7%], close = low</w:t>
            </w:r>
          </w:p>
        </w:tc>
        <w:tc>
          <w:tcPr>
            <w:tcW w:type="dxa" w:w="1356"/>
          </w:tcPr>
          <w:p>
            <w:pPr>
              <w:pStyle w:val="Compact"/>
              <w:spacing w:line="240" w:lineRule="auto" w:after="20"/>
              <w:jc w:val="center"/>
            </w:pPr>
            <w:r>
              <w:rPr>
                <w:sz w:val="17"/>
              </w:rPr>
              <w:t xml:space="preserve">−1.07 (−4.7)</w:t>
            </w:r>
          </w:p>
        </w:tc>
        <w:tc>
          <w:tcPr>
            <w:tcW w:type="dxa" w:w="1356"/>
          </w:tcPr>
          <w:p>
            <w:pPr>
              <w:pStyle w:val="Compact"/>
              <w:spacing w:line="240" w:lineRule="auto" w:after="20"/>
              <w:jc w:val="center"/>
            </w:pPr>
            <w:r>
              <w:rPr>
                <w:sz w:val="17"/>
              </w:rPr>
              <w:t xml:space="preserve">0.33 (1.5)</w:t>
            </w:r>
          </w:p>
        </w:tc>
        <w:tc>
          <w:tcPr>
            <w:tcW w:type="dxa" w:w="1441"/>
          </w:tcPr>
          <w:p>
            <w:pPr>
              <w:pStyle w:val="Compact"/>
              <w:spacing w:line="240" w:lineRule="auto" w:after="20"/>
              <w:jc w:val="center"/>
            </w:pPr>
            <w:r>
              <w:rPr>
                <w:sz w:val="17"/>
              </w:rPr>
              <w:t xml:space="preserve">−0.76 (−5.2)</w:t>
            </w:r>
          </w:p>
        </w:tc>
        <w:tc>
          <w:tcPr>
            <w:tcW w:type="dxa" w:w="1356"/>
          </w:tcPr>
          <w:p>
            <w:pPr>
              <w:pStyle w:val="Compact"/>
              <w:spacing w:line="240" w:lineRule="auto" w:after="20"/>
              <w:jc w:val="center"/>
            </w:pPr>
            <w:r>
              <w:rPr>
                <w:sz w:val="17"/>
              </w:rPr>
              <w:t xml:space="preserve">−0.87 (−1.8)</w:t>
            </w:r>
          </w:p>
        </w:tc>
        <w:tc>
          <w:tcPr>
            <w:tcW w:type="dxa" w:w="1356"/>
          </w:tcPr>
          <w:p>
            <w:pPr>
              <w:pStyle w:val="Compact"/>
              <w:spacing w:line="240" w:lineRule="auto" w:after="20"/>
              <w:jc w:val="center"/>
            </w:pPr>
            <w:r>
              <w:rPr>
                <w:sz w:val="17"/>
              </w:rPr>
              <w:t xml:space="preserve">1,928</w:t>
            </w:r>
          </w:p>
        </w:tc>
      </w:tr>
      <w:tr>
        <w:tc>
          <w:tcPr>
            <w:tcW w:type="dxa" w:w="2204"/>
          </w:tcPr>
          <w:p>
            <w:pPr>
              <w:pStyle w:val="Compact"/>
              <w:spacing w:line="240" w:lineRule="auto" w:after="20"/>
              <w:jc w:val="left"/>
            </w:pPr>
            <w:r>
              <w:rPr>
                <w:sz w:val="17"/>
              </w:rPr>
              <w:t xml:space="preserve">Floor: return ≤ −6.5%, no close condition</w:t>
            </w:r>
          </w:p>
        </w:tc>
        <w:tc>
          <w:tcPr>
            <w:tcW w:type="dxa" w:w="1356"/>
          </w:tcPr>
          <w:p>
            <w:pPr>
              <w:pStyle w:val="Compact"/>
              <w:spacing w:line="240" w:lineRule="auto" w:after="20"/>
              <w:jc w:val="center"/>
            </w:pPr>
            <w:r>
              <w:rPr>
                <w:sz w:val="17"/>
              </w:rPr>
              <w:t xml:space="preserve">−0.82 (−3.9)</w:t>
            </w:r>
          </w:p>
        </w:tc>
        <w:tc>
          <w:tcPr>
            <w:tcW w:type="dxa" w:w="1356"/>
          </w:tcPr>
          <w:p>
            <w:pPr>
              <w:pStyle w:val="Compact"/>
              <w:spacing w:line="240" w:lineRule="auto" w:after="20"/>
              <w:jc w:val="center"/>
            </w:pPr>
            <w:r>
              <w:rPr>
                <w:sz w:val="17"/>
              </w:rPr>
              <w:t xml:space="preserve">0.31 (1.5)</w:t>
            </w:r>
          </w:p>
        </w:tc>
        <w:tc>
          <w:tcPr>
            <w:tcW w:type="dxa" w:w="1441"/>
          </w:tcPr>
          <w:p>
            <w:pPr>
              <w:pStyle w:val="Compact"/>
              <w:spacing w:line="240" w:lineRule="auto" w:after="20"/>
              <w:jc w:val="center"/>
            </w:pPr>
            <w:r>
              <w:rPr>
                <w:sz w:val="17"/>
              </w:rPr>
              <w:t xml:space="preserve">−0.53 (−4.0)</w:t>
            </w:r>
          </w:p>
        </w:tc>
        <w:tc>
          <w:tcPr>
            <w:tcW w:type="dxa" w:w="1356"/>
          </w:tcPr>
          <w:p>
            <w:pPr>
              <w:pStyle w:val="Compact"/>
              <w:spacing w:line="240" w:lineRule="auto" w:after="20"/>
              <w:jc w:val="center"/>
            </w:pPr>
            <w:r>
              <w:rPr>
                <w:sz w:val="17"/>
              </w:rPr>
              <w:t xml:space="preserve">−0.69 (−1.6)</w:t>
            </w:r>
          </w:p>
        </w:tc>
        <w:tc>
          <w:tcPr>
            <w:tcW w:type="dxa" w:w="1356"/>
          </w:tcPr>
          <w:p>
            <w:pPr>
              <w:pStyle w:val="Compact"/>
              <w:spacing w:line="240" w:lineRule="auto" w:after="20"/>
              <w:jc w:val="center"/>
            </w:pPr>
            <w:r>
              <w:rPr>
                <w:sz w:val="17"/>
              </w:rPr>
              <w:t xml:space="preserve">2,288</w:t>
            </w:r>
          </w:p>
        </w:tc>
      </w:tr>
      <w:tr>
        <w:tc>
          <w:tcPr>
            <w:tcW w:type="dxa" w:w="2204"/>
            <w:tcBorders>
              <w:bottom w:val="single" w:sz="6" w:space="0" w:color="000000"/>
            </w:tcBorders>
          </w:tcPr>
          <w:p>
            <w:pPr>
              <w:pStyle w:val="Compact"/>
              <w:spacing w:line="240" w:lineRule="auto" w:after="20"/>
              <w:jc w:val="left"/>
            </w:pPr>
            <w:r>
              <w:rPr>
                <w:sz w:val="17"/>
              </w:rPr>
              <w:t xml:space="preserve">Floor: return ≤ −6.5%, locked open = high = low = close</w:t>
            </w:r>
          </w:p>
        </w:tc>
        <w:tc>
          <w:tcPr>
            <w:tcW w:type="dxa" w:w="1356"/>
            <w:tcBorders>
              <w:bottom w:val="single" w:sz="6" w:space="0" w:color="000000"/>
            </w:tcBorders>
          </w:tcPr>
          <w:p>
            <w:pPr>
              <w:pStyle w:val="Compact"/>
              <w:spacing w:line="240" w:lineRule="auto" w:after="20"/>
              <w:jc w:val="center"/>
            </w:pPr>
            <w:r>
              <w:rPr>
                <w:sz w:val="17"/>
              </w:rPr>
              <w:t xml:space="preserve">−2.50 (−4.8)</w:t>
            </w:r>
          </w:p>
        </w:tc>
        <w:tc>
          <w:tcPr>
            <w:tcW w:type="dxa" w:w="1356"/>
            <w:tcBorders>
              <w:bottom w:val="single" w:sz="6" w:space="0" w:color="000000"/>
            </w:tcBorders>
          </w:tcPr>
          <w:p>
            <w:pPr>
              <w:pStyle w:val="Compact"/>
              <w:spacing w:line="240" w:lineRule="auto" w:after="20"/>
              <w:jc w:val="center"/>
            </w:pPr>
            <w:r>
              <w:rPr>
                <w:sz w:val="17"/>
              </w:rPr>
              <w:t xml:space="preserve">1.11 (2.4)</w:t>
            </w:r>
          </w:p>
        </w:tc>
        <w:tc>
          <w:tcPr>
            <w:tcW w:type="dxa" w:w="1441"/>
            <w:tcBorders>
              <w:bottom w:val="single" w:sz="6" w:space="0" w:color="000000"/>
            </w:tcBorders>
          </w:tcPr>
          <w:p>
            <w:pPr>
              <w:pStyle w:val="Compact"/>
              <w:spacing w:line="240" w:lineRule="auto" w:after="20"/>
              <w:jc w:val="center"/>
            </w:pPr>
            <w:r>
              <w:rPr>
                <w:sz w:val="17"/>
              </w:rPr>
              <w:t xml:space="preserve">−1.44 (−3.4)</w:t>
            </w:r>
          </w:p>
        </w:tc>
        <w:tc>
          <w:tcPr>
            <w:tcW w:type="dxa" w:w="1356"/>
            <w:tcBorders>
              <w:bottom w:val="single" w:sz="6" w:space="0" w:color="000000"/>
            </w:tcBorders>
          </w:tcPr>
          <w:p>
            <w:pPr>
              <w:pStyle w:val="Compact"/>
              <w:spacing w:line="240" w:lineRule="auto" w:after="20"/>
              <w:jc w:val="center"/>
            </w:pPr>
            <w:r>
              <w:rPr>
                <w:sz w:val="17"/>
              </w:rPr>
              <w:t xml:space="preserve">−3.91 (−3.0)</w:t>
            </w:r>
          </w:p>
        </w:tc>
        <w:tc>
          <w:tcPr>
            <w:tcW w:type="dxa" w:w="1356"/>
            <w:tcBorders>
              <w:bottom w:val="single" w:sz="6" w:space="0" w:color="000000"/>
            </w:tcBorders>
          </w:tcPr>
          <w:p>
            <w:pPr>
              <w:pStyle w:val="Compact"/>
              <w:spacing w:line="240" w:lineRule="auto" w:after="20"/>
              <w:jc w:val="center"/>
            </w:pPr>
            <w:r>
              <w:rPr>
                <w:sz w:val="17"/>
              </w:rPr>
              <w:t xml:space="preserve">260</w:t>
            </w:r>
          </w:p>
        </w:tc>
      </w:tr>
    </w:tbl>
    <w:p>
      <w:pPr>
        <w:pStyle w:val="BodyText"/>
        <w:spacing w:line="276" w:lineRule="auto" w:after="120"/>
        <w:jc w:val="left"/>
      </w:pPr>
      <w:r>
        <w:rPr>
          <w:iCs/>
          <w:i/>
        </w:rPr>
        <w:t xml:space="preserve">Note.</w:t>
      </w:r>
      <w:r>
        <w:t xml:space="preserve"> </w:t>
      </w:r>
      <w:r>
        <w:t xml:space="preserve">Market-adjusted returns in percent; two-way-clustered</w:t>
      </w:r>
      <w:r>
        <w:t xml:space="preserve"> </w:t>
      </w:r>
      <w:r>
        <w:rPr>
          <w:iCs/>
          <w:i/>
        </w:rPr>
        <w:t xml:space="preserve">t</w:t>
      </w:r>
      <w:r>
        <w:t xml:space="preserve">-statistics in parentheses (two-sided</w:t>
      </w:r>
      <w:r>
        <w:t xml:space="preserve"> </w:t>
      </w:r>
      <w:r>
        <w:rPr>
          <w:iCs/>
          <w:i/>
        </w:rPr>
        <w:t xml:space="preserve">P</w:t>
      </w:r>
      <w:r>
        <w:t xml:space="preserve"> </w:t>
      </w:r>
      <w:r>
        <w:t xml:space="preserve">&lt; 0.001 for |</w:t>
      </w:r>
      <w:r>
        <w:rPr>
          <w:iCs/>
          <w:i/>
        </w:rPr>
        <w:t xml:space="preserve">t</w:t>
      </w:r>
      <w:r>
        <w:t xml:space="preserve">| ≥ 3.29). Source: authors’ calculations.</w:t>
      </w:r>
    </w:p>
    <w:p>
      <w:pPr>
        <w:pStyle w:val="BodyText"/>
        <w:spacing w:line="276" w:lineRule="auto" w:after="120"/>
        <w:jc w:val="left"/>
      </w:pPr>
      <w:r>
        <w:rPr>
          <w:bCs/>
          <w:b/>
        </w:rPr>
        <w:t xml:space="preserve">Supplementary Table S3.</w:t>
      </w:r>
      <w:r>
        <w:t xml:space="preserve"> </w:t>
      </w:r>
      <w:r>
        <w:t xml:space="preserve">Adjusted</w:t>
      </w:r>
      <w:r>
        <w:t xml:space="preserve"> </w:t>
      </w:r>
      <w:r>
        <w:rPr>
          <w:iCs/>
          <w:i/>
        </w:rPr>
        <w:t xml:space="preserve">P</w:t>
      </w:r>
      <w:r>
        <w:t xml:space="preserve"> </w:t>
      </w:r>
      <w:r>
        <w:t xml:space="preserve">values of the four event tests under alternative family definitions</w:t>
      </w:r>
    </w:p>
    <w:tbl>
      <w:tblPr>
        <w:tblStyle w:val="Table"/>
        <w:tblW w:type="pct" w:w="5000"/>
        <w:tblLayout w:type="fixed"/>
        <w:tblLook w:firstRow="1" w:lastRow="0" w:firstColumn="0" w:lastColumn="0" w:noHBand="0" w:noVBand="0" w:val="0020"/>
        <w:jc w:val="start"/>
      </w:tblPr>
      <w:tblGrid>
        <w:gridCol w:w="2508"/>
        <w:gridCol w:w="1543"/>
        <w:gridCol w:w="1833"/>
        <w:gridCol w:w="1543"/>
        <w:gridCol w:w="1640"/>
      </w:tblGrid>
      <w:tr>
        <w:trPr>
          <w:tblHeader w:val="true"/>
        </w:trPr>
        <w:tc>
          <w:tcPr>
            <w:tcW w:type="dxa" w:w="2509"/>
            <w:tcBorders>
              <w:top w:val="single" w:sz="6" w:space="0" w:color="000000"/>
              <w:bottom w:val="single" w:sz="6" w:space="0" w:color="000000"/>
            </w:tcBorders>
          </w:tcPr>
          <w:p>
            <w:pPr>
              <w:pStyle w:val="Compact"/>
              <w:spacing w:line="240" w:lineRule="auto" w:after="20"/>
              <w:jc w:val="left"/>
            </w:pPr>
            <w:r>
              <w:rPr>
                <w:b/>
                <w:sz w:val="17"/>
              </w:rPr>
              <w:t xml:space="preserve">Family definition</w:t>
            </w:r>
          </w:p>
        </w:tc>
        <w:tc>
          <w:tcPr>
            <w:tcW w:type="dxa" w:w="1544"/>
            <w:tcBorders>
              <w:top w:val="single" w:sz="6" w:space="0" w:color="000000"/>
              <w:bottom w:val="single" w:sz="6" w:space="0" w:color="000000"/>
            </w:tcBorders>
          </w:tcPr>
          <w:p>
            <w:pPr>
              <w:pStyle w:val="Compact"/>
              <w:spacing w:line="240" w:lineRule="auto" w:after="20"/>
              <w:jc w:val="center"/>
            </w:pPr>
            <w:r>
              <w:rPr>
                <w:b/>
                <w:sz w:val="17"/>
              </w:rPr>
              <w:t xml:space="preserve">Ceiling,</w:t>
            </w:r>
            <w:r>
              <w:rPr>
                <w:b/>
                <w:sz w:val="17"/>
              </w:rPr>
              <w:t xml:space="preserve"> </w:t>
            </w:r>
            <w:r>
              <w:rPr>
                <w:iCs/>
                <w:b/>
                <w:i/>
                <w:sz w:val="17"/>
              </w:rPr>
              <w:t xml:space="preserve">d</w:t>
            </w:r>
            <w:r>
              <w:rPr>
                <w:b/>
                <w:sz w:val="17"/>
              </w:rPr>
              <w:t xml:space="preserve">+1</w:t>
            </w:r>
          </w:p>
        </w:tc>
        <w:tc>
          <w:tcPr>
            <w:tcW w:type="dxa" w:w="1833"/>
            <w:tcBorders>
              <w:top w:val="single" w:sz="6" w:space="0" w:color="000000"/>
              <w:bottom w:val="single" w:sz="6" w:space="0" w:color="000000"/>
            </w:tcBorders>
          </w:tcPr>
          <w:p>
            <w:pPr>
              <w:pStyle w:val="Compact"/>
              <w:spacing w:line="240" w:lineRule="auto" w:after="20"/>
              <w:jc w:val="center"/>
            </w:pPr>
            <w:r>
              <w:rPr>
                <w:b/>
                <w:sz w:val="17"/>
              </w:rPr>
              <w:t xml:space="preserve">Ceiling,</w:t>
            </w:r>
            <w:r>
              <w:rPr>
                <w:b/>
                <w:sz w:val="17"/>
              </w:rPr>
              <w:t xml:space="preserve"> </w:t>
            </w:r>
            <w:r>
              <w:rPr>
                <w:iCs/>
                <w:b/>
                <w:i/>
                <w:sz w:val="17"/>
              </w:rPr>
              <w:t xml:space="preserve">d</w:t>
            </w:r>
            <w:r>
              <w:rPr>
                <w:b/>
                <w:sz w:val="17"/>
              </w:rPr>
              <w:t xml:space="preserve">+1 to</w:t>
            </w:r>
            <w:r>
              <w:rPr>
                <w:b/>
                <w:sz w:val="17"/>
              </w:rPr>
              <w:t xml:space="preserve"> </w:t>
            </w:r>
            <w:r>
              <w:rPr>
                <w:iCs/>
                <w:b/>
                <w:i/>
                <w:sz w:val="17"/>
              </w:rPr>
              <w:t xml:space="preserve">d</w:t>
            </w:r>
            <w:r>
              <w:rPr>
                <w:b/>
                <w:sz w:val="17"/>
              </w:rPr>
              <w:t xml:space="preserve">+5</w:t>
            </w:r>
          </w:p>
        </w:tc>
        <w:tc>
          <w:tcPr>
            <w:tcW w:type="dxa" w:w="1544"/>
            <w:tcBorders>
              <w:top w:val="single" w:sz="6" w:space="0" w:color="000000"/>
              <w:bottom w:val="single" w:sz="6" w:space="0" w:color="000000"/>
            </w:tcBorders>
          </w:tcPr>
          <w:p>
            <w:pPr>
              <w:pStyle w:val="Compact"/>
              <w:spacing w:line="240" w:lineRule="auto" w:after="20"/>
              <w:jc w:val="center"/>
            </w:pPr>
            <w:r>
              <w:rPr>
                <w:b/>
                <w:sz w:val="17"/>
              </w:rPr>
              <w:t xml:space="preserve">Floor,</w:t>
            </w:r>
            <w:r>
              <w:rPr>
                <w:b/>
                <w:sz w:val="17"/>
              </w:rPr>
              <w:t xml:space="preserve"> </w:t>
            </w:r>
            <w:r>
              <w:rPr>
                <w:iCs/>
                <w:b/>
                <w:i/>
                <w:sz w:val="17"/>
              </w:rPr>
              <w:t xml:space="preserve">d</w:t>
            </w:r>
            <w:r>
              <w:rPr>
                <w:b/>
                <w:sz w:val="17"/>
              </w:rPr>
              <w:t xml:space="preserve">+1</w:t>
            </w:r>
          </w:p>
        </w:tc>
        <w:tc>
          <w:tcPr>
            <w:tcW w:type="dxa" w:w="1640"/>
            <w:tcBorders>
              <w:top w:val="single" w:sz="6" w:space="0" w:color="000000"/>
              <w:bottom w:val="single" w:sz="6" w:space="0" w:color="000000"/>
            </w:tcBorders>
          </w:tcPr>
          <w:p>
            <w:pPr>
              <w:pStyle w:val="Compact"/>
              <w:spacing w:line="240" w:lineRule="auto" w:after="20"/>
              <w:jc w:val="center"/>
            </w:pPr>
            <w:r>
              <w:rPr>
                <w:b/>
                <w:sz w:val="17"/>
              </w:rPr>
              <w:t xml:space="preserve">Floor,</w:t>
            </w:r>
            <w:r>
              <w:rPr>
                <w:b/>
                <w:sz w:val="17"/>
              </w:rPr>
              <w:t xml:space="preserve"> </w:t>
            </w:r>
            <w:r>
              <w:rPr>
                <w:iCs/>
                <w:b/>
                <w:i/>
                <w:sz w:val="17"/>
              </w:rPr>
              <w:t xml:space="preserve">d</w:t>
            </w:r>
            <w:r>
              <w:rPr>
                <w:b/>
                <w:sz w:val="17"/>
              </w:rPr>
              <w:t xml:space="preserve">+1 to</w:t>
            </w:r>
            <w:r>
              <w:rPr>
                <w:b/>
                <w:sz w:val="17"/>
              </w:rPr>
              <w:t xml:space="preserve"> </w:t>
            </w:r>
            <w:r>
              <w:rPr>
                <w:iCs/>
                <w:b/>
                <w:i/>
                <w:sz w:val="17"/>
              </w:rPr>
              <w:t xml:space="preserve">d</w:t>
            </w:r>
            <w:r>
              <w:rPr>
                <w:b/>
                <w:sz w:val="17"/>
              </w:rPr>
              <w:t xml:space="preserve">+5</w:t>
            </w:r>
          </w:p>
        </w:tc>
      </w:tr>
      <w:tr>
        <w:tc>
          <w:tcPr>
            <w:tcW w:type="dxa" w:w="2509"/>
          </w:tcPr>
          <w:p>
            <w:pPr>
              <w:pStyle w:val="Compact"/>
              <w:spacing w:line="240" w:lineRule="auto" w:after="20"/>
              <w:jc w:val="left"/>
            </w:pPr>
            <w:r>
              <w:rPr>
                <w:sz w:val="17"/>
              </w:rPr>
              <w:t xml:space="preserve">Baseline: 22 characteristics + 4 event tests (26), BH</w:t>
            </w:r>
          </w:p>
        </w:tc>
        <w:tc>
          <w:tcPr>
            <w:tcW w:type="dxa" w:w="1544"/>
          </w:tcPr>
          <w:p>
            <w:pPr>
              <w:pStyle w:val="Compact"/>
              <w:spacing w:line="240" w:lineRule="auto" w:after="20"/>
              <w:jc w:val="center"/>
            </w:pPr>
            <w:r>
              <w:rPr>
                <w:sz w:val="17"/>
              </w:rPr>
              <w:t xml:space="preserve">1.2e-05</w:t>
            </w:r>
          </w:p>
        </w:tc>
        <w:tc>
          <w:tcPr>
            <w:tcW w:type="dxa" w:w="1833"/>
          </w:tcPr>
          <w:p>
            <w:pPr>
              <w:pStyle w:val="Compact"/>
              <w:spacing w:line="240" w:lineRule="auto" w:after="20"/>
              <w:jc w:val="center"/>
            </w:pPr>
            <w:r>
              <w:rPr>
                <w:sz w:val="17"/>
              </w:rPr>
              <w:t xml:space="preserve">4.0e-04</w:t>
            </w:r>
          </w:p>
        </w:tc>
        <w:tc>
          <w:tcPr>
            <w:tcW w:type="dxa" w:w="1544"/>
          </w:tcPr>
          <w:p>
            <w:pPr>
              <w:pStyle w:val="Compact"/>
              <w:spacing w:line="240" w:lineRule="auto" w:after="20"/>
              <w:jc w:val="center"/>
            </w:pPr>
            <w:r>
              <w:rPr>
                <w:sz w:val="17"/>
              </w:rPr>
              <w:t xml:space="preserve">2.6e-06</w:t>
            </w:r>
          </w:p>
        </w:tc>
        <w:tc>
          <w:tcPr>
            <w:tcW w:type="dxa" w:w="1640"/>
          </w:tcPr>
          <w:p>
            <w:pPr>
              <w:pStyle w:val="Compact"/>
              <w:spacing w:line="240" w:lineRule="auto" w:after="20"/>
              <w:jc w:val="center"/>
            </w:pPr>
            <w:r>
              <w:rPr>
                <w:sz w:val="17"/>
              </w:rPr>
              <w:t xml:space="preserve">1.8e-05</w:t>
            </w:r>
          </w:p>
        </w:tc>
      </w:tr>
      <w:tr>
        <w:tc>
          <w:tcPr>
            <w:tcW w:type="dxa" w:w="2509"/>
          </w:tcPr>
          <w:p>
            <w:pPr>
              <w:pStyle w:val="Compact"/>
              <w:spacing w:line="240" w:lineRule="auto" w:after="20"/>
              <w:jc w:val="left"/>
            </w:pPr>
            <w:r>
              <w:rPr>
                <w:sz w:val="17"/>
              </w:rPr>
              <w:t xml:space="preserve">Event tests only (4), BH</w:t>
            </w:r>
          </w:p>
        </w:tc>
        <w:tc>
          <w:tcPr>
            <w:tcW w:type="dxa" w:w="1544"/>
          </w:tcPr>
          <w:p>
            <w:pPr>
              <w:pStyle w:val="Compact"/>
              <w:spacing w:line="240" w:lineRule="auto" w:after="20"/>
              <w:jc w:val="center"/>
            </w:pPr>
            <w:r>
              <w:rPr>
                <w:sz w:val="17"/>
              </w:rPr>
              <w:t xml:space="preserve">1.8e-06</w:t>
            </w:r>
          </w:p>
        </w:tc>
        <w:tc>
          <w:tcPr>
            <w:tcW w:type="dxa" w:w="1833"/>
          </w:tcPr>
          <w:p>
            <w:pPr>
              <w:pStyle w:val="Compact"/>
              <w:spacing w:line="240" w:lineRule="auto" w:after="20"/>
              <w:jc w:val="center"/>
            </w:pPr>
            <w:r>
              <w:rPr>
                <w:sz w:val="17"/>
              </w:rPr>
              <w:t xml:space="preserve">6.1e-05</w:t>
            </w:r>
          </w:p>
        </w:tc>
        <w:tc>
          <w:tcPr>
            <w:tcW w:type="dxa" w:w="1544"/>
          </w:tcPr>
          <w:p>
            <w:pPr>
              <w:pStyle w:val="Compact"/>
              <w:spacing w:line="240" w:lineRule="auto" w:after="20"/>
              <w:jc w:val="center"/>
            </w:pPr>
            <w:r>
              <w:rPr>
                <w:sz w:val="17"/>
              </w:rPr>
              <w:t xml:space="preserve">4.0e-07</w:t>
            </w:r>
          </w:p>
        </w:tc>
        <w:tc>
          <w:tcPr>
            <w:tcW w:type="dxa" w:w="1640"/>
          </w:tcPr>
          <w:p>
            <w:pPr>
              <w:pStyle w:val="Compact"/>
              <w:spacing w:line="240" w:lineRule="auto" w:after="20"/>
              <w:jc w:val="center"/>
            </w:pPr>
            <w:r>
              <w:rPr>
                <w:sz w:val="17"/>
              </w:rPr>
              <w:t xml:space="preserve">2.7e-06</w:t>
            </w:r>
          </w:p>
        </w:tc>
      </w:tr>
      <w:tr>
        <w:tc>
          <w:tcPr>
            <w:tcW w:type="dxa" w:w="2509"/>
          </w:tcPr>
          <w:p>
            <w:pPr>
              <w:pStyle w:val="Compact"/>
              <w:spacing w:line="240" w:lineRule="auto" w:after="20"/>
              <w:jc w:val="left"/>
            </w:pPr>
            <w:r>
              <w:rPr>
                <w:sz w:val="17"/>
              </w:rPr>
              <w:t xml:space="preserve">26 tests, Holm</w:t>
            </w:r>
          </w:p>
        </w:tc>
        <w:tc>
          <w:tcPr>
            <w:tcW w:type="dxa" w:w="1544"/>
          </w:tcPr>
          <w:p>
            <w:pPr>
              <w:pStyle w:val="Compact"/>
              <w:spacing w:line="240" w:lineRule="auto" w:after="20"/>
              <w:jc w:val="center"/>
            </w:pPr>
            <w:r>
              <w:rPr>
                <w:sz w:val="17"/>
              </w:rPr>
              <w:t xml:space="preserve">2.3e-05</w:t>
            </w:r>
          </w:p>
        </w:tc>
        <w:tc>
          <w:tcPr>
            <w:tcW w:type="dxa" w:w="1833"/>
          </w:tcPr>
          <w:p>
            <w:pPr>
              <w:pStyle w:val="Compact"/>
              <w:spacing w:line="240" w:lineRule="auto" w:after="20"/>
              <w:jc w:val="center"/>
            </w:pPr>
            <w:r>
              <w:rPr>
                <w:sz w:val="17"/>
              </w:rPr>
              <w:t xml:space="preserve">1.4e-03</w:t>
            </w:r>
          </w:p>
        </w:tc>
        <w:tc>
          <w:tcPr>
            <w:tcW w:type="dxa" w:w="1544"/>
          </w:tcPr>
          <w:p>
            <w:pPr>
              <w:pStyle w:val="Compact"/>
              <w:spacing w:line="240" w:lineRule="auto" w:after="20"/>
              <w:jc w:val="center"/>
            </w:pPr>
            <w:r>
              <w:rPr>
                <w:sz w:val="17"/>
              </w:rPr>
              <w:t xml:space="preserve">2.6e-06</w:t>
            </w:r>
          </w:p>
        </w:tc>
        <w:tc>
          <w:tcPr>
            <w:tcW w:type="dxa" w:w="1640"/>
          </w:tcPr>
          <w:p>
            <w:pPr>
              <w:pStyle w:val="Compact"/>
              <w:spacing w:line="240" w:lineRule="auto" w:after="20"/>
              <w:jc w:val="center"/>
            </w:pPr>
            <w:r>
              <w:rPr>
                <w:sz w:val="17"/>
              </w:rPr>
              <w:t xml:space="preserve">4.9e-05</w:t>
            </w:r>
          </w:p>
        </w:tc>
      </w:tr>
      <w:tr>
        <w:tc>
          <w:tcPr>
            <w:tcW w:type="dxa" w:w="2509"/>
          </w:tcPr>
          <w:p>
            <w:pPr>
              <w:pStyle w:val="Compact"/>
              <w:spacing w:line="240" w:lineRule="auto" w:after="20"/>
              <w:jc w:val="left"/>
            </w:pPr>
            <w:r>
              <w:rPr>
                <w:sz w:val="17"/>
              </w:rPr>
              <w:t xml:space="preserve">26 tests, Bonferroni</w:t>
            </w:r>
          </w:p>
        </w:tc>
        <w:tc>
          <w:tcPr>
            <w:tcW w:type="dxa" w:w="1544"/>
          </w:tcPr>
          <w:p>
            <w:pPr>
              <w:pStyle w:val="Compact"/>
              <w:spacing w:line="240" w:lineRule="auto" w:after="20"/>
              <w:jc w:val="center"/>
            </w:pPr>
            <w:r>
              <w:rPr>
                <w:sz w:val="17"/>
              </w:rPr>
              <w:t xml:space="preserve">2.4e-05</w:t>
            </w:r>
          </w:p>
        </w:tc>
        <w:tc>
          <w:tcPr>
            <w:tcW w:type="dxa" w:w="1833"/>
          </w:tcPr>
          <w:p>
            <w:pPr>
              <w:pStyle w:val="Compact"/>
              <w:spacing w:line="240" w:lineRule="auto" w:after="20"/>
              <w:jc w:val="center"/>
            </w:pPr>
            <w:r>
              <w:rPr>
                <w:sz w:val="17"/>
              </w:rPr>
              <w:t xml:space="preserve">1.6e-03</w:t>
            </w:r>
          </w:p>
        </w:tc>
        <w:tc>
          <w:tcPr>
            <w:tcW w:type="dxa" w:w="1544"/>
          </w:tcPr>
          <w:p>
            <w:pPr>
              <w:pStyle w:val="Compact"/>
              <w:spacing w:line="240" w:lineRule="auto" w:after="20"/>
              <w:jc w:val="center"/>
            </w:pPr>
            <w:r>
              <w:rPr>
                <w:sz w:val="17"/>
              </w:rPr>
              <w:t xml:space="preserve">2.6e-06</w:t>
            </w:r>
          </w:p>
        </w:tc>
        <w:tc>
          <w:tcPr>
            <w:tcW w:type="dxa" w:w="1640"/>
          </w:tcPr>
          <w:p>
            <w:pPr>
              <w:pStyle w:val="Compact"/>
              <w:spacing w:line="240" w:lineRule="auto" w:after="20"/>
              <w:jc w:val="center"/>
            </w:pPr>
            <w:r>
              <w:rPr>
                <w:sz w:val="17"/>
              </w:rPr>
              <w:t xml:space="preserve">5.3e-05</w:t>
            </w:r>
          </w:p>
        </w:tc>
      </w:tr>
      <w:tr>
        <w:tc>
          <w:tcPr>
            <w:tcW w:type="dxa" w:w="2509"/>
          </w:tcPr>
          <w:p>
            <w:pPr>
              <w:pStyle w:val="Compact"/>
              <w:spacing w:line="240" w:lineRule="auto" w:after="20"/>
              <w:jc w:val="left"/>
            </w:pPr>
            <w:r>
              <w:rPr>
                <w:sz w:val="17"/>
              </w:rPr>
              <w:t xml:space="preserve">28 tests: adds days d+2 to d+5 for ceiling and floor, BH</w:t>
            </w:r>
          </w:p>
        </w:tc>
        <w:tc>
          <w:tcPr>
            <w:tcW w:type="dxa" w:w="1544"/>
          </w:tcPr>
          <w:p>
            <w:pPr>
              <w:pStyle w:val="Compact"/>
              <w:spacing w:line="240" w:lineRule="auto" w:after="20"/>
              <w:jc w:val="center"/>
            </w:pPr>
            <w:r>
              <w:rPr>
                <w:sz w:val="17"/>
              </w:rPr>
              <w:t xml:space="preserve">1.3e-05</w:t>
            </w:r>
          </w:p>
        </w:tc>
        <w:tc>
          <w:tcPr>
            <w:tcW w:type="dxa" w:w="1833"/>
          </w:tcPr>
          <w:p>
            <w:pPr>
              <w:pStyle w:val="Compact"/>
              <w:spacing w:line="240" w:lineRule="auto" w:after="20"/>
              <w:jc w:val="center"/>
            </w:pPr>
            <w:r>
              <w:rPr>
                <w:sz w:val="17"/>
              </w:rPr>
              <w:t xml:space="preserve">4.3e-04</w:t>
            </w:r>
          </w:p>
        </w:tc>
        <w:tc>
          <w:tcPr>
            <w:tcW w:type="dxa" w:w="1544"/>
          </w:tcPr>
          <w:p>
            <w:pPr>
              <w:pStyle w:val="Compact"/>
              <w:spacing w:line="240" w:lineRule="auto" w:after="20"/>
              <w:jc w:val="center"/>
            </w:pPr>
            <w:r>
              <w:rPr>
                <w:sz w:val="17"/>
              </w:rPr>
              <w:t xml:space="preserve">2.8e-06</w:t>
            </w:r>
          </w:p>
        </w:tc>
        <w:tc>
          <w:tcPr>
            <w:tcW w:type="dxa" w:w="1640"/>
          </w:tcPr>
          <w:p>
            <w:pPr>
              <w:pStyle w:val="Compact"/>
              <w:spacing w:line="240" w:lineRule="auto" w:after="20"/>
              <w:jc w:val="center"/>
            </w:pPr>
            <w:r>
              <w:rPr>
                <w:sz w:val="17"/>
              </w:rPr>
              <w:t xml:space="preserve">1.9e-05</w:t>
            </w:r>
          </w:p>
        </w:tc>
      </w:tr>
      <w:tr>
        <w:tc>
          <w:tcPr>
            <w:tcW w:type="dxa" w:w="2509"/>
          </w:tcPr>
          <w:p>
            <w:pPr>
              <w:pStyle w:val="Compact"/>
              <w:spacing w:line="240" w:lineRule="auto" w:after="20"/>
              <w:jc w:val="left"/>
            </w:pPr>
            <w:r>
              <w:rPr>
                <w:sz w:val="17"/>
              </w:rPr>
              <w:t xml:space="preserve">26 tests, week-clustered event p-values, BH</w:t>
            </w:r>
          </w:p>
        </w:tc>
        <w:tc>
          <w:tcPr>
            <w:tcW w:type="dxa" w:w="1544"/>
          </w:tcPr>
          <w:p>
            <w:pPr>
              <w:pStyle w:val="Compact"/>
              <w:spacing w:line="240" w:lineRule="auto" w:after="20"/>
              <w:jc w:val="center"/>
            </w:pPr>
            <w:r>
              <w:rPr>
                <w:sz w:val="17"/>
              </w:rPr>
              <w:t xml:space="preserve">9.2e-05</w:t>
            </w:r>
          </w:p>
        </w:tc>
        <w:tc>
          <w:tcPr>
            <w:tcW w:type="dxa" w:w="1833"/>
          </w:tcPr>
          <w:p>
            <w:pPr>
              <w:pStyle w:val="Compact"/>
              <w:spacing w:line="240" w:lineRule="auto" w:after="20"/>
              <w:jc w:val="center"/>
            </w:pPr>
            <w:r>
              <w:rPr>
                <w:sz w:val="17"/>
              </w:rPr>
              <w:t xml:space="preserve">2.6e-03</w:t>
            </w:r>
          </w:p>
        </w:tc>
        <w:tc>
          <w:tcPr>
            <w:tcW w:type="dxa" w:w="1544"/>
          </w:tcPr>
          <w:p>
            <w:pPr>
              <w:pStyle w:val="Compact"/>
              <w:spacing w:line="240" w:lineRule="auto" w:after="20"/>
              <w:jc w:val="center"/>
            </w:pPr>
            <w:r>
              <w:rPr>
                <w:sz w:val="17"/>
              </w:rPr>
              <w:t xml:space="preserve">9.2e-05</w:t>
            </w:r>
          </w:p>
        </w:tc>
        <w:tc>
          <w:tcPr>
            <w:tcW w:type="dxa" w:w="1640"/>
          </w:tcPr>
          <w:p>
            <w:pPr>
              <w:pStyle w:val="Compact"/>
              <w:spacing w:line="240" w:lineRule="auto" w:after="20"/>
              <w:jc w:val="center"/>
            </w:pPr>
            <w:r>
              <w:rPr>
                <w:sz w:val="17"/>
              </w:rPr>
              <w:t xml:space="preserve">9.2e-05</w:t>
            </w:r>
          </w:p>
        </w:tc>
      </w:tr>
      <w:tr>
        <w:tc>
          <w:tcPr>
            <w:tcW w:type="dxa" w:w="2509"/>
            <w:tcBorders>
              <w:bottom w:val="single" w:sz="6" w:space="0" w:color="000000"/>
            </w:tcBorders>
          </w:tcPr>
          <w:p>
            <w:pPr>
              <w:pStyle w:val="Compact"/>
              <w:spacing w:line="240" w:lineRule="auto" w:after="20"/>
              <w:jc w:val="left"/>
            </w:pPr>
            <w:r>
              <w:rPr>
                <w:sz w:val="17"/>
              </w:rPr>
              <w:t xml:space="preserve">Two families: ceiling (2) and floor (2), BH within each</w:t>
            </w:r>
          </w:p>
        </w:tc>
        <w:tc>
          <w:tcPr>
            <w:tcW w:type="dxa" w:w="1544"/>
            <w:tcBorders>
              <w:bottom w:val="single" w:sz="6" w:space="0" w:color="000000"/>
            </w:tcBorders>
          </w:tcPr>
          <w:p>
            <w:pPr>
              <w:pStyle w:val="Compact"/>
              <w:spacing w:line="240" w:lineRule="auto" w:after="20"/>
              <w:jc w:val="center"/>
            </w:pPr>
            <w:r>
              <w:rPr>
                <w:sz w:val="17"/>
              </w:rPr>
              <w:t xml:space="preserve">1.8e-06</w:t>
            </w:r>
          </w:p>
        </w:tc>
        <w:tc>
          <w:tcPr>
            <w:tcW w:type="dxa" w:w="1833"/>
            <w:tcBorders>
              <w:bottom w:val="single" w:sz="6" w:space="0" w:color="000000"/>
            </w:tcBorders>
          </w:tcPr>
          <w:p>
            <w:pPr>
              <w:pStyle w:val="Compact"/>
              <w:spacing w:line="240" w:lineRule="auto" w:after="20"/>
              <w:jc w:val="center"/>
            </w:pPr>
            <w:r>
              <w:rPr>
                <w:sz w:val="17"/>
              </w:rPr>
              <w:t xml:space="preserve">6.1e-05</w:t>
            </w:r>
          </w:p>
        </w:tc>
        <w:tc>
          <w:tcPr>
            <w:tcW w:type="dxa" w:w="1544"/>
            <w:tcBorders>
              <w:bottom w:val="single" w:sz="6" w:space="0" w:color="000000"/>
            </w:tcBorders>
          </w:tcPr>
          <w:p>
            <w:pPr>
              <w:pStyle w:val="Compact"/>
              <w:spacing w:line="240" w:lineRule="auto" w:after="20"/>
              <w:jc w:val="center"/>
            </w:pPr>
            <w:r>
              <w:rPr>
                <w:sz w:val="17"/>
              </w:rPr>
              <w:t xml:space="preserve">2.0e-07</w:t>
            </w:r>
          </w:p>
        </w:tc>
        <w:tc>
          <w:tcPr>
            <w:tcW w:type="dxa" w:w="1640"/>
            <w:tcBorders>
              <w:bottom w:val="single" w:sz="6" w:space="0" w:color="000000"/>
            </w:tcBorders>
          </w:tcPr>
          <w:p>
            <w:pPr>
              <w:pStyle w:val="Compact"/>
              <w:spacing w:line="240" w:lineRule="auto" w:after="20"/>
              <w:jc w:val="center"/>
            </w:pPr>
            <w:r>
              <w:rPr>
                <w:sz w:val="17"/>
              </w:rPr>
              <w:t xml:space="preserve">2.0e-06</w:t>
            </w:r>
          </w:p>
        </w:tc>
      </w:tr>
    </w:tbl>
    <w:p>
      <w:pPr>
        <w:pStyle w:val="BodyText"/>
        <w:spacing w:line="276" w:lineRule="auto" w:after="120"/>
        <w:jc w:val="left"/>
      </w:pPr>
      <w:r>
        <w:rPr>
          <w:iCs/>
          <w:i/>
        </w:rPr>
        <w:t xml:space="preserve">Note.</w:t>
      </w:r>
      <w:r>
        <w:t xml:space="preserve"> </w:t>
      </w:r>
      <w:r>
        <w:t xml:space="preserve">BH, Benjamini–Hochberg; Holm and Bonferroni as named. All adjusted</w:t>
      </w:r>
      <w:r>
        <w:t xml:space="preserve"> </w:t>
      </w:r>
      <w:r>
        <w:rPr>
          <w:iCs/>
          <w:i/>
        </w:rPr>
        <w:t xml:space="preserve">P</w:t>
      </w:r>
      <w:r>
        <w:t xml:space="preserve"> </w:t>
      </w:r>
      <w:r>
        <w:t xml:space="preserve">values are below 0.05. Source: authors’ calculations.</w:t>
      </w:r>
    </w:p>
    <w:p>
      <w:pPr>
        <w:pStyle w:val="BodyText"/>
        <w:spacing w:line="276" w:lineRule="auto" w:after="120"/>
        <w:jc w:val="left"/>
      </w:pPr>
      <w:r>
        <w:rPr>
          <w:bCs/>
          <w:b/>
        </w:rPr>
        <w:t xml:space="preserve">Supplementary Table S4.</w:t>
      </w:r>
      <w:r>
        <w:t xml:space="preserve"> </w:t>
      </w:r>
      <w:r>
        <w:t xml:space="preserve">Difference-in-differences around the KRX platform change of 5 May 2025</w:t>
      </w:r>
    </w:p>
    <w:tbl>
      <w:tblPr>
        <w:tblStyle w:val="Table"/>
        <w:tblW w:type="pct" w:w="5000"/>
        <w:tblLayout w:type="fixed"/>
        <w:tblLook w:firstRow="1" w:lastRow="0" w:firstColumn="0" w:lastColumn="0" w:noHBand="0" w:noVBand="0" w:val="0020"/>
        <w:jc w:val="start"/>
      </w:tblPr>
      <w:tblGrid>
        <w:gridCol w:w="1561"/>
        <w:gridCol w:w="961"/>
        <w:gridCol w:w="1441"/>
        <w:gridCol w:w="961"/>
        <w:gridCol w:w="961"/>
        <w:gridCol w:w="961"/>
        <w:gridCol w:w="961"/>
        <w:gridCol w:w="1261"/>
      </w:tblGrid>
      <w:tr>
        <w:trPr>
          <w:tblHeader w:val="true"/>
        </w:trPr>
        <w:tc>
          <w:tcPr>
            <w:tcW w:type="dxa" w:w="1562"/>
            <w:tcBorders>
              <w:top w:val="single" w:sz="6" w:space="0" w:color="000000"/>
              <w:bottom w:val="single" w:sz="6" w:space="0" w:color="000000"/>
            </w:tcBorders>
          </w:tcPr>
          <w:p>
            <w:pPr>
              <w:pStyle w:val="Compact"/>
              <w:spacing w:line="240" w:lineRule="auto" w:after="20"/>
              <w:jc w:val="left"/>
            </w:pPr>
            <w:r>
              <w:rPr>
                <w:b/>
                <w:sz w:val="17"/>
              </w:rPr>
              <w:t xml:space="preserve">Contrast</w:t>
            </w:r>
          </w:p>
        </w:tc>
        <w:tc>
          <w:tcPr>
            <w:tcW w:type="dxa" w:w="961"/>
            <w:tcBorders>
              <w:top w:val="single" w:sz="6" w:space="0" w:color="000000"/>
              <w:bottom w:val="single" w:sz="6" w:space="0" w:color="000000"/>
            </w:tcBorders>
          </w:tcPr>
          <w:p>
            <w:pPr>
              <w:pStyle w:val="Compact"/>
              <w:spacing w:line="240" w:lineRule="auto" w:after="20"/>
              <w:jc w:val="center"/>
            </w:pPr>
            <w:r>
              <w:rPr>
                <w:b/>
                <w:sz w:val="17"/>
              </w:rPr>
              <w:t xml:space="preserve">Outcome</w:t>
            </w:r>
          </w:p>
        </w:tc>
        <w:tc>
          <w:tcPr>
            <w:tcW w:type="dxa" w:w="1442"/>
            <w:tcBorders>
              <w:top w:val="single" w:sz="6" w:space="0" w:color="000000"/>
              <w:bottom w:val="single" w:sz="6" w:space="0" w:color="000000"/>
            </w:tcBorders>
          </w:tcPr>
          <w:p>
            <w:pPr>
              <w:pStyle w:val="Compact"/>
              <w:spacing w:line="240" w:lineRule="auto" w:after="20"/>
              <w:jc w:val="center"/>
            </w:pPr>
            <w:r>
              <w:rPr>
                <w:b/>
                <w:sz w:val="17"/>
              </w:rPr>
              <w:t xml:space="preserve">Excess before the change</w:t>
            </w:r>
          </w:p>
        </w:tc>
        <w:tc>
          <w:tcPr>
            <w:tcW w:type="dxa" w:w="961"/>
            <w:tcBorders>
              <w:top w:val="single" w:sz="6" w:space="0" w:color="000000"/>
              <w:bottom w:val="single" w:sz="6" w:space="0" w:color="000000"/>
            </w:tcBorders>
          </w:tcPr>
          <w:p>
            <w:pPr>
              <w:pStyle w:val="Compact"/>
              <w:spacing w:line="240" w:lineRule="auto" w:after="20"/>
              <w:jc w:val="center"/>
            </w:pPr>
            <w:r>
              <w:rPr>
                <w:iCs/>
                <w:b/>
                <w:i/>
                <w:sz w:val="17"/>
              </w:rPr>
              <w:t xml:space="preserve">t</w:t>
            </w:r>
          </w:p>
        </w:tc>
        <w:tc>
          <w:tcPr>
            <w:tcW w:type="dxa" w:w="961"/>
            <w:tcBorders>
              <w:top w:val="single" w:sz="6" w:space="0" w:color="000000"/>
              <w:bottom w:val="single" w:sz="6" w:space="0" w:color="000000"/>
            </w:tcBorders>
          </w:tcPr>
          <w:p>
            <w:pPr>
              <w:pStyle w:val="Compact"/>
              <w:spacing w:line="240" w:lineRule="auto" w:after="20"/>
              <w:jc w:val="center"/>
            </w:pPr>
            <w:r>
              <w:rPr>
                <w:b/>
                <w:sz w:val="17"/>
              </w:rPr>
              <w:t xml:space="preserve">Change after</w:t>
            </w:r>
          </w:p>
        </w:tc>
        <w:tc>
          <w:tcPr>
            <w:tcW w:type="dxa" w:w="961"/>
            <w:tcBorders>
              <w:top w:val="single" w:sz="6" w:space="0" w:color="000000"/>
              <w:bottom w:val="single" w:sz="6" w:space="0" w:color="000000"/>
            </w:tcBorders>
          </w:tcPr>
          <w:p>
            <w:pPr>
              <w:pStyle w:val="Compact"/>
              <w:spacing w:line="240" w:lineRule="auto" w:after="20"/>
              <w:jc w:val="center"/>
            </w:pPr>
            <w:r>
              <w:rPr>
                <w:iCs/>
                <w:b/>
                <w:i/>
                <w:sz w:val="17"/>
              </w:rPr>
              <w:t xml:space="preserve">t</w:t>
            </w:r>
          </w:p>
        </w:tc>
        <w:tc>
          <w:tcPr>
            <w:tcW w:type="dxa" w:w="961"/>
            <w:tcBorders>
              <w:top w:val="single" w:sz="6" w:space="0" w:color="000000"/>
              <w:bottom w:val="single" w:sz="6" w:space="0" w:color="000000"/>
            </w:tcBorders>
          </w:tcPr>
          <w:p>
            <w:pPr>
              <w:pStyle w:val="Compact"/>
              <w:spacing w:line="240" w:lineRule="auto" w:after="20"/>
              <w:jc w:val="center"/>
            </w:pPr>
            <w:r>
              <w:rPr>
                <w:b/>
                <w:sz w:val="17"/>
              </w:rPr>
              <w:t xml:space="preserve">Events</w:t>
            </w:r>
          </w:p>
        </w:tc>
        <w:tc>
          <w:tcPr>
            <w:tcW w:type="dxa" w:w="1262"/>
            <w:tcBorders>
              <w:top w:val="single" w:sz="6" w:space="0" w:color="000000"/>
              <w:bottom w:val="single" w:sz="6" w:space="0" w:color="000000"/>
            </w:tcBorders>
          </w:tcPr>
          <w:p>
            <w:pPr>
              <w:pStyle w:val="Compact"/>
              <w:spacing w:line="240" w:lineRule="auto" w:after="20"/>
              <w:jc w:val="center"/>
            </w:pPr>
            <w:r>
              <w:rPr>
                <w:b/>
                <w:sz w:val="17"/>
              </w:rPr>
              <w:t xml:space="preserve">Comparison stock-days</w:t>
            </w:r>
          </w:p>
        </w:tc>
      </w:tr>
      <w:tr>
        <w:tc>
          <w:tcPr>
            <w:tcW w:type="dxa" w:w="1562"/>
          </w:tcPr>
          <w:p>
            <w:pPr>
              <w:pStyle w:val="Compact"/>
              <w:spacing w:line="240" w:lineRule="auto" w:after="20"/>
              <w:jc w:val="left"/>
            </w:pPr>
            <w:r>
              <w:rPr>
                <w:sz w:val="17"/>
              </w:rPr>
              <w:t xml:space="preserve">ceiling vs 5–6.5% up at high</w:t>
            </w:r>
          </w:p>
        </w:tc>
        <w:tc>
          <w:tcPr>
            <w:tcW w:type="dxa" w:w="961"/>
          </w:tcPr>
          <w:p>
            <w:pPr>
              <w:pStyle w:val="Compact"/>
              <w:spacing w:line="240" w:lineRule="auto" w:after="20"/>
              <w:jc w:val="center"/>
            </w:pPr>
            <w:r>
              <w:rPr>
                <w:sz w:val="17"/>
              </w:rPr>
              <w:t xml:space="preserve">Overnight gap</w:t>
            </w:r>
          </w:p>
        </w:tc>
        <w:tc>
          <w:tcPr>
            <w:tcW w:type="dxa" w:w="1442"/>
          </w:tcPr>
          <w:p>
            <w:pPr>
              <w:pStyle w:val="Compact"/>
              <w:spacing w:line="240" w:lineRule="auto" w:after="20"/>
              <w:jc w:val="center"/>
            </w:pPr>
            <w:r>
              <w:rPr>
                <w:sz w:val="17"/>
              </w:rPr>
              <w:t xml:space="preserve">2.91</w:t>
            </w:r>
          </w:p>
        </w:tc>
        <w:tc>
          <w:tcPr>
            <w:tcW w:type="dxa" w:w="961"/>
          </w:tcPr>
          <w:p>
            <w:pPr>
              <w:pStyle w:val="Compact"/>
              <w:spacing w:line="240" w:lineRule="auto" w:after="20"/>
              <w:jc w:val="center"/>
            </w:pPr>
            <w:r>
              <w:rPr>
                <w:sz w:val="17"/>
              </w:rPr>
              <w:t xml:space="preserve">6.2</w:t>
            </w:r>
          </w:p>
        </w:tc>
        <w:tc>
          <w:tcPr>
            <w:tcW w:type="dxa" w:w="961"/>
          </w:tcPr>
          <w:p>
            <w:pPr>
              <w:pStyle w:val="Compact"/>
              <w:spacing w:line="240" w:lineRule="auto" w:after="20"/>
              <w:jc w:val="center"/>
            </w:pPr>
            <w:r>
              <w:rPr>
                <w:sz w:val="17"/>
              </w:rPr>
              <w:t xml:space="preserve">0.38</w:t>
            </w:r>
          </w:p>
        </w:tc>
        <w:tc>
          <w:tcPr>
            <w:tcW w:type="dxa" w:w="961"/>
          </w:tcPr>
          <w:p>
            <w:pPr>
              <w:pStyle w:val="Compact"/>
              <w:spacing w:line="240" w:lineRule="auto" w:after="20"/>
              <w:jc w:val="center"/>
            </w:pPr>
            <w:r>
              <w:rPr>
                <w:sz w:val="17"/>
              </w:rPr>
              <w:t xml:space="preserve">0.8</w:t>
            </w:r>
          </w:p>
        </w:tc>
        <w:tc>
          <w:tcPr>
            <w:tcW w:type="dxa" w:w="961"/>
          </w:tcPr>
          <w:p>
            <w:pPr>
              <w:pStyle w:val="Compact"/>
              <w:spacing w:line="240" w:lineRule="auto" w:after="20"/>
              <w:jc w:val="center"/>
            </w:pPr>
            <w:r>
              <w:rPr>
                <w:sz w:val="17"/>
              </w:rPr>
              <w:t xml:space="preserve">3,199</w:t>
            </w:r>
          </w:p>
        </w:tc>
        <w:tc>
          <w:tcPr>
            <w:tcW w:type="dxa" w:w="1262"/>
          </w:tcPr>
          <w:p>
            <w:pPr>
              <w:pStyle w:val="Compact"/>
              <w:spacing w:line="240" w:lineRule="auto" w:after="20"/>
              <w:jc w:val="center"/>
            </w:pPr>
            <w:r>
              <w:rPr>
                <w:sz w:val="17"/>
              </w:rPr>
              <w:t xml:space="preserve">679</w:t>
            </w:r>
          </w:p>
        </w:tc>
      </w:tr>
      <w:tr>
        <w:tc>
          <w:tcPr>
            <w:tcW w:type="dxa" w:w="1562"/>
          </w:tcPr>
          <w:p>
            <w:pPr>
              <w:pStyle w:val="Compact"/>
              <w:spacing w:line="240" w:lineRule="auto" w:after="20"/>
              <w:jc w:val="left"/>
            </w:pPr>
            <w:r>
              <w:rPr>
                <w:sz w:val="17"/>
              </w:rPr>
              <w:t xml:space="preserve">ceiling vs 5–6.5% up at high</w:t>
            </w:r>
          </w:p>
        </w:tc>
        <w:tc>
          <w:tcPr>
            <w:tcW w:type="dxa" w:w="961"/>
          </w:tcPr>
          <w:p>
            <w:pPr>
              <w:pStyle w:val="Compact"/>
              <w:spacing w:line="240" w:lineRule="auto" w:after="20"/>
              <w:jc w:val="center"/>
            </w:pPr>
            <w:r>
              <w:rPr>
                <w:sz w:val="17"/>
              </w:rPr>
              <w:t xml:space="preserve">Close-to-close</w:t>
            </w:r>
          </w:p>
        </w:tc>
        <w:tc>
          <w:tcPr>
            <w:tcW w:type="dxa" w:w="1442"/>
          </w:tcPr>
          <w:p>
            <w:pPr>
              <w:pStyle w:val="Compact"/>
              <w:spacing w:line="240" w:lineRule="auto" w:after="20"/>
              <w:jc w:val="center"/>
            </w:pPr>
            <w:r>
              <w:rPr>
                <w:sz w:val="17"/>
              </w:rPr>
              <w:t xml:space="preserve">1.81</w:t>
            </w:r>
          </w:p>
        </w:tc>
        <w:tc>
          <w:tcPr>
            <w:tcW w:type="dxa" w:w="961"/>
          </w:tcPr>
          <w:p>
            <w:pPr>
              <w:pStyle w:val="Compact"/>
              <w:spacing w:line="240" w:lineRule="auto" w:after="20"/>
              <w:jc w:val="center"/>
            </w:pPr>
            <w:r>
              <w:rPr>
                <w:sz w:val="17"/>
              </w:rPr>
              <w:t xml:space="preserve">2.2</w:t>
            </w:r>
          </w:p>
        </w:tc>
        <w:tc>
          <w:tcPr>
            <w:tcW w:type="dxa" w:w="961"/>
          </w:tcPr>
          <w:p>
            <w:pPr>
              <w:pStyle w:val="Compact"/>
              <w:spacing w:line="240" w:lineRule="auto" w:after="20"/>
              <w:jc w:val="center"/>
            </w:pPr>
            <w:r>
              <w:rPr>
                <w:sz w:val="17"/>
              </w:rPr>
              <w:t xml:space="preserve">0.95</w:t>
            </w:r>
          </w:p>
        </w:tc>
        <w:tc>
          <w:tcPr>
            <w:tcW w:type="dxa" w:w="961"/>
          </w:tcPr>
          <w:p>
            <w:pPr>
              <w:pStyle w:val="Compact"/>
              <w:spacing w:line="240" w:lineRule="auto" w:after="20"/>
              <w:jc w:val="center"/>
            </w:pPr>
            <w:r>
              <w:rPr>
                <w:sz w:val="17"/>
              </w:rPr>
              <w:t xml:space="preserve">1.1</w:t>
            </w:r>
          </w:p>
        </w:tc>
        <w:tc>
          <w:tcPr>
            <w:tcW w:type="dxa" w:w="961"/>
          </w:tcPr>
          <w:p>
            <w:pPr>
              <w:pStyle w:val="Compact"/>
              <w:spacing w:line="240" w:lineRule="auto" w:after="20"/>
              <w:jc w:val="center"/>
            </w:pPr>
            <w:r>
              <w:rPr>
                <w:sz w:val="17"/>
              </w:rPr>
              <w:t xml:space="preserve">3,199</w:t>
            </w:r>
          </w:p>
        </w:tc>
        <w:tc>
          <w:tcPr>
            <w:tcW w:type="dxa" w:w="1262"/>
          </w:tcPr>
          <w:p>
            <w:pPr>
              <w:pStyle w:val="Compact"/>
              <w:spacing w:line="240" w:lineRule="auto" w:after="20"/>
              <w:jc w:val="center"/>
            </w:pPr>
            <w:r>
              <w:rPr>
                <w:sz w:val="17"/>
              </w:rPr>
              <w:t xml:space="preserve">679</w:t>
            </w:r>
          </w:p>
        </w:tc>
      </w:tr>
      <w:tr>
        <w:tc>
          <w:tcPr>
            <w:tcW w:type="dxa" w:w="1562"/>
          </w:tcPr>
          <w:p>
            <w:pPr>
              <w:pStyle w:val="Compact"/>
              <w:spacing w:line="240" w:lineRule="auto" w:after="20"/>
              <w:jc w:val="left"/>
            </w:pPr>
            <w:r>
              <w:rPr>
                <w:sz w:val="17"/>
              </w:rPr>
              <w:t xml:space="preserve">floor vs 5–6.5% down at low</w:t>
            </w:r>
          </w:p>
        </w:tc>
        <w:tc>
          <w:tcPr>
            <w:tcW w:type="dxa" w:w="961"/>
          </w:tcPr>
          <w:p>
            <w:pPr>
              <w:pStyle w:val="Compact"/>
              <w:spacing w:line="240" w:lineRule="auto" w:after="20"/>
              <w:jc w:val="center"/>
            </w:pPr>
            <w:r>
              <w:rPr>
                <w:sz w:val="17"/>
              </w:rPr>
              <w:t xml:space="preserve">Overnight gap</w:t>
            </w:r>
          </w:p>
        </w:tc>
        <w:tc>
          <w:tcPr>
            <w:tcW w:type="dxa" w:w="1442"/>
          </w:tcPr>
          <w:p>
            <w:pPr>
              <w:pStyle w:val="Compact"/>
              <w:spacing w:line="240" w:lineRule="auto" w:after="20"/>
              <w:jc w:val="center"/>
            </w:pPr>
            <w:r>
              <w:rPr>
                <w:sz w:val="17"/>
              </w:rPr>
              <w:t xml:space="preserve">−1.62</w:t>
            </w:r>
          </w:p>
        </w:tc>
        <w:tc>
          <w:tcPr>
            <w:tcW w:type="dxa" w:w="961"/>
          </w:tcPr>
          <w:p>
            <w:pPr>
              <w:pStyle w:val="Compact"/>
              <w:spacing w:line="240" w:lineRule="auto" w:after="20"/>
              <w:jc w:val="center"/>
            </w:pPr>
            <w:r>
              <w:rPr>
                <w:sz w:val="17"/>
              </w:rPr>
              <w:t xml:space="preserve">−6.6</w:t>
            </w:r>
          </w:p>
        </w:tc>
        <w:tc>
          <w:tcPr>
            <w:tcW w:type="dxa" w:w="961"/>
          </w:tcPr>
          <w:p>
            <w:pPr>
              <w:pStyle w:val="Compact"/>
              <w:spacing w:line="240" w:lineRule="auto" w:after="20"/>
              <w:jc w:val="center"/>
            </w:pPr>
            <w:r>
              <w:rPr>
                <w:sz w:val="17"/>
              </w:rPr>
              <w:t xml:space="preserve">−0.49</w:t>
            </w:r>
          </w:p>
        </w:tc>
        <w:tc>
          <w:tcPr>
            <w:tcW w:type="dxa" w:w="961"/>
          </w:tcPr>
          <w:p>
            <w:pPr>
              <w:pStyle w:val="Compact"/>
              <w:spacing w:line="240" w:lineRule="auto" w:after="20"/>
              <w:jc w:val="center"/>
            </w:pPr>
            <w:r>
              <w:rPr>
                <w:sz w:val="17"/>
              </w:rPr>
              <w:t xml:space="preserve">−1.5</w:t>
            </w:r>
          </w:p>
        </w:tc>
        <w:tc>
          <w:tcPr>
            <w:tcW w:type="dxa" w:w="961"/>
          </w:tcPr>
          <w:p>
            <w:pPr>
              <w:pStyle w:val="Compact"/>
              <w:spacing w:line="240" w:lineRule="auto" w:after="20"/>
              <w:jc w:val="center"/>
            </w:pPr>
            <w:r>
              <w:rPr>
                <w:sz w:val="17"/>
              </w:rPr>
              <w:t xml:space="preserve">2,111</w:t>
            </w:r>
          </w:p>
        </w:tc>
        <w:tc>
          <w:tcPr>
            <w:tcW w:type="dxa" w:w="1262"/>
          </w:tcPr>
          <w:p>
            <w:pPr>
              <w:pStyle w:val="Compact"/>
              <w:spacing w:line="240" w:lineRule="auto" w:after="20"/>
              <w:jc w:val="center"/>
            </w:pPr>
            <w:r>
              <w:rPr>
                <w:sz w:val="17"/>
              </w:rPr>
              <w:t xml:space="preserve">722</w:t>
            </w:r>
          </w:p>
        </w:tc>
      </w:tr>
      <w:tr>
        <w:tc>
          <w:tcPr>
            <w:tcW w:type="dxa" w:w="1562"/>
            <w:tcBorders>
              <w:bottom w:val="single" w:sz="6" w:space="0" w:color="000000"/>
            </w:tcBorders>
          </w:tcPr>
          <w:p>
            <w:pPr>
              <w:pStyle w:val="Compact"/>
              <w:spacing w:line="240" w:lineRule="auto" w:after="20"/>
              <w:jc w:val="left"/>
            </w:pPr>
            <w:r>
              <w:rPr>
                <w:sz w:val="17"/>
              </w:rPr>
              <w:t xml:space="preserve">floor vs 5–6.5% down at low</w:t>
            </w:r>
          </w:p>
        </w:tc>
        <w:tc>
          <w:tcPr>
            <w:tcW w:type="dxa" w:w="961"/>
            <w:tcBorders>
              <w:bottom w:val="single" w:sz="6" w:space="0" w:color="000000"/>
            </w:tcBorders>
          </w:tcPr>
          <w:p>
            <w:pPr>
              <w:pStyle w:val="Compact"/>
              <w:spacing w:line="240" w:lineRule="auto" w:after="20"/>
              <w:jc w:val="center"/>
            </w:pPr>
            <w:r>
              <w:rPr>
                <w:sz w:val="17"/>
              </w:rPr>
              <w:t xml:space="preserve">Close-to-close</w:t>
            </w:r>
          </w:p>
        </w:tc>
        <w:tc>
          <w:tcPr>
            <w:tcW w:type="dxa" w:w="1442"/>
            <w:tcBorders>
              <w:bottom w:val="single" w:sz="6" w:space="0" w:color="000000"/>
            </w:tcBorders>
          </w:tcPr>
          <w:p>
            <w:pPr>
              <w:pStyle w:val="Compact"/>
              <w:spacing w:line="240" w:lineRule="auto" w:after="20"/>
              <w:jc w:val="center"/>
            </w:pPr>
            <w:r>
              <w:rPr>
                <w:sz w:val="17"/>
              </w:rPr>
              <w:t xml:space="preserve">−2.13</w:t>
            </w:r>
          </w:p>
        </w:tc>
        <w:tc>
          <w:tcPr>
            <w:tcW w:type="dxa" w:w="961"/>
            <w:tcBorders>
              <w:bottom w:val="single" w:sz="6" w:space="0" w:color="000000"/>
            </w:tcBorders>
          </w:tcPr>
          <w:p>
            <w:pPr>
              <w:pStyle w:val="Compact"/>
              <w:spacing w:line="240" w:lineRule="auto" w:after="20"/>
              <w:jc w:val="center"/>
            </w:pPr>
            <w:r>
              <w:rPr>
                <w:sz w:val="17"/>
              </w:rPr>
              <w:t xml:space="preserve">−6.0</w:t>
            </w:r>
          </w:p>
        </w:tc>
        <w:tc>
          <w:tcPr>
            <w:tcW w:type="dxa" w:w="961"/>
            <w:tcBorders>
              <w:bottom w:val="single" w:sz="6" w:space="0" w:color="000000"/>
            </w:tcBorders>
          </w:tcPr>
          <w:p>
            <w:pPr>
              <w:pStyle w:val="Compact"/>
              <w:spacing w:line="240" w:lineRule="auto" w:after="20"/>
              <w:jc w:val="center"/>
            </w:pPr>
            <w:r>
              <w:rPr>
                <w:sz w:val="17"/>
              </w:rPr>
              <w:t xml:space="preserve">0.18</w:t>
            </w:r>
          </w:p>
        </w:tc>
        <w:tc>
          <w:tcPr>
            <w:tcW w:type="dxa" w:w="961"/>
            <w:tcBorders>
              <w:bottom w:val="single" w:sz="6" w:space="0" w:color="000000"/>
            </w:tcBorders>
          </w:tcPr>
          <w:p>
            <w:pPr>
              <w:pStyle w:val="Compact"/>
              <w:spacing w:line="240" w:lineRule="auto" w:after="20"/>
              <w:jc w:val="center"/>
            </w:pPr>
            <w:r>
              <w:rPr>
                <w:sz w:val="17"/>
              </w:rPr>
              <w:t xml:space="preserve">0.4</w:t>
            </w:r>
          </w:p>
        </w:tc>
        <w:tc>
          <w:tcPr>
            <w:tcW w:type="dxa" w:w="961"/>
            <w:tcBorders>
              <w:bottom w:val="single" w:sz="6" w:space="0" w:color="000000"/>
            </w:tcBorders>
          </w:tcPr>
          <w:p>
            <w:pPr>
              <w:pStyle w:val="Compact"/>
              <w:spacing w:line="240" w:lineRule="auto" w:after="20"/>
              <w:jc w:val="center"/>
            </w:pPr>
            <w:r>
              <w:rPr>
                <w:sz w:val="17"/>
              </w:rPr>
              <w:t xml:space="preserve">2,111</w:t>
            </w:r>
          </w:p>
        </w:tc>
        <w:tc>
          <w:tcPr>
            <w:tcW w:type="dxa" w:w="1262"/>
            <w:tcBorders>
              <w:bottom w:val="single" w:sz="6" w:space="0" w:color="000000"/>
            </w:tcBorders>
          </w:tcPr>
          <w:p>
            <w:pPr>
              <w:pStyle w:val="Compact"/>
              <w:spacing w:line="240" w:lineRule="auto" w:after="20"/>
              <w:jc w:val="center"/>
            </w:pPr>
            <w:r>
              <w:rPr>
                <w:sz w:val="17"/>
              </w:rPr>
              <w:t xml:space="preserve">722</w:t>
            </w:r>
          </w:p>
        </w:tc>
      </w:tr>
    </w:tbl>
    <w:p>
      <w:pPr>
        <w:pStyle w:val="BodyText"/>
        <w:spacing w:line="276" w:lineRule="auto" w:after="120"/>
        <w:jc w:val="left"/>
      </w:pPr>
      <w:r>
        <w:rPr>
          <w:iCs/>
          <w:i/>
        </w:rPr>
        <w:t xml:space="preserve">Note.</w:t>
      </w:r>
      <w:r>
        <w:t xml:space="preserve"> </w:t>
      </w:r>
      <w:r>
        <w:t xml:space="preserve">Percentage points; date-clustered</w:t>
      </w:r>
      <w:r>
        <w:t xml:space="preserve"> </w:t>
      </w:r>
      <w:r>
        <w:rPr>
          <w:iCs/>
          <w:i/>
        </w:rPr>
        <w:t xml:space="preserve">t</w:t>
      </w:r>
      <w:r>
        <w:t xml:space="preserve">-statistics; limit closes compared with 5–6.5% movers that also closed at the extreme. Source: authors’ calculations.</w:t>
      </w:r>
    </w:p>
    <w:p>
      <w:pPr>
        <w:pStyle w:val="Heading2"/>
        <w:jc w:val="left"/>
      </w:pPr>
      <w:r>
        <w:t xml:space="preserve">Supplementary references</w:t>
      </w:r>
    </w:p>
    <w:p>
      <w:pPr>
        <w:numPr>
          <w:ilvl w:val="0"/>
          <w:numId w:val="1001"/>
        </w:numPr>
        <w:pStyle w:val="Compact"/>
        <w:spacing w:line="276" w:lineRule="auto" w:after="120"/>
        <w:jc w:val="left"/>
      </w:pPr>
      <w:r>
        <w:t xml:space="preserve">Parkinson, M. The extreme value method for estimating the variance of the rate of return.</w:t>
      </w:r>
      <w:r>
        <w:t xml:space="preserve"> </w:t>
      </w:r>
      <w:r>
        <w:rPr>
          <w:iCs/>
          <w:i/>
        </w:rPr>
        <w:t xml:space="preserve">J. Bus.</w:t>
      </w:r>
      <w:r>
        <w:t xml:space="preserve"> </w:t>
      </w:r>
      <w:r>
        <w:rPr>
          <w:bCs/>
          <w:b/>
        </w:rPr>
        <w:t xml:space="preserve">53</w:t>
      </w:r>
      <w:r>
        <w:t xml:space="preserve">, 61–65 (1980). https://doi.org/10.1086/296071</w:t>
      </w:r>
    </w:p>
    <w:p>
      <w:pPr>
        <w:numPr>
          <w:ilvl w:val="0"/>
          <w:numId w:val="1001"/>
        </w:numPr>
        <w:pStyle w:val="Compact"/>
        <w:spacing w:line="276" w:lineRule="auto" w:after="120"/>
        <w:jc w:val="left"/>
      </w:pPr>
      <w:r>
        <w:t xml:space="preserve">Amihud, Y. Illiquidity and stock returns: cross-section and time-series effects.</w:t>
      </w:r>
      <w:r>
        <w:t xml:space="preserve"> </w:t>
      </w:r>
      <w:r>
        <w:rPr>
          <w:iCs/>
          <w:i/>
        </w:rPr>
        <w:t xml:space="preserve">J. Financ. Mark.</w:t>
      </w:r>
      <w:r>
        <w:t xml:space="preserve"> </w:t>
      </w:r>
      <w:r>
        <w:rPr>
          <w:bCs/>
          <w:b/>
        </w:rPr>
        <w:t xml:space="preserve">5</w:t>
      </w:r>
      <w:r>
        <w:t xml:space="preserve">, 31–56 (2002). https://doi.org/10.1016/S1386-4181(01)00024-6</w:t>
      </w:r>
    </w:p>
    <w:p>
      <w:pPr>
        <w:numPr>
          <w:ilvl w:val="0"/>
          <w:numId w:val="1001"/>
        </w:numPr>
        <w:pStyle w:val="Compact"/>
        <w:spacing w:line="276" w:lineRule="auto" w:after="120"/>
        <w:jc w:val="left"/>
      </w:pPr>
      <w:r>
        <w:t xml:space="preserve">Corwin, S. A. &amp; Schultz, P. A simple way to estimate bid-ask spreads from daily high and low prices.</w:t>
      </w:r>
      <w:r>
        <w:t xml:space="preserve"> </w:t>
      </w:r>
      <w:r>
        <w:rPr>
          <w:iCs/>
          <w:i/>
        </w:rPr>
        <w:t xml:space="preserve">J. Finance</w:t>
      </w:r>
      <w:r>
        <w:t xml:space="preserve"> </w:t>
      </w:r>
      <w:r>
        <w:rPr>
          <w:bCs/>
          <w:b/>
        </w:rPr>
        <w:t xml:space="preserve">67</w:t>
      </w:r>
      <w:r>
        <w:t xml:space="preserve">, 719–760 (2012). https://doi.org/10.1111/j.1540-6261.2012.01729.x</w:t>
      </w:r>
    </w:p>
    <w:p>
      <w:pPr>
        <w:numPr>
          <w:ilvl w:val="0"/>
          <w:numId w:val="1001"/>
        </w:numPr>
        <w:pStyle w:val="Compact"/>
        <w:spacing w:line="276" w:lineRule="auto" w:after="120"/>
        <w:jc w:val="left"/>
      </w:pPr>
      <w:r>
        <w:t xml:space="preserve">Bali, T. G., Cakici, N. &amp; Whitelaw, R. F. Maxing out: stocks as lotteries and the cross-section of expected returns.</w:t>
      </w:r>
      <w:r>
        <w:t xml:space="preserve"> </w:t>
      </w:r>
      <w:r>
        <w:rPr>
          <w:iCs/>
          <w:i/>
        </w:rPr>
        <w:t xml:space="preserve">J. Financ. Econ.</w:t>
      </w:r>
      <w:r>
        <w:t xml:space="preserve"> </w:t>
      </w:r>
      <w:r>
        <w:rPr>
          <w:bCs/>
          <w:b/>
        </w:rPr>
        <w:t xml:space="preserve">99</w:t>
      </w:r>
      <w:r>
        <w:t xml:space="preserve">, 427–446 (2011). https://doi.org/10.1016/j.jfineco.2010.08.014</w:t>
      </w:r>
    </w:p>
    <w:p>
      <w:pPr>
        <w:numPr>
          <w:ilvl w:val="0"/>
          <w:numId w:val="1001"/>
        </w:numPr>
        <w:pStyle w:val="Compact"/>
        <w:spacing w:line="276" w:lineRule="auto" w:after="120"/>
        <w:jc w:val="left"/>
      </w:pPr>
      <w:r>
        <w:t xml:space="preserve">Farber, A., Nguyen, V. N. &amp; Vuong, Q. H. Policy impacts on Vietnam stock market: a case of anomalies and disequilibria 2000–2006. CEB Working Paper No. 06/005 (Université Libre de Bruxelles, 2006). https://ideas.repec.org/p/sol/wpaper/06-005.html</w:t>
      </w:r>
    </w:p>
    <w:p>
      <w:pPr>
        <w:numPr>
          <w:ilvl w:val="0"/>
          <w:numId w:val="1001"/>
        </w:numPr>
        <w:pStyle w:val="Compact"/>
        <w:spacing w:line="276" w:lineRule="auto" w:after="120"/>
        <w:jc w:val="left"/>
      </w:pPr>
      <w:r>
        <w:t xml:space="preserve">Le, D. N. Evaluating impacts of reduction in fluctuation limit on stock price risks in Vietnam.</w:t>
      </w:r>
      <w:r>
        <w:t xml:space="preserve"> </w:t>
      </w:r>
      <w:r>
        <w:rPr>
          <w:iCs/>
          <w:i/>
        </w:rPr>
        <w:t xml:space="preserve">J. Econ. Dev. (Univ. Econ. Ho Chi Minh City)</w:t>
      </w:r>
      <w:r>
        <w:t xml:space="preserve"> </w:t>
      </w:r>
      <w:r>
        <w:rPr>
          <w:bCs/>
          <w:b/>
        </w:rPr>
        <w:t xml:space="preserve">214</w:t>
      </w:r>
      <w:r>
        <w:t xml:space="preserve">, 116–128 (2012). https://vjol.info.vn/ed/article/view/34298</w:t>
      </w:r>
    </w:p>
    <w:p>
      <w:pPr>
        <w:numPr>
          <w:ilvl w:val="0"/>
          <w:numId w:val="1001"/>
        </w:numPr>
        <w:pStyle w:val="Compact"/>
        <w:spacing w:line="276" w:lineRule="auto" w:after="120"/>
        <w:jc w:val="left"/>
      </w:pPr>
      <w:r>
        <w:t xml:space="preserve">Kim, K. A. &amp; Rhee, S. G. Price limit performance: evidence from the Tokyo Stock Exchange.</w:t>
      </w:r>
      <w:r>
        <w:t xml:space="preserve"> </w:t>
      </w:r>
      <w:r>
        <w:rPr>
          <w:iCs/>
          <w:i/>
        </w:rPr>
        <w:t xml:space="preserve">J. Finance</w:t>
      </w:r>
      <w:r>
        <w:t xml:space="preserve"> </w:t>
      </w:r>
      <w:r>
        <w:rPr>
          <w:bCs/>
          <w:b/>
        </w:rPr>
        <w:t xml:space="preserve">52</w:t>
      </w:r>
      <w:r>
        <w:t xml:space="preserve">, 885–901 (1997). https://doi.org/10.1111/j.1540-6261.1997.tb04827.x</w:t>
      </w:r>
    </w:p>
    <w:p>
      <w:pPr>
        <w:numPr>
          <w:ilvl w:val="0"/>
          <w:numId w:val="1001"/>
        </w:numPr>
        <w:pStyle w:val="Compact"/>
        <w:spacing w:line="276" w:lineRule="auto" w:after="120"/>
        <w:jc w:val="left"/>
      </w:pPr>
      <w:r>
        <w:t xml:space="preserve">Huang, Y.-S., Fu, T.-W. &amp; Ke, M.-C. Daily price limits and stock price behavior: evidence from the Taiwan Stock Exchange.</w:t>
      </w:r>
      <w:r>
        <w:t xml:space="preserve"> </w:t>
      </w:r>
      <w:r>
        <w:rPr>
          <w:iCs/>
          <w:i/>
        </w:rPr>
        <w:t xml:space="preserve">Int. Rev. Econ. Finance</w:t>
      </w:r>
      <w:r>
        <w:t xml:space="preserve"> </w:t>
      </w:r>
      <w:r>
        <w:rPr>
          <w:bCs/>
          <w:b/>
        </w:rPr>
        <w:t xml:space="preserve">10</w:t>
      </w:r>
      <w:r>
        <w:t xml:space="preserve">, 263–288 (2001). https://doi.org/10.1016/S1059-0560(00)00082-4</w:t>
      </w:r>
    </w:p>
    <w:p>
      <w:pPr>
        <w:numPr>
          <w:ilvl w:val="0"/>
          <w:numId w:val="1001"/>
        </w:numPr>
        <w:pStyle w:val="Compact"/>
        <w:spacing w:line="276" w:lineRule="auto" w:after="120"/>
        <w:jc w:val="left"/>
      </w:pPr>
      <w:r>
        <w:t xml:space="preserve">Qi, B. Effectiveness of price limits: evidence from China’s ChiNext market.</w:t>
      </w:r>
      <w:r>
        <w:t xml:space="preserve"> </w:t>
      </w:r>
      <w:r>
        <w:rPr>
          <w:iCs/>
          <w:i/>
        </w:rPr>
        <w:t xml:space="preserve">PLOS ONE</w:t>
      </w:r>
      <w:r>
        <w:t xml:space="preserve"> </w:t>
      </w:r>
      <w:r>
        <w:rPr>
          <w:bCs/>
          <w:b/>
        </w:rPr>
        <w:t xml:space="preserve">18</w:t>
      </w:r>
      <w:r>
        <w:t xml:space="preserve">, e0287548 (2023). https://doi.org/10.1371/journal.pone.0287548</w:t>
      </w:r>
    </w:p>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120" w:before="240"/>
      <w:jc w:val="center"/>
    </w:pPr>
    <w:rPr>
      <w:rFonts w:ascii="Times New Roman" w:hAnsi="Times New Roman" w:cs="Times New Roman" w:eastAsia="Times New Roman"/>
      <w:b/>
      <w:bCs/>
      <w:i w:val="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i w:val="0"/>
      <w:sz w:val="32"/>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sz w:val="28"/>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2026-10-22T04:04:13Z</dcterms:created>
  <dcterms:modified xsi:type="dcterms:W3CDTF">2026-10-22T04:04:13Z</dcterms:modified>
</cp:coreProperties>
</file>

<file path=docProps/custom.xml><?xml version="1.0" encoding="utf-8"?>
<Properties xmlns="http://schemas.openxmlformats.org/officeDocument/2006/custom-properties" xmlns:vt="http://schemas.openxmlformats.org/officeDocument/2006/docPropsVTypes"/>
</file>